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7543" w:rsidP="00357543">
      <w:pPr>
        <w:pStyle w:val="Title"/>
      </w:pPr>
      <w:r>
        <w:fldChar w:fldCharType="begin"/>
      </w:r>
      <w:r>
        <w:instrText xml:space="preserve"> TITLE   \* MERGEFORMAT </w:instrText>
      </w:r>
      <w:r>
        <w:fldChar w:fldCharType="separate"/>
      </w:r>
      <w:r>
        <w:t>PMBPREP304 Set a die</w:t>
      </w:r>
      <w:r>
        <w:fldChar w:fldCharType="end"/>
      </w:r>
    </w:p>
    <w:p w:rsidR="00357543" w:rsidP="00357543">
      <w:pPr>
        <w:pStyle w:val="Version"/>
        <w:sectPr w:rsidSect="007A11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110B" w:rsidP="007A110B">
      <w:pPr>
        <w:pStyle w:val="SuperHeading"/>
      </w:pPr>
      <w:r w:rsidRPr="007A110B">
        <w:t>PMBPREP304 Set a die</w:t>
      </w:r>
    </w:p>
    <w:p w:rsidR="00000000" w:rsidRPr="007A110B" w:rsidP="007A110B">
      <w:pPr>
        <w:pStyle w:val="Heading1"/>
      </w:pPr>
      <w:bookmarkStart w:id="1" w:name="O_924551"/>
      <w:bookmarkEnd w:id="1"/>
      <w:r w:rsidRPr="007A110B">
        <w:t>Modification History</w:t>
      </w:r>
    </w:p>
    <w:p w:rsidR="00000000" w:rsidRPr="007A110B" w:rsidP="00357543">
      <w:pPr>
        <w:pStyle w:val="BodyText"/>
      </w:pPr>
      <w:r w:rsidRPr="007A110B">
        <w:t>Release 1. Supersedes and is equivalent to PMBPREP304C Set a die</w:t>
      </w:r>
    </w:p>
    <w:p w:rsidR="00000000" w:rsidRPr="007A110B" w:rsidP="007A110B">
      <w:pPr>
        <w:pStyle w:val="Heading1"/>
      </w:pPr>
      <w:bookmarkStart w:id="2" w:name="O_924559"/>
      <w:bookmarkEnd w:id="2"/>
      <w:r w:rsidRPr="007A110B">
        <w:t>Application</w:t>
      </w:r>
    </w:p>
    <w:p w:rsidR="00000000" w:rsidRPr="007A110B" w:rsidP="00357543">
      <w:pPr>
        <w:pStyle w:val="BodyText"/>
      </w:pPr>
      <w:r w:rsidRPr="007A110B">
        <w:t>This unit of competency covers the skills and knowledge required to remove, refit and set simple dies as used in injection moulding, blow moulding and similar pro</w:t>
      </w:r>
      <w:r w:rsidRPr="007A110B">
        <w:t>cesses.</w:t>
      </w:r>
    </w:p>
    <w:p w:rsidR="00000000" w:rsidRPr="007A110B" w:rsidP="00357543">
      <w:pPr>
        <w:pStyle w:val="BodyText"/>
      </w:pPr>
      <w:r w:rsidRPr="007A110B">
        <w:t xml:space="preserve">This unit of competency is typically performed by experienced operators or those in similar roles who are required to select dies, tools and parts required for the die changeover, plan and make the changeover, set the machine conditions and check </w:t>
      </w:r>
      <w:r w:rsidRPr="007A110B">
        <w:t>and fine tune settings to meet specifications.</w:t>
      </w:r>
    </w:p>
    <w:p w:rsidR="00000000" w:rsidRPr="007A110B" w:rsidP="00357543">
      <w:pPr>
        <w:pStyle w:val="BodyText"/>
      </w:pPr>
      <w:r w:rsidRPr="007A110B">
        <w:t>This unit of competency applies to an individual working alone or as part of a team or group and working in liaison with other shift team members, team leader and supervisor, as appropriate.</w:t>
      </w:r>
    </w:p>
    <w:p w:rsidR="00000000" w:rsidRPr="007A110B" w:rsidP="00357543">
      <w:pPr>
        <w:pStyle w:val="BodyText"/>
      </w:pPr>
      <w:r w:rsidRPr="007A110B">
        <w:t>No licensing, le</w:t>
      </w:r>
      <w:r w:rsidRPr="007A110B">
        <w:t>gislative or certification requirements apply to this unit at the time of publication.</w:t>
      </w:r>
    </w:p>
    <w:p w:rsidR="00000000" w:rsidRPr="007A110B" w:rsidP="007A110B">
      <w:pPr>
        <w:pStyle w:val="Heading1"/>
      </w:pPr>
      <w:bookmarkStart w:id="3" w:name="O_924558"/>
      <w:bookmarkEnd w:id="3"/>
      <w:r w:rsidRPr="007A110B">
        <w:t>Pre-requisite Unit</w:t>
      </w:r>
    </w:p>
    <w:p w:rsidR="00000000" w:rsidRPr="007A110B" w:rsidP="00357543">
      <w:pPr>
        <w:pStyle w:val="BodyText"/>
      </w:pPr>
      <w:r w:rsidRPr="007A110B">
        <w:t>Nil</w:t>
      </w:r>
    </w:p>
    <w:p w:rsidR="00000000" w:rsidRPr="007A110B" w:rsidP="007A110B">
      <w:pPr>
        <w:pStyle w:val="Heading1"/>
      </w:pPr>
      <w:bookmarkStart w:id="4" w:name="O_924557"/>
      <w:bookmarkEnd w:id="4"/>
      <w:r w:rsidRPr="007A110B">
        <w:t>Competency Field</w:t>
      </w:r>
    </w:p>
    <w:p w:rsidR="00000000" w:rsidRPr="007A110B" w:rsidP="00357543">
      <w:pPr>
        <w:pStyle w:val="BodyText"/>
      </w:pPr>
      <w:r w:rsidRPr="007A110B">
        <w:t>Preparation</w:t>
      </w:r>
    </w:p>
    <w:p w:rsidR="00000000" w:rsidRPr="007A110B" w:rsidP="007A110B">
      <w:pPr>
        <w:pStyle w:val="Heading1"/>
      </w:pPr>
      <w:bookmarkStart w:id="5" w:name="O_924556"/>
      <w:bookmarkEnd w:id="5"/>
      <w:r w:rsidRPr="007A110B">
        <w:t>Unit Sector</w:t>
      </w:r>
    </w:p>
    <w:p w:rsidR="00000000" w:rsidRPr="007A110B" w:rsidP="00357543">
      <w:pPr>
        <w:pStyle w:val="BodyText"/>
      </w:pPr>
      <w:r w:rsidRPr="007A110B">
        <w:t>Not applicable</w:t>
      </w:r>
    </w:p>
    <w:p w:rsidR="00000000" w:rsidRPr="007A110B" w:rsidP="007A110B">
      <w:pPr>
        <w:pStyle w:val="Heading1"/>
      </w:pPr>
      <w:bookmarkStart w:id="6" w:name="O_924555"/>
      <w:bookmarkEnd w:id="6"/>
      <w:r w:rsidRPr="007A110B">
        <w:t>Elements and Performan</w:t>
      </w:r>
      <w:r w:rsidRPr="007A110B">
        <w:t>ce Criteria</w:t>
      </w:r>
    </w:p>
    <w:tbl>
      <w:tblPr>
        <w:tblW w:w="0" w:type="auto"/>
        <w:tblLayout w:type="fixed"/>
        <w:tblCellMar>
          <w:left w:w="62" w:type="dxa"/>
          <w:right w:w="62" w:type="dxa"/>
        </w:tblCellMar>
        <w:tblLook w:val="0000"/>
      </w:tblPr>
      <w:tblGrid>
        <w:gridCol w:w="678"/>
        <w:gridCol w:w="1962"/>
        <w:gridCol w:w="770"/>
        <w:gridCol w:w="5610"/>
      </w:tblGrid>
      <w:tr w:rsidTr="007A110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A110B">
            <w:pPr>
              <w:pStyle w:val="BodyText"/>
              <w:rPr>
                <w:lang w:val="en-NZ"/>
              </w:rPr>
            </w:pPr>
            <w:r w:rsidRPr="007A110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A110B">
            <w:pPr>
              <w:pStyle w:val="BodyText"/>
              <w:rPr>
                <w:lang w:val="en-NZ"/>
              </w:rPr>
            </w:pPr>
            <w:r w:rsidRPr="007A110B">
              <w:t>Performance criteria describe the performance needed to demonstrate achievement of the element.</w:t>
            </w:r>
          </w:p>
        </w:tc>
      </w:tr>
      <w:tr w:rsidTr="007A11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A110B" w:rsidP="007A110B">
            <w:pPr>
              <w:pStyle w:val="BodyText"/>
            </w:pPr>
            <w:r w:rsidRPr="007A110B">
              <w:t>1</w:t>
            </w:r>
          </w:p>
        </w:tc>
        <w:tc>
          <w:tcPr>
            <w:tcW w:w="1962" w:type="dxa"/>
            <w:vMerge w:val="restart"/>
            <w:tcBorders>
              <w:top w:val="nil"/>
              <w:left w:val="nil"/>
              <w:bottom w:val="nil"/>
              <w:right w:val="nil"/>
            </w:tcBorders>
            <w:tcMar>
              <w:top w:w="0" w:type="dxa"/>
              <w:left w:w="62" w:type="dxa"/>
              <w:bottom w:w="0" w:type="dxa"/>
              <w:right w:w="62" w:type="dxa"/>
            </w:tcMar>
          </w:tcPr>
          <w:p w:rsidR="00000000" w:rsidP="007A110B">
            <w:pPr>
              <w:pStyle w:val="BodyText"/>
              <w:rPr>
                <w:lang w:val="en-NZ"/>
              </w:rPr>
            </w:pPr>
            <w:r w:rsidRPr="007A110B">
              <w:rPr>
                <w:rStyle w:val="SpecialBold"/>
              </w:rPr>
              <w:t xml:space="preserve">Prepare to </w:t>
            </w:r>
            <w:r w:rsidRPr="007A110B">
              <w:rPr>
                <w:rStyle w:val="SpecialBold"/>
              </w:rPr>
              <w:t>change dies</w:t>
            </w:r>
          </w:p>
        </w:tc>
        <w:tc>
          <w:tcPr>
            <w:tcW w:w="770" w:type="dxa"/>
            <w:tcBorders>
              <w:top w:val="nil"/>
              <w:left w:val="nil"/>
              <w:bottom w:val="nil"/>
              <w:right w:val="nil"/>
            </w:tcBorders>
            <w:tcMar>
              <w:top w:w="0" w:type="dxa"/>
              <w:left w:w="62" w:type="dxa"/>
              <w:bottom w:w="0" w:type="dxa"/>
              <w:right w:w="62" w:type="dxa"/>
            </w:tcMar>
          </w:tcPr>
          <w:p w:rsidR="00000000" w:rsidP="007A110B">
            <w:pPr>
              <w:pStyle w:val="BodyText"/>
              <w:rPr>
                <w:lang w:val="en-NZ"/>
              </w:rPr>
            </w:pPr>
            <w:r w:rsidRPr="007A110B">
              <w:t>1.1</w:t>
            </w:r>
          </w:p>
        </w:tc>
        <w:tc>
          <w:tcPr>
            <w:tcW w:w="5610" w:type="dxa"/>
            <w:tcBorders>
              <w:top w:val="nil"/>
              <w:left w:val="nil"/>
              <w:bottom w:val="nil"/>
              <w:right w:val="nil"/>
            </w:tcBorders>
            <w:tcMar>
              <w:top w:w="0" w:type="dxa"/>
              <w:left w:w="62" w:type="dxa"/>
              <w:bottom w:w="0" w:type="dxa"/>
              <w:right w:w="62" w:type="dxa"/>
            </w:tcMar>
          </w:tcPr>
          <w:p w:rsidR="00000000" w:rsidP="007A110B">
            <w:pPr>
              <w:pStyle w:val="BodyText"/>
              <w:rPr>
                <w:lang w:val="en-NZ"/>
              </w:rPr>
            </w:pPr>
            <w:r w:rsidRPr="007A110B">
              <w:t xml:space="preserve">Determine when changeover will be required, and plan </w:t>
            </w:r>
            <w:r w:rsidRPr="007A110B">
              <w:t>requirements for die change</w:t>
            </w:r>
          </w:p>
        </w:tc>
      </w:tr>
      <w:tr w:rsidTr="007A11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110B">
            <w:pPr>
              <w:pStyle w:val="BodyText"/>
              <w:rPr>
                <w:lang w:val="en-NZ"/>
              </w:rPr>
            </w:pPr>
            <w:r w:rsidRPr="007A110B">
              <w:t>1.2</w:t>
            </w:r>
          </w:p>
        </w:tc>
        <w:tc>
          <w:tcPr>
            <w:tcW w:w="5610" w:type="dxa"/>
            <w:tcBorders>
              <w:top w:val="nil"/>
              <w:left w:val="nil"/>
              <w:bottom w:val="nil"/>
              <w:right w:val="nil"/>
            </w:tcBorders>
            <w:tcMar>
              <w:top w:w="0" w:type="dxa"/>
              <w:left w:w="62" w:type="dxa"/>
              <w:bottom w:w="0" w:type="dxa"/>
              <w:right w:w="62" w:type="dxa"/>
            </w:tcMar>
          </w:tcPr>
          <w:p w:rsidR="00000000" w:rsidP="007A110B">
            <w:pPr>
              <w:pStyle w:val="BodyText"/>
              <w:rPr>
                <w:lang w:val="en-NZ"/>
              </w:rPr>
            </w:pPr>
            <w:r w:rsidRPr="007A110B">
              <w:t>Obtain dies and/or cores and all parts and tools to match the production order</w:t>
            </w:r>
          </w:p>
        </w:tc>
      </w:tr>
      <w:tr w:rsidTr="007A11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110B">
            <w:pPr>
              <w:pStyle w:val="BodyText"/>
              <w:rPr>
                <w:lang w:val="en-NZ"/>
              </w:rPr>
            </w:pPr>
            <w:r w:rsidRPr="007A110B">
              <w:t>1.3</w:t>
            </w:r>
          </w:p>
        </w:tc>
        <w:tc>
          <w:tcPr>
            <w:tcW w:w="5610" w:type="dxa"/>
            <w:tcBorders>
              <w:top w:val="nil"/>
              <w:left w:val="nil"/>
              <w:bottom w:val="nil"/>
              <w:right w:val="nil"/>
            </w:tcBorders>
            <w:tcMar>
              <w:top w:w="0" w:type="dxa"/>
              <w:left w:w="62" w:type="dxa"/>
              <w:bottom w:w="0" w:type="dxa"/>
              <w:right w:w="62" w:type="dxa"/>
            </w:tcMar>
          </w:tcPr>
          <w:p w:rsidR="00000000" w:rsidP="007A110B">
            <w:pPr>
              <w:pStyle w:val="BodyText"/>
              <w:rPr>
                <w:lang w:val="en-NZ"/>
              </w:rPr>
            </w:pPr>
            <w:r w:rsidRPr="007A110B">
              <w:t>Follow procedure for machine close-down and for informing relevant personnel</w:t>
            </w:r>
          </w:p>
        </w:tc>
      </w:tr>
      <w:tr w:rsidTr="007A11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110B">
            <w:pPr>
              <w:pStyle w:val="BodyText"/>
              <w:rPr>
                <w:lang w:val="en-NZ"/>
              </w:rPr>
            </w:pPr>
            <w:r w:rsidRPr="007A110B">
              <w:t>1.4</w:t>
            </w:r>
          </w:p>
        </w:tc>
        <w:tc>
          <w:tcPr>
            <w:tcW w:w="5610" w:type="dxa"/>
            <w:tcBorders>
              <w:top w:val="nil"/>
              <w:left w:val="nil"/>
              <w:bottom w:val="nil"/>
              <w:right w:val="nil"/>
            </w:tcBorders>
            <w:tcMar>
              <w:top w:w="0" w:type="dxa"/>
              <w:left w:w="62" w:type="dxa"/>
              <w:bottom w:w="0" w:type="dxa"/>
              <w:right w:w="62" w:type="dxa"/>
            </w:tcMar>
          </w:tcPr>
          <w:p w:rsidR="00000000" w:rsidP="007A110B">
            <w:pPr>
              <w:pStyle w:val="BodyText"/>
              <w:rPr>
                <w:lang w:val="en-NZ"/>
              </w:rPr>
            </w:pPr>
            <w:r w:rsidRPr="007A110B">
              <w:t>Take last-off samples as required for die reports</w:t>
            </w:r>
          </w:p>
        </w:tc>
      </w:tr>
      <w:tr w:rsidTr="007A11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110B">
            <w:pPr>
              <w:pStyle w:val="BodyText"/>
              <w:rPr>
                <w:lang w:val="en-NZ"/>
              </w:rPr>
            </w:pPr>
            <w:r w:rsidRPr="007A110B">
              <w:t>1.5</w:t>
            </w:r>
          </w:p>
        </w:tc>
        <w:tc>
          <w:tcPr>
            <w:tcW w:w="5610" w:type="dxa"/>
            <w:tcBorders>
              <w:top w:val="nil"/>
              <w:left w:val="nil"/>
              <w:bottom w:val="nil"/>
              <w:right w:val="nil"/>
            </w:tcBorders>
            <w:tcMar>
              <w:top w:w="0" w:type="dxa"/>
              <w:left w:w="62" w:type="dxa"/>
              <w:bottom w:w="0" w:type="dxa"/>
              <w:right w:w="62" w:type="dxa"/>
            </w:tcMar>
          </w:tcPr>
          <w:p w:rsidR="00000000" w:rsidP="007A110B">
            <w:pPr>
              <w:pStyle w:val="BodyText"/>
              <w:rPr>
                <w:lang w:val="en-NZ"/>
              </w:rPr>
            </w:pPr>
            <w:r w:rsidRPr="007A110B">
              <w:t>Close down machine in accordance with procedures</w:t>
            </w:r>
          </w:p>
        </w:tc>
      </w:tr>
      <w:tr w:rsidTr="007A11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110B">
            <w:pPr>
              <w:pStyle w:val="BodyText"/>
              <w:rPr>
                <w:lang w:val="en-NZ"/>
              </w:rPr>
            </w:pPr>
            <w:r w:rsidRPr="007A110B">
              <w:t>1.6</w:t>
            </w:r>
          </w:p>
        </w:tc>
        <w:tc>
          <w:tcPr>
            <w:tcW w:w="5610" w:type="dxa"/>
            <w:tcBorders>
              <w:top w:val="nil"/>
              <w:left w:val="nil"/>
              <w:bottom w:val="nil"/>
              <w:right w:val="nil"/>
            </w:tcBorders>
            <w:tcMar>
              <w:top w:w="0" w:type="dxa"/>
              <w:left w:w="62" w:type="dxa"/>
              <w:bottom w:w="0" w:type="dxa"/>
              <w:right w:w="62" w:type="dxa"/>
            </w:tcMar>
          </w:tcPr>
          <w:p w:rsidR="00000000" w:rsidP="007A110B">
            <w:pPr>
              <w:pStyle w:val="BodyText"/>
              <w:rPr>
                <w:lang w:val="en-NZ"/>
              </w:rPr>
            </w:pPr>
            <w:r w:rsidRPr="007A110B">
              <w:t>Prepare machine for changeover in accordance with procedures</w:t>
            </w:r>
          </w:p>
        </w:tc>
      </w:tr>
      <w:tr w:rsidTr="007A110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A110B">
            <w:pPr>
              <w:pStyle w:val="BodyText"/>
              <w:rPr>
                <w:lang w:val="en-NZ"/>
              </w:rPr>
            </w:pPr>
          </w:p>
        </w:tc>
      </w:tr>
      <w:tr w:rsidTr="007A11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A110B" w:rsidP="007A110B">
            <w:pPr>
              <w:pStyle w:val="BodyText"/>
            </w:pPr>
            <w:r w:rsidRPr="007A110B">
              <w:t>2</w:t>
            </w:r>
          </w:p>
        </w:tc>
        <w:tc>
          <w:tcPr>
            <w:tcW w:w="1962" w:type="dxa"/>
            <w:vMerge w:val="restart"/>
            <w:tcBorders>
              <w:top w:val="nil"/>
              <w:left w:val="nil"/>
              <w:bottom w:val="nil"/>
              <w:right w:val="nil"/>
            </w:tcBorders>
            <w:tcMar>
              <w:top w:w="0" w:type="dxa"/>
              <w:left w:w="62" w:type="dxa"/>
              <w:bottom w:w="0" w:type="dxa"/>
              <w:right w:w="62" w:type="dxa"/>
            </w:tcMar>
          </w:tcPr>
          <w:p w:rsidR="00000000" w:rsidP="007A110B">
            <w:pPr>
              <w:pStyle w:val="BodyText"/>
              <w:rPr>
                <w:lang w:val="en-NZ"/>
              </w:rPr>
            </w:pPr>
            <w:r w:rsidRPr="007A110B">
              <w:rPr>
                <w:rStyle w:val="SpecialBold"/>
              </w:rPr>
              <w:t>Change dies</w:t>
            </w:r>
          </w:p>
        </w:tc>
        <w:tc>
          <w:tcPr>
            <w:tcW w:w="770" w:type="dxa"/>
            <w:tcBorders>
              <w:top w:val="nil"/>
              <w:left w:val="nil"/>
              <w:bottom w:val="nil"/>
              <w:right w:val="nil"/>
            </w:tcBorders>
            <w:tcMar>
              <w:top w:w="0" w:type="dxa"/>
              <w:left w:w="62" w:type="dxa"/>
              <w:bottom w:w="0" w:type="dxa"/>
              <w:right w:w="62" w:type="dxa"/>
            </w:tcMar>
          </w:tcPr>
          <w:p w:rsidR="00000000" w:rsidP="007A110B">
            <w:pPr>
              <w:pStyle w:val="BodyText"/>
              <w:rPr>
                <w:lang w:val="en-NZ"/>
              </w:rPr>
            </w:pPr>
            <w:r w:rsidRPr="007A110B">
              <w:t>2.1</w:t>
            </w:r>
          </w:p>
        </w:tc>
        <w:tc>
          <w:tcPr>
            <w:tcW w:w="5610" w:type="dxa"/>
            <w:tcBorders>
              <w:top w:val="nil"/>
              <w:left w:val="nil"/>
              <w:bottom w:val="nil"/>
              <w:right w:val="nil"/>
            </w:tcBorders>
            <w:tcMar>
              <w:top w:w="0" w:type="dxa"/>
              <w:left w:w="62" w:type="dxa"/>
              <w:bottom w:w="0" w:type="dxa"/>
              <w:right w:w="62" w:type="dxa"/>
            </w:tcMar>
          </w:tcPr>
          <w:p w:rsidR="00000000" w:rsidP="007A110B">
            <w:pPr>
              <w:pStyle w:val="BodyText"/>
              <w:rPr>
                <w:lang w:val="en-NZ"/>
              </w:rPr>
            </w:pPr>
            <w:r w:rsidRPr="007A110B">
              <w:t>Plan removal process to ensure no damage to self, equipment or others</w:t>
            </w:r>
          </w:p>
        </w:tc>
      </w:tr>
      <w:tr w:rsidTr="007A11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110B">
            <w:pPr>
              <w:pStyle w:val="BodyText"/>
              <w:rPr>
                <w:lang w:val="en-NZ"/>
              </w:rPr>
            </w:pPr>
            <w:r w:rsidRPr="007A110B">
              <w:t>2.2</w:t>
            </w:r>
          </w:p>
        </w:tc>
        <w:tc>
          <w:tcPr>
            <w:tcW w:w="5610" w:type="dxa"/>
            <w:tcBorders>
              <w:top w:val="nil"/>
              <w:left w:val="nil"/>
              <w:bottom w:val="nil"/>
              <w:right w:val="nil"/>
            </w:tcBorders>
            <w:tcMar>
              <w:top w:w="0" w:type="dxa"/>
              <w:left w:w="62" w:type="dxa"/>
              <w:bottom w:w="0" w:type="dxa"/>
              <w:right w:w="62" w:type="dxa"/>
            </w:tcMar>
          </w:tcPr>
          <w:p w:rsidR="00000000" w:rsidP="007A110B">
            <w:pPr>
              <w:pStyle w:val="BodyText"/>
              <w:rPr>
                <w:lang w:val="en-NZ"/>
              </w:rPr>
            </w:pPr>
            <w:r w:rsidRPr="007A110B">
              <w:t>Remove, clean and store die according to workplace procedures applying corrosion protection if required</w:t>
            </w:r>
          </w:p>
        </w:tc>
      </w:tr>
      <w:tr w:rsidTr="007A11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110B">
            <w:pPr>
              <w:pStyle w:val="BodyText"/>
              <w:rPr>
                <w:lang w:val="en-NZ"/>
              </w:rPr>
            </w:pPr>
            <w:r w:rsidRPr="007A110B">
              <w:t>2.3</w:t>
            </w:r>
          </w:p>
        </w:tc>
        <w:tc>
          <w:tcPr>
            <w:tcW w:w="5610" w:type="dxa"/>
            <w:tcBorders>
              <w:top w:val="nil"/>
              <w:left w:val="nil"/>
              <w:bottom w:val="nil"/>
              <w:right w:val="nil"/>
            </w:tcBorders>
            <w:tcMar>
              <w:top w:w="0" w:type="dxa"/>
              <w:left w:w="62" w:type="dxa"/>
              <w:bottom w:w="0" w:type="dxa"/>
              <w:right w:w="62" w:type="dxa"/>
            </w:tcMar>
          </w:tcPr>
          <w:p w:rsidR="00000000" w:rsidP="007A110B">
            <w:pPr>
              <w:pStyle w:val="BodyText"/>
              <w:rPr>
                <w:lang w:val="en-NZ"/>
              </w:rPr>
            </w:pPr>
            <w:r w:rsidRPr="007A110B">
              <w:t>Attach replacement die ensuring that locating devices and marks are matched and securing devices are installed and tightened to specification</w:t>
            </w:r>
          </w:p>
        </w:tc>
      </w:tr>
      <w:tr w:rsidTr="007A110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A110B">
            <w:pPr>
              <w:pStyle w:val="BodyText"/>
              <w:rPr>
                <w:lang w:val="en-NZ"/>
              </w:rPr>
            </w:pPr>
          </w:p>
        </w:tc>
      </w:tr>
      <w:tr w:rsidTr="007A11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A110B" w:rsidP="007A110B">
            <w:pPr>
              <w:pStyle w:val="BodyText"/>
            </w:pPr>
            <w:r w:rsidRPr="007A110B">
              <w:t>3</w:t>
            </w:r>
          </w:p>
        </w:tc>
        <w:tc>
          <w:tcPr>
            <w:tcW w:w="1962" w:type="dxa"/>
            <w:vMerge w:val="restart"/>
            <w:tcBorders>
              <w:top w:val="nil"/>
              <w:left w:val="nil"/>
              <w:bottom w:val="nil"/>
              <w:right w:val="nil"/>
            </w:tcBorders>
            <w:tcMar>
              <w:top w:w="0" w:type="dxa"/>
              <w:left w:w="62" w:type="dxa"/>
              <w:bottom w:w="0" w:type="dxa"/>
              <w:right w:w="62" w:type="dxa"/>
            </w:tcMar>
          </w:tcPr>
          <w:p w:rsidR="00000000" w:rsidP="007A110B">
            <w:pPr>
              <w:pStyle w:val="BodyText"/>
              <w:rPr>
                <w:lang w:val="en-NZ"/>
              </w:rPr>
            </w:pPr>
            <w:r w:rsidRPr="007A110B">
              <w:rPr>
                <w:rStyle w:val="SpecialBold"/>
              </w:rPr>
              <w:t>Set dies</w:t>
            </w:r>
          </w:p>
        </w:tc>
        <w:tc>
          <w:tcPr>
            <w:tcW w:w="770" w:type="dxa"/>
            <w:tcBorders>
              <w:top w:val="nil"/>
              <w:left w:val="nil"/>
              <w:bottom w:val="nil"/>
              <w:right w:val="nil"/>
            </w:tcBorders>
            <w:tcMar>
              <w:top w:w="0" w:type="dxa"/>
              <w:left w:w="62" w:type="dxa"/>
              <w:bottom w:w="0" w:type="dxa"/>
              <w:right w:w="62" w:type="dxa"/>
            </w:tcMar>
          </w:tcPr>
          <w:p w:rsidR="00000000" w:rsidP="007A110B">
            <w:pPr>
              <w:pStyle w:val="BodyText"/>
              <w:rPr>
                <w:lang w:val="en-NZ"/>
              </w:rPr>
            </w:pPr>
            <w:r w:rsidRPr="007A110B">
              <w:t>3.1</w:t>
            </w:r>
          </w:p>
        </w:tc>
        <w:tc>
          <w:tcPr>
            <w:tcW w:w="5610" w:type="dxa"/>
            <w:tcBorders>
              <w:top w:val="nil"/>
              <w:left w:val="nil"/>
              <w:bottom w:val="nil"/>
              <w:right w:val="nil"/>
            </w:tcBorders>
            <w:tcMar>
              <w:top w:w="0" w:type="dxa"/>
              <w:left w:w="62" w:type="dxa"/>
              <w:bottom w:w="0" w:type="dxa"/>
              <w:right w:w="62" w:type="dxa"/>
            </w:tcMar>
          </w:tcPr>
          <w:p w:rsidR="00000000" w:rsidP="007A110B">
            <w:pPr>
              <w:pStyle w:val="BodyText"/>
              <w:rPr>
                <w:lang w:val="en-NZ"/>
              </w:rPr>
            </w:pPr>
            <w:r w:rsidRPr="007A110B">
              <w:t>Set machine conditions for new die</w:t>
            </w:r>
          </w:p>
        </w:tc>
      </w:tr>
      <w:tr w:rsidTr="007A11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110B">
            <w:pPr>
              <w:pStyle w:val="BodyText"/>
              <w:rPr>
                <w:lang w:val="en-NZ"/>
              </w:rPr>
            </w:pPr>
            <w:r w:rsidRPr="007A110B">
              <w:t>3.2</w:t>
            </w:r>
          </w:p>
        </w:tc>
        <w:tc>
          <w:tcPr>
            <w:tcW w:w="5610" w:type="dxa"/>
            <w:tcBorders>
              <w:top w:val="nil"/>
              <w:left w:val="nil"/>
              <w:bottom w:val="nil"/>
              <w:right w:val="nil"/>
            </w:tcBorders>
            <w:tcMar>
              <w:top w:w="0" w:type="dxa"/>
              <w:left w:w="62" w:type="dxa"/>
              <w:bottom w:w="0" w:type="dxa"/>
              <w:right w:w="62" w:type="dxa"/>
            </w:tcMar>
          </w:tcPr>
          <w:p w:rsidR="00000000" w:rsidP="007A110B">
            <w:pPr>
              <w:pStyle w:val="BodyText"/>
              <w:rPr>
                <w:lang w:val="en-NZ"/>
              </w:rPr>
            </w:pPr>
            <w:r w:rsidRPr="007A110B">
              <w:t>Restart machine according to procedure</w:t>
            </w:r>
          </w:p>
        </w:tc>
      </w:tr>
      <w:tr w:rsidTr="007A11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110B">
            <w:pPr>
              <w:pStyle w:val="BodyText"/>
              <w:rPr>
                <w:lang w:val="en-NZ"/>
              </w:rPr>
            </w:pPr>
            <w:r w:rsidRPr="007A110B">
              <w:t>3.3</w:t>
            </w:r>
          </w:p>
        </w:tc>
        <w:tc>
          <w:tcPr>
            <w:tcW w:w="5610" w:type="dxa"/>
            <w:tcBorders>
              <w:top w:val="nil"/>
              <w:left w:val="nil"/>
              <w:bottom w:val="nil"/>
              <w:right w:val="nil"/>
            </w:tcBorders>
            <w:tcMar>
              <w:top w:w="0" w:type="dxa"/>
              <w:left w:w="62" w:type="dxa"/>
              <w:bottom w:w="0" w:type="dxa"/>
              <w:right w:w="62" w:type="dxa"/>
            </w:tcMar>
          </w:tcPr>
          <w:p w:rsidR="00000000" w:rsidP="007A110B">
            <w:pPr>
              <w:pStyle w:val="BodyText"/>
              <w:rPr>
                <w:lang w:val="en-NZ"/>
              </w:rPr>
            </w:pPr>
            <w:r w:rsidRPr="007A110B">
              <w:t>Dry cycle machine and die according to enterprise procedures</w:t>
            </w:r>
          </w:p>
        </w:tc>
      </w:tr>
      <w:tr w:rsidTr="007A11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110B">
            <w:pPr>
              <w:pStyle w:val="BodyText"/>
              <w:rPr>
                <w:lang w:val="en-NZ"/>
              </w:rPr>
            </w:pPr>
            <w:r w:rsidRPr="007A110B">
              <w:t>3.4</w:t>
            </w:r>
          </w:p>
        </w:tc>
        <w:tc>
          <w:tcPr>
            <w:tcW w:w="5610" w:type="dxa"/>
            <w:tcBorders>
              <w:top w:val="nil"/>
              <w:left w:val="nil"/>
              <w:bottom w:val="nil"/>
              <w:right w:val="nil"/>
            </w:tcBorders>
            <w:tcMar>
              <w:top w:w="0" w:type="dxa"/>
              <w:left w:w="62" w:type="dxa"/>
              <w:bottom w:w="0" w:type="dxa"/>
              <w:right w:w="62" w:type="dxa"/>
            </w:tcMar>
          </w:tcPr>
          <w:p w:rsidR="00000000" w:rsidP="007A110B">
            <w:pPr>
              <w:pStyle w:val="BodyText"/>
              <w:rPr>
                <w:lang w:val="en-NZ"/>
              </w:rPr>
            </w:pPr>
            <w:r w:rsidRPr="007A110B">
              <w:t>Check operation of die against product quality specifications</w:t>
            </w:r>
          </w:p>
        </w:tc>
      </w:tr>
      <w:tr w:rsidTr="007A11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110B">
            <w:pPr>
              <w:pStyle w:val="BodyText"/>
              <w:rPr>
                <w:lang w:val="en-NZ"/>
              </w:rPr>
            </w:pPr>
            <w:r w:rsidRPr="007A110B">
              <w:t>3.5</w:t>
            </w:r>
          </w:p>
        </w:tc>
        <w:tc>
          <w:tcPr>
            <w:tcW w:w="5610" w:type="dxa"/>
            <w:tcBorders>
              <w:top w:val="nil"/>
              <w:left w:val="nil"/>
              <w:bottom w:val="nil"/>
              <w:right w:val="nil"/>
            </w:tcBorders>
            <w:tcMar>
              <w:top w:w="0" w:type="dxa"/>
              <w:left w:w="62" w:type="dxa"/>
              <w:bottom w:w="0" w:type="dxa"/>
              <w:right w:w="62" w:type="dxa"/>
            </w:tcMar>
          </w:tcPr>
          <w:p w:rsidR="00000000" w:rsidP="007A110B">
            <w:pPr>
              <w:pStyle w:val="BodyText"/>
              <w:rPr>
                <w:lang w:val="en-NZ"/>
              </w:rPr>
            </w:pPr>
            <w:r w:rsidRPr="007A110B">
              <w:t>Check the first-off sample for compliance with required standards</w:t>
            </w:r>
          </w:p>
        </w:tc>
      </w:tr>
      <w:tr w:rsidTr="007A11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110B">
            <w:pPr>
              <w:pStyle w:val="BodyText"/>
              <w:rPr>
                <w:lang w:val="en-NZ"/>
              </w:rPr>
            </w:pPr>
            <w:r w:rsidRPr="007A110B">
              <w:t>3.6</w:t>
            </w:r>
          </w:p>
        </w:tc>
        <w:tc>
          <w:tcPr>
            <w:tcW w:w="5610" w:type="dxa"/>
            <w:tcBorders>
              <w:top w:val="nil"/>
              <w:left w:val="nil"/>
              <w:bottom w:val="nil"/>
              <w:right w:val="nil"/>
            </w:tcBorders>
            <w:tcMar>
              <w:top w:w="0" w:type="dxa"/>
              <w:left w:w="62" w:type="dxa"/>
              <w:bottom w:w="0" w:type="dxa"/>
              <w:right w:w="62" w:type="dxa"/>
            </w:tcMar>
          </w:tcPr>
          <w:p w:rsidR="00000000" w:rsidP="007A110B">
            <w:pPr>
              <w:pStyle w:val="BodyText"/>
              <w:rPr>
                <w:lang w:val="en-NZ"/>
              </w:rPr>
            </w:pPr>
            <w:r w:rsidRPr="007A110B">
              <w:t>Fine tune settings and other production variables as required</w:t>
            </w:r>
          </w:p>
        </w:tc>
      </w:tr>
      <w:tr w:rsidTr="007A11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110B">
            <w:pPr>
              <w:pStyle w:val="BodyText"/>
              <w:rPr>
                <w:lang w:val="en-NZ"/>
              </w:rPr>
            </w:pPr>
            <w:r w:rsidRPr="007A110B">
              <w:t>3.7</w:t>
            </w:r>
          </w:p>
        </w:tc>
        <w:tc>
          <w:tcPr>
            <w:tcW w:w="5610" w:type="dxa"/>
            <w:tcBorders>
              <w:top w:val="nil"/>
              <w:left w:val="nil"/>
              <w:bottom w:val="nil"/>
              <w:right w:val="nil"/>
            </w:tcBorders>
            <w:tcMar>
              <w:top w:w="0" w:type="dxa"/>
              <w:left w:w="62" w:type="dxa"/>
              <w:bottom w:w="0" w:type="dxa"/>
              <w:right w:w="62" w:type="dxa"/>
            </w:tcMar>
          </w:tcPr>
          <w:p w:rsidR="00000000" w:rsidP="007A110B">
            <w:pPr>
              <w:pStyle w:val="BodyText"/>
              <w:rPr>
                <w:lang w:val="en-NZ"/>
              </w:rPr>
            </w:pPr>
            <w:r w:rsidRPr="007A110B">
              <w:t>Note any equipment variances between actual production and documented set-up conditions</w:t>
            </w:r>
          </w:p>
        </w:tc>
      </w:tr>
      <w:tr w:rsidTr="007A11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110B">
            <w:pPr>
              <w:pStyle w:val="BodyText"/>
              <w:rPr>
                <w:lang w:val="en-NZ"/>
              </w:rPr>
            </w:pPr>
            <w:r w:rsidRPr="007A110B">
              <w:t>3.8</w:t>
            </w:r>
          </w:p>
        </w:tc>
        <w:tc>
          <w:tcPr>
            <w:tcW w:w="5610" w:type="dxa"/>
            <w:tcBorders>
              <w:top w:val="nil"/>
              <w:left w:val="nil"/>
              <w:bottom w:val="nil"/>
              <w:right w:val="nil"/>
            </w:tcBorders>
            <w:tcMar>
              <w:top w:w="0" w:type="dxa"/>
              <w:left w:w="62" w:type="dxa"/>
              <w:bottom w:w="0" w:type="dxa"/>
              <w:right w:w="62" w:type="dxa"/>
            </w:tcMar>
          </w:tcPr>
          <w:p w:rsidR="00000000" w:rsidP="007A110B">
            <w:pPr>
              <w:pStyle w:val="BodyText"/>
              <w:rPr>
                <w:lang w:val="en-NZ"/>
              </w:rPr>
            </w:pPr>
            <w:r w:rsidRPr="007A110B">
              <w:t>Complete workplace documentation and report to appropriate personnel</w:t>
            </w:r>
          </w:p>
        </w:tc>
      </w:tr>
      <w:tr w:rsidTr="007A110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A110B">
            <w:pPr>
              <w:pStyle w:val="BodyText"/>
              <w:rPr>
                <w:lang w:val="en-NZ"/>
              </w:rPr>
            </w:pPr>
          </w:p>
        </w:tc>
      </w:tr>
      <w:tr w:rsidTr="007A11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A110B" w:rsidP="007A110B">
            <w:pPr>
              <w:pStyle w:val="BodyText"/>
            </w:pPr>
            <w:r w:rsidRPr="007A110B">
              <w:t>4</w:t>
            </w:r>
          </w:p>
        </w:tc>
        <w:tc>
          <w:tcPr>
            <w:tcW w:w="1962" w:type="dxa"/>
            <w:vMerge w:val="restart"/>
            <w:tcBorders>
              <w:top w:val="nil"/>
              <w:left w:val="nil"/>
              <w:bottom w:val="nil"/>
              <w:right w:val="nil"/>
            </w:tcBorders>
            <w:tcMar>
              <w:top w:w="0" w:type="dxa"/>
              <w:left w:w="62" w:type="dxa"/>
              <w:bottom w:w="0" w:type="dxa"/>
              <w:right w:w="62" w:type="dxa"/>
            </w:tcMar>
          </w:tcPr>
          <w:p w:rsidR="00000000" w:rsidP="007A110B">
            <w:pPr>
              <w:pStyle w:val="BodyText"/>
              <w:rPr>
                <w:lang w:val="en-NZ"/>
              </w:rPr>
            </w:pPr>
            <w:r w:rsidRPr="007A110B">
              <w:rPr>
                <w:rStyle w:val="SpecialBold"/>
              </w:rPr>
              <w:t>Anticipate die setting problems</w:t>
            </w:r>
          </w:p>
        </w:tc>
        <w:tc>
          <w:tcPr>
            <w:tcW w:w="770" w:type="dxa"/>
            <w:tcBorders>
              <w:top w:val="nil"/>
              <w:left w:val="nil"/>
              <w:bottom w:val="nil"/>
              <w:right w:val="nil"/>
            </w:tcBorders>
            <w:tcMar>
              <w:top w:w="0" w:type="dxa"/>
              <w:left w:w="62" w:type="dxa"/>
              <w:bottom w:w="0" w:type="dxa"/>
              <w:right w:w="62" w:type="dxa"/>
            </w:tcMar>
          </w:tcPr>
          <w:p w:rsidR="00000000" w:rsidP="007A110B">
            <w:pPr>
              <w:pStyle w:val="BodyText"/>
              <w:rPr>
                <w:lang w:val="en-NZ"/>
              </w:rPr>
            </w:pPr>
            <w:r w:rsidRPr="007A110B">
              <w:t>4.1</w:t>
            </w:r>
          </w:p>
        </w:tc>
        <w:tc>
          <w:tcPr>
            <w:tcW w:w="5610" w:type="dxa"/>
            <w:tcBorders>
              <w:top w:val="nil"/>
              <w:left w:val="nil"/>
              <w:bottom w:val="nil"/>
              <w:right w:val="nil"/>
            </w:tcBorders>
            <w:tcMar>
              <w:top w:w="0" w:type="dxa"/>
              <w:left w:w="62" w:type="dxa"/>
              <w:bottom w:w="0" w:type="dxa"/>
              <w:right w:w="62" w:type="dxa"/>
            </w:tcMar>
          </w:tcPr>
          <w:p w:rsidR="00000000" w:rsidP="007A110B">
            <w:pPr>
              <w:pStyle w:val="BodyText"/>
              <w:rPr>
                <w:lang w:val="en-NZ"/>
              </w:rPr>
            </w:pPr>
            <w:r w:rsidRPr="007A110B">
              <w:t>Identify potential problems which may occur during the die changing and setting process</w:t>
            </w:r>
          </w:p>
        </w:tc>
      </w:tr>
      <w:tr w:rsidTr="007A11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110B">
            <w:pPr>
              <w:pStyle w:val="BodyText"/>
              <w:rPr>
                <w:lang w:val="en-NZ"/>
              </w:rPr>
            </w:pPr>
            <w:r w:rsidRPr="007A110B">
              <w:t>4.2</w:t>
            </w:r>
          </w:p>
        </w:tc>
        <w:tc>
          <w:tcPr>
            <w:tcW w:w="5610" w:type="dxa"/>
            <w:tcBorders>
              <w:top w:val="nil"/>
              <w:left w:val="nil"/>
              <w:bottom w:val="nil"/>
              <w:right w:val="nil"/>
            </w:tcBorders>
            <w:tcMar>
              <w:top w:w="0" w:type="dxa"/>
              <w:left w:w="62" w:type="dxa"/>
              <w:bottom w:w="0" w:type="dxa"/>
              <w:right w:w="62" w:type="dxa"/>
            </w:tcMar>
          </w:tcPr>
          <w:p w:rsidR="00000000" w:rsidP="007A110B">
            <w:pPr>
              <w:pStyle w:val="BodyText"/>
              <w:rPr>
                <w:lang w:val="en-NZ"/>
              </w:rPr>
            </w:pPr>
            <w:r w:rsidRPr="007A110B">
              <w:t>Determine possible causes of these problems</w:t>
            </w:r>
          </w:p>
        </w:tc>
      </w:tr>
      <w:tr w:rsidTr="007A11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110B">
            <w:pPr>
              <w:pStyle w:val="BodyText"/>
              <w:rPr>
                <w:lang w:val="en-NZ"/>
              </w:rPr>
            </w:pPr>
            <w:r w:rsidRPr="007A110B">
              <w:t>4.3</w:t>
            </w:r>
          </w:p>
        </w:tc>
        <w:tc>
          <w:tcPr>
            <w:tcW w:w="5610" w:type="dxa"/>
            <w:tcBorders>
              <w:top w:val="nil"/>
              <w:left w:val="nil"/>
              <w:bottom w:val="nil"/>
              <w:right w:val="nil"/>
            </w:tcBorders>
            <w:tcMar>
              <w:top w:w="0" w:type="dxa"/>
              <w:left w:w="62" w:type="dxa"/>
              <w:bottom w:w="0" w:type="dxa"/>
              <w:right w:w="62" w:type="dxa"/>
            </w:tcMar>
          </w:tcPr>
          <w:p w:rsidR="00000000" w:rsidP="007A110B">
            <w:pPr>
              <w:pStyle w:val="BodyText"/>
              <w:rPr>
                <w:lang w:val="en-NZ"/>
              </w:rPr>
            </w:pPr>
            <w:r w:rsidRPr="007A110B">
              <w:t>Identify most likely causes and prioritise appropriate actions</w:t>
            </w:r>
          </w:p>
        </w:tc>
      </w:tr>
      <w:tr w:rsidTr="007A11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110B">
            <w:pPr>
              <w:pStyle w:val="BodyText"/>
              <w:rPr>
                <w:lang w:val="en-NZ"/>
              </w:rPr>
            </w:pPr>
            <w:r w:rsidRPr="007A110B">
              <w:t>4.4</w:t>
            </w:r>
          </w:p>
        </w:tc>
        <w:tc>
          <w:tcPr>
            <w:tcW w:w="5610" w:type="dxa"/>
            <w:tcBorders>
              <w:top w:val="nil"/>
              <w:left w:val="nil"/>
              <w:bottom w:val="nil"/>
              <w:right w:val="nil"/>
            </w:tcBorders>
            <w:tcMar>
              <w:top w:w="0" w:type="dxa"/>
              <w:left w:w="62" w:type="dxa"/>
              <w:bottom w:w="0" w:type="dxa"/>
              <w:right w:w="62" w:type="dxa"/>
            </w:tcMar>
          </w:tcPr>
          <w:p w:rsidR="00000000" w:rsidP="007A110B">
            <w:pPr>
              <w:pStyle w:val="BodyText"/>
              <w:rPr>
                <w:lang w:val="en-NZ"/>
              </w:rPr>
            </w:pPr>
            <w:r w:rsidRPr="007A110B">
              <w:t>Rectify problems using appropriate solutions within area of responsibility</w:t>
            </w:r>
          </w:p>
        </w:tc>
      </w:tr>
      <w:tr w:rsidTr="007A11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110B">
            <w:pPr>
              <w:pStyle w:val="BodyText"/>
              <w:rPr>
                <w:lang w:val="en-NZ"/>
              </w:rPr>
            </w:pPr>
            <w:r w:rsidRPr="007A110B">
              <w:t>4.5</w:t>
            </w:r>
          </w:p>
        </w:tc>
        <w:tc>
          <w:tcPr>
            <w:tcW w:w="5610" w:type="dxa"/>
            <w:tcBorders>
              <w:top w:val="nil"/>
              <w:left w:val="nil"/>
              <w:bottom w:val="nil"/>
              <w:right w:val="nil"/>
            </w:tcBorders>
            <w:tcMar>
              <w:top w:w="0" w:type="dxa"/>
              <w:left w:w="62" w:type="dxa"/>
              <w:bottom w:w="0" w:type="dxa"/>
              <w:right w:w="62" w:type="dxa"/>
            </w:tcMar>
          </w:tcPr>
          <w:p w:rsidR="00000000" w:rsidRPr="007A110B" w:rsidP="007A110B">
            <w:pPr>
              <w:pStyle w:val="BodyText"/>
            </w:pPr>
            <w:r w:rsidRPr="007A110B">
              <w:t>Recommend improvements in systems or procedures</w:t>
            </w:r>
          </w:p>
        </w:tc>
      </w:tr>
    </w:tbl>
    <w:p w:rsidR="00000000" w:rsidRPr="007A110B" w:rsidP="007A110B">
      <w:pPr>
        <w:pStyle w:val="BodyText"/>
      </w:pPr>
    </w:p>
    <w:p w:rsidR="00000000" w:rsidRPr="007A110B" w:rsidP="007A110B">
      <w:pPr>
        <w:pStyle w:val="AllowPageBreak"/>
      </w:pPr>
    </w:p>
    <w:p w:rsidR="00000000" w:rsidRPr="007A110B" w:rsidP="007A110B">
      <w:pPr>
        <w:pStyle w:val="Heading1"/>
      </w:pPr>
      <w:bookmarkStart w:id="7" w:name="O_924554"/>
      <w:bookmarkEnd w:id="7"/>
      <w:r w:rsidRPr="007A110B">
        <w:t>Foundation Skills</w:t>
      </w:r>
    </w:p>
    <w:p w:rsidR="00000000" w:rsidRPr="007A110B" w:rsidP="00357543">
      <w:pPr>
        <w:pStyle w:val="BodyText"/>
      </w:pPr>
      <w:r w:rsidRPr="007A110B">
        <w:t>This section describes those required skills (language, literacy and numeracy) that are e</w:t>
      </w:r>
      <w:r w:rsidRPr="007A110B">
        <w:t>ssential to performance.</w:t>
      </w:r>
    </w:p>
    <w:p w:rsidR="00000000" w:rsidRPr="007A110B" w:rsidP="00357543">
      <w:pPr>
        <w:pStyle w:val="BodyText"/>
      </w:pPr>
      <w:r w:rsidRPr="007A110B">
        <w:t>Foundation skills essential to performance are explicit in the performance criteria of this unit of competency.</w:t>
      </w:r>
    </w:p>
    <w:p w:rsidR="00000000" w:rsidRPr="007A110B" w:rsidP="007A110B">
      <w:pPr>
        <w:pStyle w:val="Heading1"/>
      </w:pPr>
      <w:bookmarkStart w:id="8" w:name="O_924553"/>
      <w:bookmarkEnd w:id="8"/>
      <w:r w:rsidRPr="007A110B">
        <w:t>Range of Conditions</w:t>
      </w:r>
    </w:p>
    <w:tbl>
      <w:tblPr>
        <w:tblW w:w="0" w:type="auto"/>
        <w:tblCellMar>
          <w:left w:w="62" w:type="dxa"/>
          <w:right w:w="62" w:type="dxa"/>
        </w:tblCellMar>
        <w:tblLook w:val="0000"/>
      </w:tblPr>
      <w:tblGrid>
        <w:gridCol w:w="2163"/>
        <w:gridCol w:w="7033"/>
      </w:tblGrid>
      <w:tr w:rsidTr="0035754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A110B">
            <w:pPr>
              <w:pStyle w:val="BodyText"/>
              <w:rPr>
                <w:lang w:val="en-NZ"/>
              </w:rPr>
            </w:pPr>
            <w:r w:rsidRPr="007A110B">
              <w:t>This field allows for different work environments and conditions that may affect performance. Essential operating conditions that may be present (depending on the work situation, needs of the candidate, accessibility of the item, and local industry and reg</w:t>
            </w:r>
            <w:r w:rsidRPr="007A110B">
              <w:t>ional contexts) are included.</w:t>
            </w:r>
          </w:p>
        </w:tc>
      </w:tr>
      <w:tr w:rsidTr="003575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A110B" w:rsidP="007A110B">
            <w:pPr>
              <w:pStyle w:val="BodyText"/>
            </w:pPr>
            <w:r w:rsidRPr="007A110B">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7A110B" w:rsidP="007A110B">
            <w:pPr>
              <w:pStyle w:val="BodyText"/>
            </w:pPr>
            <w:r w:rsidRPr="007A110B">
              <w:t>The latest version of all legislation, regulations, industry codes of practice and Australian/international standards, or the version specified by the local regulatory authority, must be used.</w:t>
            </w:r>
          </w:p>
          <w:p w:rsidR="00000000" w:rsidRPr="007A110B" w:rsidP="007A110B">
            <w:pPr>
              <w:pStyle w:val="BodyText"/>
            </w:pPr>
          </w:p>
          <w:p w:rsidR="00000000" w:rsidRPr="007A110B" w:rsidP="007A110B">
            <w:pPr>
              <w:pStyle w:val="BodyText"/>
            </w:pPr>
            <w:r w:rsidRPr="007A110B">
              <w:t>Applica</w:t>
            </w:r>
            <w:r w:rsidRPr="007A110B">
              <w:t>ble legislation, regulations, standards and codes of practice include:</w:t>
            </w:r>
          </w:p>
          <w:p w:rsidR="00000000" w:rsidRPr="007A110B" w:rsidP="007A110B">
            <w:pPr>
              <w:pStyle w:val="ListBullet"/>
            </w:pPr>
            <w:r w:rsidRPr="007A110B">
              <w:t xml:space="preserve">health, safety and environmental (HSE) legislation, regulations and codes of practice relevant to the workplace, manual handling and hazardous materials </w:t>
            </w:r>
          </w:p>
          <w:p w:rsidR="00000000" w:rsidRPr="007A110B" w:rsidP="007A110B">
            <w:pPr>
              <w:pStyle w:val="ListBullet"/>
            </w:pPr>
            <w:r w:rsidRPr="007A110B">
              <w:t xml:space="preserve">Australian/international standards relevant to the materials being used and products being made </w:t>
            </w:r>
          </w:p>
          <w:p w:rsidR="00000000" w:rsidRPr="007A110B" w:rsidP="007A110B">
            <w:pPr>
              <w:pStyle w:val="ListBullet"/>
            </w:pPr>
            <w:r w:rsidRPr="007A110B">
              <w:t>any relevant licence and certification requirements.</w:t>
            </w:r>
          </w:p>
          <w:p w:rsidR="00000000" w:rsidRPr="007A110B" w:rsidP="007A110B">
            <w:pPr>
              <w:pStyle w:val="BodyText"/>
            </w:pPr>
          </w:p>
          <w:p w:rsidR="00000000" w:rsidRPr="007A110B" w:rsidP="007A110B">
            <w:pPr>
              <w:pStyle w:val="BodyText"/>
            </w:pPr>
            <w:r w:rsidRPr="007A110B">
              <w:t>All operations to which this unit applies are subject to stringent HSE requirements, which may be imposed</w:t>
            </w:r>
            <w:r w:rsidRPr="007A110B">
              <w:t xml:space="preserve"> through state/territory or federal legislation, and these must not be compromised at any time. Where there is an apparent conflict between performance criteria and such requirements the legislative requirements take precedence.</w:t>
            </w:r>
          </w:p>
          <w:p w:rsidR="00000000" w:rsidP="007A110B">
            <w:pPr>
              <w:pStyle w:val="BodyText"/>
              <w:rPr>
                <w:lang w:val="en-NZ"/>
              </w:rPr>
            </w:pPr>
          </w:p>
        </w:tc>
      </w:tr>
      <w:tr w:rsidTr="003575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110B">
            <w:pPr>
              <w:pStyle w:val="BodyText"/>
              <w:rPr>
                <w:lang w:val="en-NZ"/>
              </w:rPr>
            </w:pPr>
            <w:r w:rsidRPr="007A110B">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7A110B" w:rsidP="007A110B">
            <w:pPr>
              <w:pStyle w:val="BodyText"/>
            </w:pPr>
            <w:r w:rsidRPr="007A110B">
              <w:t>All operations</w:t>
            </w:r>
            <w:r w:rsidRPr="007A110B">
              <w:t xml:space="preserve"> must be performed in accordance with relevant procedures.</w:t>
            </w:r>
          </w:p>
          <w:p w:rsidR="00000000" w:rsidRPr="007A110B" w:rsidP="007A110B">
            <w:pPr>
              <w:pStyle w:val="BodyText"/>
            </w:pPr>
          </w:p>
          <w:p w:rsidR="00000000" w:rsidRPr="007A110B" w:rsidP="007A110B">
            <w:pPr>
              <w:pStyle w:val="BodyText"/>
            </w:pPr>
            <w:r w:rsidRPr="007A110B">
              <w:t>Procedures are written, verbal, visual, computer-based or in some other form, and include one or any combination of:</w:t>
            </w:r>
          </w:p>
          <w:p w:rsidR="00000000" w:rsidRPr="007A110B" w:rsidP="007A110B">
            <w:pPr>
              <w:pStyle w:val="ListBullet"/>
            </w:pPr>
            <w:r w:rsidRPr="007A110B">
              <w:t>emergency procedures</w:t>
            </w:r>
          </w:p>
          <w:p w:rsidR="00000000" w:rsidRPr="007A110B" w:rsidP="007A110B">
            <w:pPr>
              <w:pStyle w:val="ListBullet"/>
            </w:pPr>
            <w:r w:rsidRPr="007A110B">
              <w:t>work instructions</w:t>
            </w:r>
          </w:p>
          <w:p w:rsidR="00000000" w:rsidRPr="007A110B" w:rsidP="007A110B">
            <w:pPr>
              <w:pStyle w:val="ListBullet"/>
            </w:pPr>
            <w:r w:rsidRPr="007A110B">
              <w:t>standard operating procedures (SOPs)</w:t>
            </w:r>
          </w:p>
          <w:p w:rsidR="00000000" w:rsidRPr="007A110B" w:rsidP="007A110B">
            <w:pPr>
              <w:pStyle w:val="ListBullet"/>
            </w:pPr>
            <w:r w:rsidRPr="007A110B">
              <w:t>sa</w:t>
            </w:r>
            <w:r w:rsidRPr="007A110B">
              <w:t>fe work method statements (SWMS)</w:t>
            </w:r>
          </w:p>
          <w:p w:rsidR="00000000" w:rsidRPr="007A110B" w:rsidP="007A110B">
            <w:pPr>
              <w:pStyle w:val="ListBullet"/>
            </w:pPr>
            <w:r w:rsidRPr="007A110B">
              <w:t>formulas/recipes</w:t>
            </w:r>
          </w:p>
          <w:p w:rsidR="00000000" w:rsidRPr="007A110B" w:rsidP="007A110B">
            <w:pPr>
              <w:pStyle w:val="ListBullet"/>
            </w:pPr>
            <w:r w:rsidRPr="007A110B">
              <w:t>batch sheets</w:t>
            </w:r>
          </w:p>
          <w:p w:rsidR="00000000" w:rsidRPr="007A110B" w:rsidP="007A110B">
            <w:pPr>
              <w:pStyle w:val="ListBullet"/>
            </w:pPr>
            <w:r w:rsidRPr="007A110B">
              <w:t>temporary instructions</w:t>
            </w:r>
          </w:p>
          <w:p w:rsidR="00000000" w:rsidRPr="007A110B" w:rsidP="007A110B">
            <w:pPr>
              <w:pStyle w:val="ListBullet"/>
            </w:pPr>
            <w:r w:rsidRPr="007A110B">
              <w:t>any similar instructions provided for the smooth running of the plant.</w:t>
            </w:r>
          </w:p>
          <w:p w:rsidR="00000000" w:rsidP="007A110B">
            <w:pPr>
              <w:pStyle w:val="BodyText"/>
              <w:rPr>
                <w:lang w:val="en-NZ"/>
              </w:rPr>
            </w:pPr>
          </w:p>
        </w:tc>
      </w:tr>
      <w:tr w:rsidTr="003575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110B">
            <w:pPr>
              <w:pStyle w:val="BodyText"/>
              <w:rPr>
                <w:lang w:val="en-NZ"/>
              </w:rPr>
            </w:pPr>
            <w:r w:rsidRPr="007A110B">
              <w:rPr>
                <w:rStyle w:val="SpecialBold"/>
              </w:rPr>
              <w:t>Simple die</w:t>
            </w:r>
          </w:p>
        </w:tc>
        <w:tc>
          <w:tcPr>
            <w:tcW w:w="0" w:type="auto"/>
            <w:tcBorders>
              <w:top w:val="nil"/>
              <w:left w:val="nil"/>
              <w:bottom w:val="nil"/>
              <w:right w:val="nil"/>
            </w:tcBorders>
            <w:tcMar>
              <w:top w:w="0" w:type="dxa"/>
              <w:left w:w="62" w:type="dxa"/>
              <w:bottom w:w="0" w:type="dxa"/>
              <w:right w:w="62" w:type="dxa"/>
            </w:tcMar>
          </w:tcPr>
          <w:p w:rsidR="00000000" w:rsidRPr="007A110B" w:rsidP="007A110B">
            <w:pPr>
              <w:pStyle w:val="BodyText"/>
            </w:pPr>
            <w:r w:rsidRPr="007A110B">
              <w:t>For the purposes of this Training Package a simple die is a two-plate die used to give the required shape to the product and used under pressure to produce simple, straight drawn items. It includes any ejection system operating in the mould open axis.</w:t>
            </w:r>
          </w:p>
          <w:p w:rsidR="00000000" w:rsidRPr="007A110B" w:rsidP="007A110B">
            <w:pPr>
              <w:pStyle w:val="BodyText"/>
            </w:pPr>
          </w:p>
          <w:p w:rsidR="00000000" w:rsidRPr="007A110B" w:rsidP="007A110B">
            <w:pPr>
              <w:pStyle w:val="BodyText"/>
            </w:pPr>
            <w:r w:rsidRPr="007A110B">
              <w:t>The</w:t>
            </w:r>
            <w:r w:rsidRPr="007A110B">
              <w:t xml:space="preserve"> following are not considered simple dies:</w:t>
            </w:r>
          </w:p>
          <w:p w:rsidR="00000000" w:rsidRPr="007A110B" w:rsidP="007A110B">
            <w:pPr>
              <w:pStyle w:val="ListBullet"/>
            </w:pPr>
            <w:r w:rsidRPr="007A110B">
              <w:t>dies which are not subject to pressure (these are referred to as moulds in this Training Package)</w:t>
            </w:r>
          </w:p>
          <w:p w:rsidR="00000000" w:rsidRPr="007A110B" w:rsidP="007A110B">
            <w:pPr>
              <w:pStyle w:val="ListBullet"/>
            </w:pPr>
            <w:r w:rsidRPr="007A110B">
              <w:t>two- or three-plate dies with one or more product forming components which move in a direction other than the moul</w:t>
            </w:r>
            <w:r w:rsidRPr="007A110B">
              <w:t>d open axis, and which are driven by the mould rather than external actuation</w:t>
            </w:r>
          </w:p>
          <w:p w:rsidR="00000000" w:rsidRPr="007A110B" w:rsidP="007A110B">
            <w:pPr>
              <w:pStyle w:val="ListBullet"/>
            </w:pPr>
            <w:r w:rsidRPr="007A110B">
              <w:t>moulds with molten material retained within the mould between cycles.</w:t>
            </w:r>
          </w:p>
          <w:p w:rsidR="00000000" w:rsidP="007A110B">
            <w:pPr>
              <w:pStyle w:val="BodyText"/>
              <w:rPr>
                <w:lang w:val="en-NZ"/>
              </w:rPr>
            </w:pPr>
          </w:p>
        </w:tc>
      </w:tr>
      <w:tr w:rsidTr="003575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110B">
            <w:pPr>
              <w:pStyle w:val="BodyText"/>
              <w:rPr>
                <w:lang w:val="en-NZ"/>
              </w:rPr>
            </w:pPr>
            <w:r w:rsidRPr="007A110B">
              <w:rPr>
                <w:rStyle w:val="SpecialBold"/>
              </w:rPr>
              <w:t>Setting</w:t>
            </w:r>
          </w:p>
        </w:tc>
        <w:tc>
          <w:tcPr>
            <w:tcW w:w="0" w:type="auto"/>
            <w:tcBorders>
              <w:top w:val="nil"/>
              <w:left w:val="nil"/>
              <w:bottom w:val="nil"/>
              <w:right w:val="nil"/>
            </w:tcBorders>
            <w:tcMar>
              <w:top w:w="0" w:type="dxa"/>
              <w:left w:w="62" w:type="dxa"/>
              <w:bottom w:w="0" w:type="dxa"/>
              <w:right w:w="62" w:type="dxa"/>
            </w:tcMar>
          </w:tcPr>
          <w:p w:rsidR="00000000" w:rsidRPr="007A110B" w:rsidP="007A110B">
            <w:pPr>
              <w:pStyle w:val="BodyText"/>
            </w:pPr>
            <w:r w:rsidRPr="007A110B">
              <w:t>Setting machine conditions for the replacement die must be relevant to the type of equipment/process being used and includes one or more of:</w:t>
            </w:r>
          </w:p>
          <w:p w:rsidR="00000000" w:rsidRPr="007A110B" w:rsidP="007A110B">
            <w:pPr>
              <w:pStyle w:val="ListBullet"/>
            </w:pPr>
            <w:r w:rsidRPr="007A110B">
              <w:t>mould height on the machine</w:t>
            </w:r>
          </w:p>
          <w:p w:rsidR="00000000" w:rsidRPr="007A110B" w:rsidP="007A110B">
            <w:pPr>
              <w:pStyle w:val="ListBullet"/>
            </w:pPr>
            <w:r w:rsidRPr="007A110B">
              <w:t>clamp force</w:t>
            </w:r>
          </w:p>
          <w:p w:rsidR="00000000" w:rsidRPr="007A110B" w:rsidP="007A110B">
            <w:pPr>
              <w:pStyle w:val="ListBullet"/>
            </w:pPr>
            <w:r w:rsidRPr="007A110B">
              <w:t>mould safety system</w:t>
            </w:r>
          </w:p>
          <w:p w:rsidR="00000000" w:rsidRPr="007A110B" w:rsidP="007A110B">
            <w:pPr>
              <w:pStyle w:val="ListBullet"/>
            </w:pPr>
            <w:r w:rsidRPr="007A110B">
              <w:t>ejector system</w:t>
            </w:r>
          </w:p>
          <w:p w:rsidR="00000000" w:rsidRPr="007A110B" w:rsidP="007A110B">
            <w:pPr>
              <w:pStyle w:val="ListBullet"/>
            </w:pPr>
            <w:r w:rsidRPr="007A110B">
              <w:t>mould opening and closing distances, sp</w:t>
            </w:r>
            <w:r w:rsidRPr="007A110B">
              <w:t xml:space="preserve">eeds and forces </w:t>
            </w:r>
          </w:p>
          <w:p w:rsidR="00000000" w:rsidRPr="007A110B" w:rsidP="007A110B">
            <w:pPr>
              <w:pStyle w:val="ListBullet"/>
            </w:pPr>
            <w:r w:rsidRPr="007A110B">
              <w:t>injection unit.</w:t>
            </w:r>
          </w:p>
          <w:p w:rsidR="00000000" w:rsidRPr="007A110B" w:rsidP="007A110B">
            <w:pPr>
              <w:pStyle w:val="BodyText"/>
            </w:pPr>
          </w:p>
          <w:p w:rsidR="00000000" w:rsidRPr="007A110B" w:rsidP="007A110B">
            <w:pPr>
              <w:pStyle w:val="BodyText"/>
            </w:pPr>
            <w:r w:rsidRPr="007A110B">
              <w:t>These settings may be performed automatically by using an electronic storage device to load settings from a previous run of the product or may be performed by manually setting controls individually.</w:t>
            </w:r>
          </w:p>
          <w:p w:rsidR="00000000" w:rsidP="007A110B">
            <w:pPr>
              <w:pStyle w:val="BodyText"/>
              <w:rPr>
                <w:lang w:val="en-NZ"/>
              </w:rPr>
            </w:pPr>
          </w:p>
        </w:tc>
      </w:tr>
      <w:tr w:rsidTr="003575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110B">
            <w:pPr>
              <w:pStyle w:val="BodyText"/>
              <w:rPr>
                <w:lang w:val="en-NZ"/>
              </w:rPr>
            </w:pPr>
            <w:r w:rsidRPr="007A110B">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7A110B" w:rsidP="007A110B">
            <w:pPr>
              <w:pStyle w:val="BodyText"/>
            </w:pPr>
            <w:r w:rsidRPr="007A110B">
              <w:t>Tools and equipment include one or more of:</w:t>
            </w:r>
          </w:p>
          <w:p w:rsidR="00000000" w:rsidRPr="007A110B" w:rsidP="007A110B">
            <w:pPr>
              <w:pStyle w:val="ListBullet"/>
            </w:pPr>
            <w:r w:rsidRPr="007A110B">
              <w:t>hand carts and trolleys</w:t>
            </w:r>
          </w:p>
          <w:p w:rsidR="00000000" w:rsidRPr="007A110B" w:rsidP="007A110B">
            <w:pPr>
              <w:pStyle w:val="ListBullet"/>
            </w:pPr>
            <w:r w:rsidRPr="007A110B">
              <w:t>hoists/lifting equipment not requiring any special permits or licences</w:t>
            </w:r>
          </w:p>
          <w:p w:rsidR="00000000" w:rsidRPr="007A110B" w:rsidP="007A110B">
            <w:pPr>
              <w:pStyle w:val="ListBullet"/>
            </w:pPr>
            <w:r w:rsidRPr="007A110B">
              <w:t xml:space="preserve">basic hand tools </w:t>
            </w:r>
          </w:p>
          <w:p w:rsidR="00000000" w:rsidRPr="007A110B" w:rsidP="007A110B">
            <w:pPr>
              <w:pStyle w:val="ListBullet"/>
            </w:pPr>
            <w:r w:rsidRPr="007A110B">
              <w:t>relevant personal protective equipment (PPE).</w:t>
            </w:r>
          </w:p>
          <w:p w:rsidR="00000000" w:rsidP="007A110B">
            <w:pPr>
              <w:pStyle w:val="BodyText"/>
              <w:rPr>
                <w:lang w:val="en-NZ"/>
              </w:rPr>
            </w:pPr>
          </w:p>
        </w:tc>
      </w:tr>
      <w:tr w:rsidTr="003575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110B">
            <w:pPr>
              <w:pStyle w:val="BodyText"/>
              <w:rPr>
                <w:lang w:val="en-NZ"/>
              </w:rPr>
            </w:pPr>
            <w:r w:rsidRPr="007A110B">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7A110B" w:rsidP="007A110B">
            <w:pPr>
              <w:pStyle w:val="BodyText"/>
            </w:pPr>
            <w:r w:rsidRPr="007A110B">
              <w:t>Hazards must be identified and controlled.</w:t>
            </w:r>
            <w:r w:rsidRPr="007A110B">
              <w:t xml:space="preserve"> Identifying hazards requires consideration of:</w:t>
            </w:r>
          </w:p>
          <w:p w:rsidR="00000000" w:rsidRPr="007A110B" w:rsidP="007A110B">
            <w:pPr>
              <w:pStyle w:val="ListBullet"/>
            </w:pPr>
            <w:r w:rsidRPr="007A110B">
              <w:t>weight, shape, volume of materials to be handled</w:t>
            </w:r>
          </w:p>
          <w:p w:rsidR="00000000" w:rsidRPr="007A110B" w:rsidP="007A110B">
            <w:pPr>
              <w:pStyle w:val="ListBullet"/>
            </w:pPr>
            <w:r w:rsidRPr="007A110B">
              <w:t>hazardous products and materials</w:t>
            </w:r>
          </w:p>
          <w:p w:rsidR="00000000" w:rsidRPr="007A110B" w:rsidP="007A110B">
            <w:pPr>
              <w:pStyle w:val="ListBullet"/>
            </w:pPr>
            <w:r w:rsidRPr="007A110B">
              <w:t>hot surfaces</w:t>
            </w:r>
          </w:p>
          <w:p w:rsidR="00000000" w:rsidRPr="007A110B" w:rsidP="007A110B">
            <w:pPr>
              <w:pStyle w:val="ListBullet"/>
            </w:pPr>
            <w:r w:rsidRPr="007A110B">
              <w:t>sharp edges, protrusions or obstructions</w:t>
            </w:r>
          </w:p>
          <w:p w:rsidR="00000000" w:rsidRPr="007A110B" w:rsidP="007A110B">
            <w:pPr>
              <w:pStyle w:val="ListBullet"/>
            </w:pPr>
            <w:r w:rsidRPr="007A110B">
              <w:t>slippery surfaces, spills or leaks</w:t>
            </w:r>
          </w:p>
          <w:p w:rsidR="00000000" w:rsidRPr="007A110B" w:rsidP="007A110B">
            <w:pPr>
              <w:pStyle w:val="ListBullet"/>
            </w:pPr>
            <w:r w:rsidRPr="007A110B">
              <w:t>heat, smoke, dust, vapours or other atmospheric hazards</w:t>
            </w:r>
          </w:p>
          <w:p w:rsidR="00000000" w:rsidRPr="007A110B" w:rsidP="007A110B">
            <w:pPr>
              <w:pStyle w:val="ListBullet"/>
            </w:pPr>
            <w:r w:rsidRPr="007A110B">
              <w:t>electricity</w:t>
            </w:r>
          </w:p>
          <w:p w:rsidR="00000000" w:rsidRPr="007A110B" w:rsidP="007A110B">
            <w:pPr>
              <w:pStyle w:val="ListBullet"/>
            </w:pPr>
            <w:r w:rsidRPr="007A110B">
              <w:t>gas</w:t>
            </w:r>
          </w:p>
          <w:p w:rsidR="00000000" w:rsidRPr="007A110B" w:rsidP="007A110B">
            <w:pPr>
              <w:pStyle w:val="ListBullet"/>
            </w:pPr>
            <w:r w:rsidRPr="007A110B">
              <w:t xml:space="preserve">gases and liquids under pressure </w:t>
            </w:r>
          </w:p>
          <w:p w:rsidR="00000000" w:rsidRPr="007A110B" w:rsidP="007A110B">
            <w:pPr>
              <w:pStyle w:val="ListBullet"/>
            </w:pPr>
            <w:r w:rsidRPr="007A110B">
              <w:t>structural hazards</w:t>
            </w:r>
          </w:p>
          <w:p w:rsidR="00000000" w:rsidRPr="007A110B" w:rsidP="007A110B">
            <w:pPr>
              <w:pStyle w:val="ListBullet"/>
            </w:pPr>
            <w:r w:rsidRPr="007A110B">
              <w:t>equipment failures</w:t>
            </w:r>
          </w:p>
          <w:p w:rsidR="00000000" w:rsidRPr="007A110B" w:rsidP="007A110B">
            <w:pPr>
              <w:pStyle w:val="ListBullet"/>
            </w:pPr>
            <w:r w:rsidRPr="007A110B">
              <w:t>machinery, equipment and product mass</w:t>
            </w:r>
          </w:p>
          <w:p w:rsidR="00000000" w:rsidRPr="007A110B" w:rsidP="007A110B">
            <w:pPr>
              <w:pStyle w:val="ListBullet"/>
            </w:pPr>
            <w:r w:rsidRPr="007A110B">
              <w:t>other hazards that might arise</w:t>
            </w:r>
          </w:p>
          <w:p w:rsidR="00000000" w:rsidP="007A110B">
            <w:pPr>
              <w:pStyle w:val="BodyText"/>
              <w:rPr>
                <w:lang w:val="en-NZ"/>
              </w:rPr>
            </w:pPr>
          </w:p>
        </w:tc>
      </w:tr>
      <w:tr w:rsidTr="003575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110B">
            <w:pPr>
              <w:pStyle w:val="BodyText"/>
              <w:rPr>
                <w:lang w:val="en-NZ"/>
              </w:rPr>
            </w:pPr>
            <w:r w:rsidRPr="007A110B">
              <w:rPr>
                <w:rStyle w:val="SpecialBold"/>
              </w:rPr>
              <w:t>Non-routine problems</w:t>
            </w:r>
          </w:p>
        </w:tc>
        <w:tc>
          <w:tcPr>
            <w:tcW w:w="0" w:type="auto"/>
            <w:tcBorders>
              <w:top w:val="nil"/>
              <w:left w:val="nil"/>
              <w:bottom w:val="nil"/>
              <w:right w:val="nil"/>
            </w:tcBorders>
            <w:tcMar>
              <w:top w:w="0" w:type="dxa"/>
              <w:left w:w="62" w:type="dxa"/>
              <w:bottom w:w="0" w:type="dxa"/>
              <w:right w:w="62" w:type="dxa"/>
            </w:tcMar>
          </w:tcPr>
          <w:p w:rsidR="00000000" w:rsidRPr="007A110B" w:rsidP="007A110B">
            <w:pPr>
              <w:pStyle w:val="BodyText"/>
            </w:pPr>
            <w:r w:rsidRPr="007A110B">
              <w:t>Non-routine problems</w:t>
            </w:r>
            <w:r w:rsidRPr="007A110B">
              <w:t xml:space="preserve"> must be resolved by applying operational knowledge to develop new solutions, either individually or in collaboration with relevant experts, to:</w:t>
            </w:r>
          </w:p>
          <w:p w:rsidR="00000000" w:rsidRPr="007A110B" w:rsidP="007A110B">
            <w:pPr>
              <w:pStyle w:val="ListBullet"/>
            </w:pPr>
            <w:r w:rsidRPr="007A110B">
              <w:t>determine problems needing action</w:t>
            </w:r>
          </w:p>
          <w:p w:rsidR="00000000" w:rsidRPr="007A110B" w:rsidP="007A110B">
            <w:pPr>
              <w:pStyle w:val="ListBullet"/>
            </w:pPr>
            <w:r w:rsidRPr="007A110B">
              <w:t>determine possible fault causes</w:t>
            </w:r>
          </w:p>
          <w:p w:rsidR="00000000" w:rsidRPr="007A110B" w:rsidP="007A110B">
            <w:pPr>
              <w:pStyle w:val="ListBullet"/>
            </w:pPr>
            <w:r w:rsidRPr="007A110B">
              <w:t>develop solutions to problems which do not have a known solution</w:t>
            </w:r>
          </w:p>
          <w:p w:rsidR="00000000" w:rsidRPr="007A110B" w:rsidP="007A110B">
            <w:pPr>
              <w:pStyle w:val="ListBullet"/>
            </w:pPr>
            <w:r w:rsidRPr="007A110B">
              <w:t>follow through items initiated until final resolution has occurred</w:t>
            </w:r>
          </w:p>
          <w:p w:rsidR="00000000" w:rsidRPr="007A110B" w:rsidP="007A110B">
            <w:pPr>
              <w:pStyle w:val="ListBullet"/>
            </w:pPr>
            <w:r w:rsidRPr="007A110B">
              <w:t>report problems outside area of responsibility to designated person.</w:t>
            </w:r>
          </w:p>
          <w:p w:rsidR="00000000" w:rsidRPr="007A110B" w:rsidP="007A110B">
            <w:pPr>
              <w:pStyle w:val="BodyText"/>
            </w:pPr>
          </w:p>
          <w:p w:rsidR="00000000" w:rsidRPr="007A110B" w:rsidP="007A110B">
            <w:pPr>
              <w:pStyle w:val="BodyText"/>
            </w:pPr>
            <w:r w:rsidRPr="007A110B">
              <w:t>Non-routine problems are unexpected problems or variat</w:t>
            </w:r>
            <w:r w:rsidRPr="007A110B">
              <w:t>ions of previous problems and include one or more of:</w:t>
            </w:r>
          </w:p>
          <w:p w:rsidR="00000000" w:rsidRPr="007A110B" w:rsidP="007A110B">
            <w:pPr>
              <w:pStyle w:val="ListBullet"/>
            </w:pPr>
            <w:r w:rsidRPr="007A110B">
              <w:t>corrosion of die surface and/or cooling channels</w:t>
            </w:r>
          </w:p>
          <w:p w:rsidR="00000000" w:rsidRPr="007A110B" w:rsidP="007A110B">
            <w:pPr>
              <w:pStyle w:val="ListBullet"/>
            </w:pPr>
            <w:r w:rsidRPr="007A110B">
              <w:t xml:space="preserve">poor alignment of die </w:t>
            </w:r>
          </w:p>
          <w:p w:rsidR="00000000" w:rsidRPr="007A110B" w:rsidP="007A110B">
            <w:pPr>
              <w:pStyle w:val="ListBullet"/>
            </w:pPr>
            <w:r w:rsidRPr="007A110B">
              <w:t>movement during production</w:t>
            </w:r>
          </w:p>
          <w:p w:rsidR="00000000" w:rsidRPr="007A110B" w:rsidP="007A110B">
            <w:pPr>
              <w:pStyle w:val="ListBullet"/>
            </w:pPr>
            <w:r w:rsidRPr="007A110B">
              <w:t xml:space="preserve">faulty components </w:t>
            </w:r>
          </w:p>
          <w:p w:rsidR="00000000" w:rsidRPr="007A110B" w:rsidP="007A110B">
            <w:pPr>
              <w:pStyle w:val="ListBullet"/>
            </w:pPr>
            <w:r w:rsidRPr="007A110B">
              <w:t xml:space="preserve">machine malfunction </w:t>
            </w:r>
          </w:p>
          <w:p w:rsidR="00000000" w:rsidRPr="007A110B" w:rsidP="007A110B">
            <w:pPr>
              <w:pStyle w:val="ListBullet"/>
            </w:pPr>
            <w:r w:rsidRPr="007A110B">
              <w:t>variation in product.</w:t>
            </w:r>
          </w:p>
          <w:p w:rsidR="00000000" w:rsidRPr="007A110B" w:rsidP="007A110B">
            <w:pPr>
              <w:pStyle w:val="BodyText"/>
            </w:pPr>
          </w:p>
          <w:p w:rsidR="00000000" w:rsidRPr="007A110B" w:rsidP="007A110B">
            <w:pPr>
              <w:pStyle w:val="BodyText"/>
            </w:pPr>
            <w:r w:rsidRPr="007A110B">
              <w:t>Operational knowledge includes one or m</w:t>
            </w:r>
            <w:r w:rsidRPr="007A110B">
              <w:t>ore of:</w:t>
            </w:r>
          </w:p>
          <w:p w:rsidR="00000000" w:rsidRPr="007A110B" w:rsidP="007A110B">
            <w:pPr>
              <w:pStyle w:val="ListBullet"/>
            </w:pPr>
            <w:r w:rsidRPr="007A110B">
              <w:t>procedures</w:t>
            </w:r>
          </w:p>
          <w:p w:rsidR="00000000" w:rsidRPr="007A110B" w:rsidP="007A110B">
            <w:pPr>
              <w:pStyle w:val="ListBullet"/>
            </w:pPr>
            <w:r w:rsidRPr="007A110B">
              <w:t>training</w:t>
            </w:r>
          </w:p>
          <w:p w:rsidR="00000000" w:rsidRPr="007A110B" w:rsidP="007A110B">
            <w:pPr>
              <w:pStyle w:val="ListBullet"/>
            </w:pPr>
            <w:r w:rsidRPr="007A110B">
              <w:t>technical information such as journals, engineering specifications</w:t>
            </w:r>
          </w:p>
          <w:p w:rsidR="00000000" w:rsidRPr="007A110B" w:rsidP="007A110B">
            <w:pPr>
              <w:pStyle w:val="ListBullet"/>
            </w:pPr>
            <w:r w:rsidRPr="007A110B">
              <w:t>remembered experience</w:t>
            </w:r>
          </w:p>
          <w:p w:rsidR="00000000" w:rsidRPr="007A110B" w:rsidP="007A110B">
            <w:pPr>
              <w:pStyle w:val="ListBullet"/>
            </w:pPr>
            <w:r w:rsidRPr="007A110B">
              <w:t>relevant knowledge obtained from appropriate people.</w:t>
            </w:r>
          </w:p>
          <w:p w:rsidR="00000000" w:rsidRPr="007A110B" w:rsidP="007A110B">
            <w:pPr>
              <w:pStyle w:val="BodyText"/>
            </w:pPr>
          </w:p>
        </w:tc>
      </w:tr>
    </w:tbl>
    <w:p w:rsidR="00000000" w:rsidRPr="007A110B" w:rsidP="007A110B">
      <w:pPr>
        <w:pStyle w:val="BodyText"/>
      </w:pPr>
    </w:p>
    <w:p w:rsidR="00000000" w:rsidRPr="007A110B" w:rsidP="007A110B">
      <w:pPr>
        <w:pStyle w:val="AllowPageBreak"/>
      </w:pPr>
    </w:p>
    <w:p w:rsidR="00000000" w:rsidRPr="007A110B" w:rsidP="007A110B">
      <w:pPr>
        <w:pStyle w:val="Heading1"/>
      </w:pPr>
      <w:bookmarkStart w:id="9" w:name="O_924552"/>
      <w:bookmarkEnd w:id="9"/>
      <w:r w:rsidRPr="007A110B">
        <w:t>Unit Mapping Information</w:t>
      </w:r>
    </w:p>
    <w:p w:rsidR="00000000" w:rsidRPr="007A110B" w:rsidP="00357543">
      <w:pPr>
        <w:pStyle w:val="BodyText"/>
      </w:pPr>
      <w:r w:rsidRPr="007A110B">
        <w:t>Release 1. Supersedes and is equivalent to PMBPREP304C Set a die</w:t>
      </w:r>
    </w:p>
    <w:p w:rsidR="00000000" w:rsidRPr="007A110B" w:rsidP="007A110B">
      <w:pPr>
        <w:pStyle w:val="Heading1"/>
      </w:pPr>
      <w:bookmarkStart w:id="10" w:name="O_924545"/>
      <w:bookmarkEnd w:id="10"/>
      <w:r w:rsidRPr="007A110B">
        <w:t>Links</w:t>
      </w:r>
    </w:p>
    <w:p w:rsidR="00000000" w:rsidRPr="007A110B" w:rsidP="00357543">
      <w:pPr>
        <w:pStyle w:val="BodyText"/>
      </w:pPr>
      <w:r w:rsidRPr="007A110B">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A90659">
        <w:rPr>
          <w:rStyle w:val="Hyperlink"/>
        </w:rPr>
        <w:t>https://vetnet.gov.au/Pages/TrainingDocs.aspx?q=932aacef-7947-4c80-acc6-593719fe4090</w:t>
      </w:r>
      <w:r>
        <w:fldChar w:fldCharType="end"/>
      </w:r>
    </w:p>
    <w:p w:rsidR="00000000" w:rsidRPr="007A110B" w:rsidP="00357543">
      <w:pPr>
        <w:pStyle w:val="BodyText"/>
        <w:sectPr w:rsidSect="007A110B">
          <w:headerReference w:type="default" r:id="rId10"/>
          <w:footerReference w:type="default" r:id="rId11"/>
          <w:pgSz w:w="11908" w:h="16833"/>
          <w:pgMar w:top="1702" w:right="1418" w:bottom="1702" w:left="1418" w:header="992" w:footer="992" w:gutter="0"/>
          <w:cols w:space="720"/>
          <w:noEndnote/>
          <w:docGrid w:linePitch="299"/>
        </w:sectPr>
      </w:pPr>
    </w:p>
    <w:p w:rsidR="00000000" w:rsidRPr="007A110B" w:rsidP="007A110B">
      <w:pPr>
        <w:pStyle w:val="SuperHeading"/>
      </w:pPr>
      <w:r w:rsidRPr="007A110B">
        <w:t>Assessment Requirements for PMBPREP304 Set a die</w:t>
      </w:r>
    </w:p>
    <w:p w:rsidR="00000000" w:rsidRPr="007A110B" w:rsidP="007A110B">
      <w:pPr>
        <w:pStyle w:val="Heading1"/>
      </w:pPr>
      <w:bookmarkStart w:id="11" w:name="O_924547"/>
      <w:bookmarkEnd w:id="11"/>
      <w:r w:rsidRPr="007A110B">
        <w:t>Modification History</w:t>
      </w:r>
    </w:p>
    <w:p w:rsidR="00000000" w:rsidRPr="007A110B" w:rsidP="00357543">
      <w:pPr>
        <w:pStyle w:val="BodyText"/>
      </w:pPr>
      <w:r w:rsidRPr="007A110B">
        <w:t>Release 1. Supersedes and is equivalent to PMBPREP304C Set a die</w:t>
      </w:r>
    </w:p>
    <w:p w:rsidR="00000000" w:rsidRPr="007A110B" w:rsidP="007A110B">
      <w:pPr>
        <w:pStyle w:val="Heading1"/>
      </w:pPr>
      <w:bookmarkStart w:id="12" w:name="O_924550"/>
      <w:bookmarkEnd w:id="12"/>
      <w:r w:rsidRPr="007A110B">
        <w:t>Performance Evidence</w:t>
      </w:r>
    </w:p>
    <w:p w:rsidR="00000000" w:rsidRPr="007A110B" w:rsidP="00357543">
      <w:pPr>
        <w:pStyle w:val="BodyText"/>
      </w:pPr>
      <w:r w:rsidRPr="007A110B">
        <w:t>Evidence required to demonstrate competence in this unit must be relevant to and satisfy the requirements of the elements and performance criteria and demonstrate the ability to:</w:t>
      </w:r>
    </w:p>
    <w:p w:rsidR="00000000" w:rsidRPr="007A110B" w:rsidP="007A110B">
      <w:pPr>
        <w:pStyle w:val="ListBullet"/>
      </w:pPr>
      <w:r w:rsidRPr="007A110B">
        <w:t>read and interpret procedures and job specifications</w:t>
      </w:r>
    </w:p>
    <w:p w:rsidR="00000000" w:rsidRPr="007A110B" w:rsidP="007A110B">
      <w:pPr>
        <w:pStyle w:val="ListBullet"/>
      </w:pPr>
      <w:r w:rsidRPr="007A110B">
        <w:t>remove, clean and store die according to procedures</w:t>
      </w:r>
    </w:p>
    <w:p w:rsidR="00000000" w:rsidRPr="007A110B" w:rsidP="007A110B">
      <w:pPr>
        <w:pStyle w:val="ListBullet"/>
      </w:pPr>
      <w:r w:rsidRPr="007A110B">
        <w:t>select dies, cores, parts and tools and install replacement die to meet specifications</w:t>
      </w:r>
    </w:p>
    <w:p w:rsidR="00000000" w:rsidRPr="007A110B" w:rsidP="007A110B">
      <w:pPr>
        <w:pStyle w:val="ListBullet"/>
      </w:pPr>
      <w:r w:rsidRPr="007A110B">
        <w:t>set machine conditions for new die</w:t>
      </w:r>
    </w:p>
    <w:p w:rsidR="00000000" w:rsidRPr="007A110B" w:rsidP="007A110B">
      <w:pPr>
        <w:pStyle w:val="ListBullet"/>
      </w:pPr>
      <w:r w:rsidRPr="007A110B">
        <w:t>check the installation and operation of new die to identify conformance and/or non</w:t>
      </w:r>
      <w:r w:rsidRPr="007A110B">
        <w:t>-conformance to specifications</w:t>
      </w:r>
    </w:p>
    <w:p w:rsidR="00000000" w:rsidRPr="007A110B" w:rsidP="007A110B">
      <w:pPr>
        <w:pStyle w:val="ListBullet"/>
      </w:pPr>
      <w:r w:rsidRPr="007A110B">
        <w:t>make adjustments to settings and equipment operation to rectify variations in equipment operation or product quality</w:t>
      </w:r>
    </w:p>
    <w:p w:rsidR="00000000" w:rsidRPr="007A110B" w:rsidP="007A110B">
      <w:pPr>
        <w:pStyle w:val="ListBullet"/>
      </w:pPr>
      <w:r w:rsidRPr="007A110B">
        <w:t>identify hazards and apply relevant hazard controls</w:t>
      </w:r>
    </w:p>
    <w:p w:rsidR="00000000" w:rsidRPr="007A110B" w:rsidP="007A110B">
      <w:pPr>
        <w:pStyle w:val="ListBullet"/>
      </w:pPr>
      <w:r w:rsidRPr="007A110B">
        <w:t>distinguish between causes of problems/alarm/fault indic</w:t>
      </w:r>
      <w:r w:rsidRPr="007A110B">
        <w:t>ations, such as:</w:t>
      </w:r>
    </w:p>
    <w:p w:rsidR="00000000" w:rsidRPr="007A110B" w:rsidP="007A110B">
      <w:pPr>
        <w:pStyle w:val="ListBullet2"/>
      </w:pPr>
      <w:r w:rsidRPr="007A110B">
        <w:t>operational problems</w:t>
      </w:r>
    </w:p>
    <w:p w:rsidR="00000000" w:rsidRPr="007A110B" w:rsidP="007A110B">
      <w:pPr>
        <w:pStyle w:val="ListBullet2"/>
      </w:pPr>
      <w:r w:rsidRPr="007A110B">
        <w:t>instrument failure/malfunction</w:t>
      </w:r>
    </w:p>
    <w:p w:rsidR="00000000" w:rsidRPr="007A110B" w:rsidP="007A110B">
      <w:pPr>
        <w:pStyle w:val="ListBullet2"/>
      </w:pPr>
      <w:r w:rsidRPr="007A110B">
        <w:t>electrical failure/malfunction</w:t>
      </w:r>
    </w:p>
    <w:p w:rsidR="00000000" w:rsidRPr="007A110B" w:rsidP="007A110B">
      <w:pPr>
        <w:pStyle w:val="ListBullet2"/>
      </w:pPr>
      <w:r w:rsidRPr="007A110B">
        <w:t>mechanical failure/malfunction</w:t>
      </w:r>
    </w:p>
    <w:p w:rsidR="00000000" w:rsidRPr="007A110B" w:rsidP="007A110B">
      <w:pPr>
        <w:pStyle w:val="ListBullet2"/>
      </w:pPr>
      <w:r w:rsidRPr="007A110B">
        <w:t>wrong readings</w:t>
      </w:r>
    </w:p>
    <w:p w:rsidR="00000000" w:rsidRPr="007A110B" w:rsidP="007A110B">
      <w:pPr>
        <w:pStyle w:val="ListBullet2"/>
      </w:pPr>
      <w:r w:rsidRPr="007A110B">
        <w:t>equipment design deficiencies</w:t>
      </w:r>
    </w:p>
    <w:p w:rsidR="00000000" w:rsidRPr="007A110B" w:rsidP="007A110B">
      <w:pPr>
        <w:pStyle w:val="ListBullet2"/>
      </w:pPr>
      <w:r w:rsidRPr="007A110B">
        <w:t>product parameters (temperature, flows, pressure and levels)</w:t>
      </w:r>
    </w:p>
    <w:p w:rsidR="00000000" w:rsidRPr="007A110B" w:rsidP="007A110B">
      <w:pPr>
        <w:pStyle w:val="ListBullet"/>
      </w:pPr>
      <w:r w:rsidRPr="007A110B">
        <w:t xml:space="preserve">resolve non-routine problems </w:t>
      </w:r>
    </w:p>
    <w:p w:rsidR="00000000" w:rsidRPr="007A110B" w:rsidP="007A110B">
      <w:pPr>
        <w:pStyle w:val="ListBullet"/>
      </w:pPr>
      <w:r w:rsidRPr="007A110B">
        <w:t>communicate effectively with team/work group and supervisors</w:t>
      </w:r>
    </w:p>
    <w:p w:rsidR="00000000" w:rsidRPr="007A110B" w:rsidP="007A110B">
      <w:pPr>
        <w:pStyle w:val="ListBullet"/>
      </w:pPr>
      <w:r w:rsidRPr="007A110B">
        <w:t>complete workplace records</w:t>
      </w:r>
    </w:p>
    <w:p w:rsidR="00000000" w:rsidRPr="007A110B" w:rsidP="007A110B">
      <w:pPr>
        <w:pStyle w:val="ListBullet"/>
      </w:pPr>
      <w:r w:rsidRPr="007A110B">
        <w:t>do basic arithmetical manipulations, including additions, subtractions, divisions, fractions and percentages.</w:t>
      </w:r>
    </w:p>
    <w:p w:rsidR="00000000" w:rsidRPr="007A110B" w:rsidP="007A110B">
      <w:pPr>
        <w:pStyle w:val="AllowPageBreak"/>
      </w:pPr>
    </w:p>
    <w:p w:rsidR="00000000" w:rsidRPr="007A110B" w:rsidP="007A110B">
      <w:pPr>
        <w:pStyle w:val="Heading1"/>
      </w:pPr>
      <w:bookmarkStart w:id="13" w:name="O_924549"/>
      <w:bookmarkEnd w:id="13"/>
      <w:r w:rsidRPr="007A110B">
        <w:t>Knowledge E</w:t>
      </w:r>
      <w:r w:rsidRPr="007A110B">
        <w:t>vidence</w:t>
      </w:r>
    </w:p>
    <w:p w:rsidR="00000000" w:rsidRPr="007A110B" w:rsidP="00357543">
      <w:pPr>
        <w:pStyle w:val="BodyText"/>
      </w:pPr>
      <w:r w:rsidRPr="007A110B">
        <w:t>Must provide evidence that demonstrates knowledge relevant to their job sufficient to fulfil their job role, including knowledge of:</w:t>
      </w:r>
    </w:p>
    <w:p w:rsidR="00000000" w:rsidRPr="007A110B" w:rsidP="007A110B">
      <w:pPr>
        <w:pStyle w:val="ListBullet"/>
      </w:pPr>
      <w:r w:rsidRPr="007A110B">
        <w:t>construction of simple dies and their components, including fixed and removable cores, inserts, ejection systems a</w:t>
      </w:r>
      <w:r w:rsidRPr="007A110B">
        <w:t>nd vents</w:t>
      </w:r>
    </w:p>
    <w:p w:rsidR="00000000" w:rsidRPr="007A110B" w:rsidP="007A110B">
      <w:pPr>
        <w:pStyle w:val="ListBullet"/>
      </w:pPr>
      <w:r w:rsidRPr="007A110B">
        <w:t>methods of connecting dies to machines</w:t>
      </w:r>
    </w:p>
    <w:p w:rsidR="00000000" w:rsidRPr="007A110B" w:rsidP="007A110B">
      <w:pPr>
        <w:pStyle w:val="ListBullet"/>
      </w:pPr>
      <w:r w:rsidRPr="007A110B">
        <w:t>impact of incorrect or faulty fitting</w:t>
      </w:r>
    </w:p>
    <w:p w:rsidR="00000000" w:rsidRPr="007A110B" w:rsidP="007A110B">
      <w:pPr>
        <w:pStyle w:val="ListBullet"/>
      </w:pPr>
      <w:r w:rsidRPr="007A110B">
        <w:t>function of machine settings and appropriate ranges of settings for specific dies</w:t>
      </w:r>
    </w:p>
    <w:p w:rsidR="00000000" w:rsidRPr="007A110B" w:rsidP="007A110B">
      <w:pPr>
        <w:pStyle w:val="ListBullet"/>
      </w:pPr>
      <w:r w:rsidRPr="007A110B">
        <w:t>routi</w:t>
      </w:r>
      <w:r w:rsidRPr="007A110B">
        <w:t>ne and non-routine problems that may arise, the range of possible causes and appropriate actions</w:t>
      </w:r>
    </w:p>
    <w:p w:rsidR="00000000" w:rsidRPr="007A110B" w:rsidP="007A110B">
      <w:pPr>
        <w:pStyle w:val="ListBullet"/>
      </w:pPr>
      <w:r w:rsidRPr="007A110B">
        <w:t>organisation procedures relevant to the work environment/job role</w:t>
      </w:r>
    </w:p>
    <w:p w:rsidR="00000000" w:rsidRPr="007A110B" w:rsidP="007A110B">
      <w:pPr>
        <w:pStyle w:val="ListBullet"/>
      </w:pPr>
      <w:r w:rsidRPr="007A110B">
        <w:t>hierarchy of control</w:t>
      </w:r>
    </w:p>
    <w:p w:rsidR="00000000" w:rsidRPr="007A110B" w:rsidP="007A110B">
      <w:pPr>
        <w:pStyle w:val="ListBullet"/>
      </w:pPr>
      <w:r w:rsidRPr="007A110B">
        <w:t>hazards that may arise in the job/work environment and:</w:t>
      </w:r>
    </w:p>
    <w:p w:rsidR="00000000" w:rsidRPr="007A110B" w:rsidP="007A110B">
      <w:pPr>
        <w:pStyle w:val="ListBullet2"/>
      </w:pPr>
      <w:r w:rsidRPr="007A110B">
        <w:t xml:space="preserve">their possible </w:t>
      </w:r>
      <w:r w:rsidRPr="007A110B">
        <w:t xml:space="preserve">causes </w:t>
      </w:r>
    </w:p>
    <w:p w:rsidR="00000000" w:rsidRPr="007A110B" w:rsidP="007A110B">
      <w:pPr>
        <w:pStyle w:val="ListBullet2"/>
      </w:pPr>
      <w:r w:rsidRPr="007A110B">
        <w:t>potential consequences</w:t>
      </w:r>
    </w:p>
    <w:p w:rsidR="00000000" w:rsidRPr="007A110B" w:rsidP="007A110B">
      <w:pPr>
        <w:pStyle w:val="ListBullet2"/>
      </w:pPr>
      <w:r w:rsidRPr="007A110B">
        <w:t>appropriate risk controls.</w:t>
      </w:r>
    </w:p>
    <w:p w:rsidR="00000000" w:rsidRPr="007A110B" w:rsidP="007A110B">
      <w:pPr>
        <w:pStyle w:val="AllowPageBreak"/>
      </w:pPr>
    </w:p>
    <w:p w:rsidR="00000000" w:rsidRPr="007A110B" w:rsidP="007A110B">
      <w:pPr>
        <w:pStyle w:val="Heading1"/>
      </w:pPr>
      <w:bookmarkStart w:id="14" w:name="O_924548"/>
      <w:bookmarkEnd w:id="14"/>
      <w:r w:rsidRPr="007A110B">
        <w:t>Assessment Conditions</w:t>
      </w:r>
    </w:p>
    <w:p w:rsidR="00000000" w:rsidRPr="007A110B" w:rsidP="007A110B">
      <w:pPr>
        <w:pStyle w:val="ListBullet"/>
      </w:pPr>
      <w:r w:rsidRPr="007A110B">
        <w:t xml:space="preserve">The unit should be assessed holistically and the judgement of competence shall be based on a holistic assessment of the evidence. </w:t>
      </w:r>
    </w:p>
    <w:p w:rsidR="00000000" w:rsidRPr="007A110B" w:rsidP="007A110B">
      <w:pPr>
        <w:pStyle w:val="ListBullet"/>
      </w:pPr>
      <w:r w:rsidRPr="007A110B">
        <w:t>In all plants it may be app</w:t>
      </w:r>
      <w:r w:rsidRPr="007A110B">
        <w:t>ropriate to assess this unit concurrently with units such as:</w:t>
      </w:r>
    </w:p>
    <w:p w:rsidR="00000000" w:rsidRPr="007A110B" w:rsidP="007A110B">
      <w:pPr>
        <w:pStyle w:val="ListBullet2"/>
      </w:pPr>
      <w:r w:rsidRPr="007A110B">
        <w:t>teamwork</w:t>
      </w:r>
    </w:p>
    <w:p w:rsidR="00000000" w:rsidRPr="007A110B" w:rsidP="007A110B">
      <w:pPr>
        <w:pStyle w:val="ListBullet2"/>
      </w:pPr>
      <w:r w:rsidRPr="007A110B">
        <w:t>communication.</w:t>
      </w:r>
    </w:p>
    <w:p w:rsidR="00000000" w:rsidRPr="007A110B" w:rsidP="007A110B">
      <w:pPr>
        <w:pStyle w:val="ListBullet"/>
      </w:pPr>
      <w:r w:rsidRPr="007A110B">
        <w:t>The collection of performance evidence:</w:t>
      </w:r>
    </w:p>
    <w:p w:rsidR="00000000" w:rsidRPr="007A110B" w:rsidP="007A110B">
      <w:pPr>
        <w:pStyle w:val="ListBullet2"/>
      </w:pPr>
      <w:r w:rsidRPr="007A110B">
        <w:t xml:space="preserve">should occur over a range of situations which include typical disruptions to normal, smooth operations </w:t>
      </w:r>
      <w:r w:rsidRPr="007A110B">
        <w:t>and provide for demonstration of responding to problems</w:t>
      </w:r>
    </w:p>
    <w:p w:rsidR="00000000" w:rsidRPr="007A110B" w:rsidP="007A110B">
      <w:pPr>
        <w:pStyle w:val="ListBullet2"/>
      </w:pPr>
      <w:r w:rsidRPr="007A110B">
        <w:t>will typically include a supervisor/third-party report or other evidence, focusing on consistent performance and problem recognition and solving. A supervisor/third-party report must be prepared by so</w:t>
      </w:r>
      <w:r w:rsidRPr="007A110B">
        <w:t xml:space="preserve">meone who has a direct, relevant, current relationship with the person being assessed and who is in a position to form a judgement on workplace performance relevant to the unit of competency </w:t>
      </w:r>
    </w:p>
    <w:p w:rsidR="00000000" w:rsidRPr="007A110B" w:rsidP="007A110B">
      <w:pPr>
        <w:pStyle w:val="ListBullet2"/>
      </w:pPr>
      <w:r w:rsidRPr="007A110B">
        <w:t>must include the use of industry appropriate materials, tools, e</w:t>
      </w:r>
      <w:r w:rsidRPr="007A110B">
        <w:t xml:space="preserve">quipment, data and documentation </w:t>
      </w:r>
    </w:p>
    <w:p w:rsidR="00000000" w:rsidRPr="007A110B" w:rsidP="007A110B">
      <w:pPr>
        <w:pStyle w:val="ListBullet2"/>
      </w:pPr>
      <w:r w:rsidRPr="007A110B">
        <w:t>may use industry-based simulation for all or part of the unit particularly where safety, lack of opportunity or significant cost is an issue.</w:t>
      </w:r>
    </w:p>
    <w:p w:rsidR="00000000" w:rsidRPr="007A110B" w:rsidP="007A110B">
      <w:pPr>
        <w:pStyle w:val="ListBullet"/>
      </w:pPr>
      <w:r w:rsidRPr="007A110B">
        <w:t xml:space="preserve">Assessment should occur in operational workplace situations. Where this is not </w:t>
      </w:r>
      <w:r w:rsidRPr="007A110B">
        <w:t>possible or where personal safety or environmental damage are limiting factors assessment must occur in a sufficiently rigorous simulated environment that reflects realistic operational workplace conditions. This must cover all aspects of workplace perform</w:t>
      </w:r>
      <w:r w:rsidRPr="007A110B">
        <w:t>ance, including environment, task skills, task management skills, contingency management skills and job role environment skills.</w:t>
      </w:r>
    </w:p>
    <w:p w:rsidR="00000000" w:rsidRPr="007A110B" w:rsidP="007A110B">
      <w:pPr>
        <w:pStyle w:val="ListBullet"/>
      </w:pPr>
      <w:r w:rsidRPr="007A110B">
        <w:t xml:space="preserve">Assessment in a simulated environment should use evidence collected from demonstration of skills and one or more of: </w:t>
      </w:r>
    </w:p>
    <w:p w:rsidR="00000000" w:rsidRPr="007A110B" w:rsidP="007A110B">
      <w:pPr>
        <w:pStyle w:val="ListBullet2"/>
      </w:pPr>
      <w:r w:rsidRPr="007A110B">
        <w:t>walk-thr</w:t>
      </w:r>
      <w:r w:rsidRPr="007A110B">
        <w:t>oughs</w:t>
      </w:r>
    </w:p>
    <w:p w:rsidR="00000000" w:rsidRPr="007A110B" w:rsidP="007A110B">
      <w:pPr>
        <w:pStyle w:val="ListBullet2"/>
      </w:pPr>
      <w:r w:rsidRPr="007A110B">
        <w:t>pilot plant operation</w:t>
      </w:r>
    </w:p>
    <w:p w:rsidR="00000000" w:rsidRPr="007A110B" w:rsidP="007A110B">
      <w:pPr>
        <w:pStyle w:val="ListBullet2"/>
      </w:pPr>
      <w:r w:rsidRPr="007A110B">
        <w:t xml:space="preserve">industry-based case studies/scenarios </w:t>
      </w:r>
    </w:p>
    <w:p w:rsidR="00000000" w:rsidRPr="007A110B" w:rsidP="007A110B">
      <w:pPr>
        <w:pStyle w:val="ListBullet2"/>
      </w:pPr>
      <w:r w:rsidRPr="007A110B">
        <w:t>‘what ifs’.</w:t>
      </w:r>
    </w:p>
    <w:p w:rsidR="00000000" w:rsidRPr="007A110B" w:rsidP="007A110B">
      <w:pPr>
        <w:pStyle w:val="ListBullet"/>
      </w:pPr>
      <w:r w:rsidRPr="007A110B">
        <w:t>Knowledge evidence may be collected concurrently with performance evidence or through an independent process, such as workbooks, written assessments or interviews.</w:t>
      </w:r>
    </w:p>
    <w:p w:rsidR="00000000" w:rsidRPr="007A110B" w:rsidP="007A110B">
      <w:pPr>
        <w:pStyle w:val="ListBullet"/>
      </w:pPr>
      <w:r w:rsidRPr="007A110B">
        <w:t>Assessment p</w:t>
      </w:r>
      <w:r w:rsidRPr="007A110B">
        <w:t>rocesses and techniques must be appropriate to the language, literacy and numeracy requirements of the work being performed and the needs of the candidate.</w:t>
      </w:r>
    </w:p>
    <w:p w:rsidR="00000000" w:rsidRPr="007A110B" w:rsidP="007A110B">
      <w:pPr>
        <w:pStyle w:val="ListBullet"/>
      </w:pPr>
      <w:r w:rsidRPr="007A110B">
        <w:t>Condi</w:t>
      </w:r>
      <w:r w:rsidRPr="007A110B">
        <w:t>tions for assessment must include access to all tools, equipment, materials and documentation required, including relevant workplace procedures, product and manufacturing specifications associated with this unit.</w:t>
      </w:r>
    </w:p>
    <w:p w:rsidR="00000000" w:rsidRPr="007A110B" w:rsidP="007A110B">
      <w:pPr>
        <w:pStyle w:val="ListBullet"/>
      </w:pPr>
      <w:r w:rsidRPr="007A110B">
        <w:t xml:space="preserve">The regulatory framework will be reflected </w:t>
      </w:r>
      <w:r w:rsidRPr="007A110B">
        <w:t>in workplace policies and procedures and is not required to be independently assessed.</w:t>
      </w:r>
    </w:p>
    <w:p w:rsidR="00000000" w:rsidRPr="007A110B" w:rsidP="007A110B">
      <w:pPr>
        <w:pStyle w:val="ListBullet"/>
      </w:pPr>
      <w:r w:rsidRPr="007A110B">
        <w:t>Foundation skills are integral to competent performance of the unit and should not be assessed separately.</w:t>
      </w:r>
    </w:p>
    <w:p w:rsidR="00000000" w:rsidRPr="007A110B" w:rsidP="007A110B">
      <w:pPr>
        <w:pStyle w:val="ListBullet"/>
      </w:pPr>
      <w:r w:rsidRPr="007A110B">
        <w:t>Assessors must satisfy the assessor competency requirements th</w:t>
      </w:r>
      <w:r w:rsidRPr="007A110B">
        <w:t>at are in place at the time of the assessment as set by the VET regulator.</w:t>
      </w:r>
    </w:p>
    <w:p w:rsidR="00000000" w:rsidRPr="007A110B" w:rsidP="007A110B">
      <w:pPr>
        <w:pStyle w:val="ListBullet"/>
      </w:pPr>
      <w:r w:rsidRPr="007A110B">
        <w:t>In addition the assessor or anyone acting in subject matter expert role in assessment shall demonstrate both technical competency and currency. If the assessor cannot demonstrate te</w:t>
      </w:r>
      <w:r w:rsidRPr="007A110B">
        <w:t xml:space="preserve">chnical competency and currency they shall assess with a subject matter expert who does meet these requirements. </w:t>
      </w:r>
    </w:p>
    <w:p w:rsidR="00000000" w:rsidRPr="007A110B" w:rsidP="007A110B">
      <w:pPr>
        <w:pStyle w:val="ListBullet"/>
      </w:pPr>
      <w:r w:rsidRPr="007A110B">
        <w:t>Technical competence can be demonstrated through one or more of:</w:t>
      </w:r>
    </w:p>
    <w:p w:rsidR="00000000" w:rsidRPr="007A110B" w:rsidP="007A110B">
      <w:pPr>
        <w:pStyle w:val="ListBullet2"/>
      </w:pPr>
      <w:r w:rsidRPr="007A110B">
        <w:t xml:space="preserve">relevant VET or other qualification/Statement of Attainment </w:t>
      </w:r>
    </w:p>
    <w:p w:rsidR="00000000" w:rsidRPr="007A110B" w:rsidP="007A110B">
      <w:pPr>
        <w:pStyle w:val="ListBullet2"/>
      </w:pPr>
      <w:r w:rsidRPr="007A110B">
        <w:t>appropriate wor</w:t>
      </w:r>
      <w:r w:rsidRPr="007A110B">
        <w:t xml:space="preserve">kplace experience undertaking the type of work being assessed under routine and non-routine conditions </w:t>
      </w:r>
    </w:p>
    <w:p w:rsidR="00000000" w:rsidRPr="007A110B" w:rsidP="007A110B">
      <w:pPr>
        <w:pStyle w:val="ListBullet2"/>
      </w:pPr>
      <w:r w:rsidRPr="007A110B">
        <w:t>appropriate workplace experience supervising/evaluating the type of work being assessed under routine and non-routine conditions</w:t>
      </w:r>
    </w:p>
    <w:p w:rsidR="00000000" w:rsidRPr="007A110B" w:rsidP="007A110B">
      <w:pPr>
        <w:pStyle w:val="ListBullet"/>
      </w:pPr>
      <w:r w:rsidRPr="007A110B">
        <w:t>Currency can be demons</w:t>
      </w:r>
      <w:r w:rsidRPr="007A110B">
        <w:t>trated through one or more of:</w:t>
      </w:r>
    </w:p>
    <w:p w:rsidR="00000000" w:rsidRPr="007A110B" w:rsidP="007A110B">
      <w:pPr>
        <w:pStyle w:val="ListBullet2"/>
      </w:pPr>
      <w:r w:rsidRPr="007A110B">
        <w:t xml:space="preserve">being currently employed undertaking the type of work being assessed </w:t>
      </w:r>
    </w:p>
    <w:p w:rsidR="00000000" w:rsidRPr="007A110B" w:rsidP="007A110B">
      <w:pPr>
        <w:pStyle w:val="ListBullet2"/>
      </w:pPr>
      <w:r w:rsidRPr="007A110B">
        <w:t>being employed by the organisation undertaking the type of work being assessed and having maintained currency in accordance with that organisation’s polic</w:t>
      </w:r>
      <w:r w:rsidRPr="007A110B">
        <w:t xml:space="preserve">ies and procedures </w:t>
      </w:r>
    </w:p>
    <w:p w:rsidR="00000000" w:rsidRPr="007A110B" w:rsidP="007A110B">
      <w:pPr>
        <w:pStyle w:val="ListBullet2"/>
      </w:pPr>
      <w:r w:rsidRPr="007A110B">
        <w:t xml:space="preserve">having consulted/had contact with an organisation undertaking the type of work being assessed within the last twelve months, the consultation/contact being related to assessment </w:t>
      </w:r>
    </w:p>
    <w:p w:rsidR="00000000" w:rsidRPr="007A110B" w:rsidP="007A110B">
      <w:pPr>
        <w:pStyle w:val="ListBullet2"/>
      </w:pPr>
      <w:r w:rsidRPr="007A110B">
        <w:t xml:space="preserve">conducting on the job training/assessments of the type of work being assessed </w:t>
      </w:r>
    </w:p>
    <w:p w:rsidR="00000000" w:rsidRPr="007A110B" w:rsidP="007A110B">
      <w:pPr>
        <w:pStyle w:val="ListBullet2"/>
      </w:pPr>
      <w:r w:rsidRPr="007A110B">
        <w:t>being an active member of a relevant professional body and participating in activities relevant to the assessment of this type of work.</w:t>
      </w:r>
    </w:p>
    <w:p w:rsidR="00000000" w:rsidRPr="007A110B" w:rsidP="007A110B">
      <w:pPr>
        <w:pStyle w:val="AllowPageBreak"/>
      </w:pPr>
    </w:p>
    <w:p w:rsidR="00000000" w:rsidRPr="007A110B" w:rsidP="007A110B">
      <w:pPr>
        <w:pStyle w:val="Heading1"/>
      </w:pPr>
      <w:bookmarkStart w:id="15" w:name="O_924546"/>
      <w:bookmarkEnd w:id="15"/>
      <w:r w:rsidRPr="007A110B">
        <w:t>Links</w:t>
      </w:r>
    </w:p>
    <w:p w:rsidR="00000000" w:rsidRPr="007A110B" w:rsidP="00357543">
      <w:pPr>
        <w:pStyle w:val="BodyText"/>
      </w:pPr>
      <w:r w:rsidRPr="007A110B">
        <w:t>Companion Volume i</w:t>
      </w:r>
      <w:r w:rsidRPr="007A110B">
        <w:t xml:space="preserve">mplementation guides are found in VETNet - </w:t>
      </w:r>
      <w:r>
        <w:fldChar w:fldCharType="begin"/>
      </w:r>
      <w:r>
        <w:instrText xml:space="preserve"> HYPERLINK "https://vetnet.gov.au/Pages/TrainingDocs.aspx?q=932aacef-7947-4c80-acc6-593719fe4090" </w:instrText>
      </w:r>
      <w:r>
        <w:fldChar w:fldCharType="separate"/>
      </w:r>
      <w:r w:rsidRPr="00A90659">
        <w:rPr>
          <w:rStyle w:val="Hyperlink"/>
        </w:rPr>
        <w:t>https://vetnet.gov.au/Pages/TrainingDocs.aspx?q=932aacef-7947-4c80-acc6-593719fe4090</w:t>
      </w:r>
      <w:r>
        <w:fldChar w:fldCharType="end"/>
      </w:r>
    </w:p>
    <w:p w:rsidR="00000000" w:rsidRPr="007A110B" w:rsidP="007A110B"/>
    <w:sectPr w:rsidSect="007A110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1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10B" w:rsidRPr="00357543" w:rsidP="003575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1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543" w:rsidP="007A11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357543" w:rsidP="007A110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57543" w:rsidP="007A110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10B" w:rsidP="007A110B">
    <w:pPr>
      <w:pStyle w:val="Footer"/>
      <w:framePr w:wrap="around"/>
    </w:pPr>
    <w:r>
      <w:fldChar w:fldCharType="begin"/>
    </w:r>
    <w:r>
      <w:instrText xml:space="preserve"> DOCPROPERTY  Subject  \* MERGEFORMAT </w:instrText>
    </w:r>
    <w:r>
      <w:fldChar w:fldCharType="separate"/>
    </w:r>
    <w:r w:rsidR="00357543">
      <w:t>Approved</w:t>
    </w:r>
    <w:r w:rsidR="00357543">
      <w:fldChar w:fldCharType="end"/>
    </w:r>
    <w:r>
      <w:tab/>
      <w:t xml:space="preserve">Page </w:t>
    </w:r>
    <w:r>
      <w:fldChar w:fldCharType="begin"/>
    </w:r>
    <w:r>
      <w:instrText xml:space="preserve"> PAGE  \* Arabic  \* MERGEFORMAT </w:instrText>
    </w:r>
    <w:r>
      <w:fldChar w:fldCharType="separate"/>
    </w:r>
    <w:r w:rsidR="00357543">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57543">
      <w:rPr>
        <w:noProof/>
      </w:rPr>
      <w:t>7</w:t>
    </w:r>
    <w:r>
      <w:rPr>
        <w:noProof/>
      </w:rPr>
      <w:fldChar w:fldCharType="end"/>
    </w:r>
  </w:p>
  <w:p w:rsidR="007A110B" w:rsidP="007A110B">
    <w:pPr>
      <w:pStyle w:val="Footer"/>
      <w:framePr w:wrap="around"/>
    </w:pPr>
    <w:r>
      <w:t xml:space="preserve">© Commonwealth of Australia, </w:t>
    </w:r>
    <w:r>
      <w:fldChar w:fldCharType="begin"/>
    </w:r>
    <w:r>
      <w:instrText xml:space="preserve"> DATE  \@ "yyyy"  \* MERGEFORMAT </w:instrText>
    </w:r>
    <w:r>
      <w:fldChar w:fldCharType="separate"/>
    </w:r>
    <w:r w:rsidR="00357543">
      <w:rPr>
        <w:noProof/>
      </w:rPr>
      <w:t>2025</w:t>
    </w:r>
    <w:r>
      <w:fldChar w:fldCharType="end"/>
    </w:r>
    <w:r>
      <w:tab/>
    </w:r>
    <w:r>
      <w:fldChar w:fldCharType="begin"/>
    </w:r>
    <w:r>
      <w:instrText xml:space="preserve"> DOCPROPERTY  Author  \* MERGEFORMAT </w:instrText>
    </w:r>
    <w:r>
      <w:fldChar w:fldCharType="separate"/>
    </w:r>
    <w:r w:rsidR="00357543">
      <w:t>Manufacturing Industry Skills Alliance</w:t>
    </w:r>
    <w:r w:rsidR="00357543">
      <w:fldChar w:fldCharType="end"/>
    </w:r>
  </w:p>
  <w:p w:rsidR="007A110B" w:rsidP="007A11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1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5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110B" w:rsidRPr="00357543" w:rsidP="003575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1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543" w:rsidRPr="002D2AF8" w:rsidP="007A110B">
    <w:pPr>
      <w:pStyle w:val="Header"/>
      <w:framePr w:wrap="around"/>
    </w:pPr>
    <w:r>
      <w:fldChar w:fldCharType="begin"/>
    </w:r>
    <w:r>
      <w:instrText xml:space="preserve"> TITLE   \* MERGEFORMAT </w:instrText>
    </w:r>
    <w:r>
      <w:fldChar w:fldCharType="separate"/>
    </w:r>
    <w:r>
      <w:t>PMBPREP304 Set a die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57543" w:rsidP="007A110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10B" w:rsidRPr="002D2AF8" w:rsidP="007A110B">
    <w:pPr>
      <w:pStyle w:val="Header"/>
      <w:framePr w:wrap="around"/>
    </w:pPr>
    <w:r>
      <w:fldChar w:fldCharType="begin"/>
    </w:r>
    <w:r>
      <w:instrText xml:space="preserve"> TITLE   \* MERGEFORMAT </w:instrText>
    </w:r>
    <w:r>
      <w:fldChar w:fldCharType="separate"/>
    </w:r>
    <w:r w:rsidR="00357543">
      <w:t>PMBPREP304 Set a die</w:t>
    </w:r>
    <w:r w:rsidR="00357543">
      <w:fldChar w:fldCharType="end"/>
    </w:r>
    <w:r>
      <w:tab/>
      <w:t xml:space="preserve">Date this document was generated: </w:t>
    </w:r>
    <w:r>
      <w:fldChar w:fldCharType="begin"/>
    </w:r>
    <w:r>
      <w:instrText xml:space="preserve"> CREATEDATE  \@ "d MMMM yyyy"  \* MERGEFORMAT </w:instrText>
    </w:r>
    <w:r>
      <w:fldChar w:fldCharType="separate"/>
    </w:r>
    <w:r w:rsidR="00357543">
      <w:rPr>
        <w:noProof/>
      </w:rPr>
      <w:t>1 March 2025</w:t>
    </w:r>
    <w:r>
      <w:fldChar w:fldCharType="end"/>
    </w:r>
  </w:p>
  <w:p w:rsidR="007A110B" w:rsidP="007A11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78F0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F831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FCB7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11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110B"/>
    <w:pPr>
      <w:spacing w:before="360" w:after="60"/>
      <w:outlineLvl w:val="0"/>
    </w:pPr>
    <w:rPr>
      <w:sz w:val="32"/>
    </w:rPr>
  </w:style>
  <w:style w:type="paragraph" w:styleId="Heading2">
    <w:name w:val="heading 2"/>
    <w:basedOn w:val="HeadingBase"/>
    <w:next w:val="BodyText"/>
    <w:link w:val="Heading2Char"/>
    <w:qFormat/>
    <w:rsid w:val="007A110B"/>
    <w:pPr>
      <w:keepLines/>
      <w:spacing w:before="240" w:after="120"/>
      <w:outlineLvl w:val="1"/>
    </w:pPr>
    <w:rPr>
      <w:sz w:val="28"/>
      <w:szCs w:val="40"/>
    </w:rPr>
  </w:style>
  <w:style w:type="paragraph" w:styleId="Heading3">
    <w:name w:val="heading 3"/>
    <w:basedOn w:val="HeadingBase"/>
    <w:next w:val="BodyText"/>
    <w:link w:val="Heading3Char"/>
    <w:qFormat/>
    <w:rsid w:val="007A110B"/>
    <w:pPr>
      <w:spacing w:before="180" w:after="120"/>
      <w:outlineLvl w:val="2"/>
    </w:pPr>
    <w:rPr>
      <w:spacing w:val="-10"/>
      <w:kern w:val="32"/>
    </w:rPr>
  </w:style>
  <w:style w:type="paragraph" w:styleId="Heading4">
    <w:name w:val="heading 4"/>
    <w:basedOn w:val="HeadingBase"/>
    <w:next w:val="BodyText"/>
    <w:link w:val="Heading4Char"/>
    <w:qFormat/>
    <w:rsid w:val="007A110B"/>
    <w:pPr>
      <w:spacing w:before="160" w:after="120"/>
      <w:outlineLvl w:val="3"/>
    </w:pPr>
    <w:rPr>
      <w:sz w:val="22"/>
    </w:rPr>
  </w:style>
  <w:style w:type="paragraph" w:styleId="Heading5">
    <w:name w:val="heading 5"/>
    <w:basedOn w:val="HeadingBase"/>
    <w:next w:val="Normal"/>
    <w:link w:val="Heading5Char"/>
    <w:qFormat/>
    <w:rsid w:val="007A110B"/>
    <w:pPr>
      <w:spacing w:before="80"/>
      <w:outlineLvl w:val="4"/>
    </w:pPr>
    <w:rPr>
      <w:color w:val="918585"/>
      <w:sz w:val="20"/>
    </w:rPr>
  </w:style>
  <w:style w:type="paragraph" w:styleId="Heading6">
    <w:name w:val="heading 6"/>
    <w:basedOn w:val="HeadingBase"/>
    <w:next w:val="Normal"/>
    <w:link w:val="Heading6Char"/>
    <w:qFormat/>
    <w:rsid w:val="007A110B"/>
    <w:pPr>
      <w:spacing w:before="60"/>
      <w:outlineLvl w:val="5"/>
    </w:pPr>
    <w:rPr>
      <w:color w:val="918585"/>
      <w:sz w:val="20"/>
    </w:rPr>
  </w:style>
  <w:style w:type="paragraph" w:styleId="Heading7">
    <w:name w:val="heading 7"/>
    <w:basedOn w:val="Normal"/>
    <w:next w:val="Normal"/>
    <w:link w:val="Heading7Char"/>
    <w:qFormat/>
    <w:rsid w:val="007A110B"/>
    <w:pPr>
      <w:ind w:left="720"/>
      <w:outlineLvl w:val="6"/>
    </w:pPr>
    <w:rPr>
      <w:i/>
    </w:rPr>
  </w:style>
  <w:style w:type="paragraph" w:styleId="Heading8">
    <w:name w:val="heading 8"/>
    <w:basedOn w:val="Normal"/>
    <w:next w:val="Normal"/>
    <w:link w:val="Heading8Char"/>
    <w:qFormat/>
    <w:rsid w:val="007A110B"/>
    <w:pPr>
      <w:ind w:left="720"/>
      <w:outlineLvl w:val="7"/>
    </w:pPr>
    <w:rPr>
      <w:i/>
    </w:rPr>
  </w:style>
  <w:style w:type="paragraph" w:styleId="Heading9">
    <w:name w:val="heading 9"/>
    <w:basedOn w:val="Normal"/>
    <w:next w:val="Normal"/>
    <w:link w:val="Heading9Char"/>
    <w:qFormat/>
    <w:rsid w:val="007A110B"/>
    <w:pPr>
      <w:ind w:left="720"/>
      <w:outlineLvl w:val="8"/>
    </w:pPr>
    <w:rPr>
      <w:i/>
    </w:rPr>
  </w:style>
  <w:style w:type="character" w:default="1" w:styleId="DefaultParagraphFont">
    <w:name w:val="Default Paragraph Font"/>
    <w:uiPriority w:val="1"/>
    <w:unhideWhenUsed/>
    <w:rsid w:val="007A11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110B"/>
  </w:style>
  <w:style w:type="character" w:customStyle="1" w:styleId="Heading1Char">
    <w:name w:val="Heading 1 Char"/>
    <w:basedOn w:val="DefaultParagraphFont"/>
    <w:link w:val="Heading1"/>
    <w:rsid w:val="007A110B"/>
    <w:rPr>
      <w:rFonts w:ascii="Times New Roman" w:eastAsia="Times New Roman" w:hAnsi="Times New Roman" w:cs="Times New Roman"/>
      <w:b/>
      <w:sz w:val="32"/>
      <w:szCs w:val="20"/>
      <w:lang w:eastAsia="en-US"/>
    </w:rPr>
  </w:style>
  <w:style w:type="paragraph" w:styleId="BodyText">
    <w:name w:val="Body Text"/>
    <w:basedOn w:val="Normal"/>
    <w:link w:val="BodyTextChar"/>
    <w:rsid w:val="007A11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110B"/>
    <w:rPr>
      <w:rFonts w:ascii="Times New Roman" w:eastAsia="Times New Roman" w:hAnsi="Times New Roman" w:cs="Times New Roman"/>
      <w:sz w:val="24"/>
      <w:lang w:eastAsia="en-US"/>
    </w:rPr>
  </w:style>
  <w:style w:type="paragraph" w:styleId="ListBullet">
    <w:name w:val="List Bullet"/>
    <w:basedOn w:val="List"/>
    <w:rsid w:val="007A110B"/>
    <w:pPr>
      <w:numPr>
        <w:numId w:val="12"/>
      </w:numPr>
      <w:tabs>
        <w:tab w:val="clear" w:pos="340"/>
      </w:tabs>
      <w:spacing w:before="40" w:after="40"/>
    </w:pPr>
  </w:style>
  <w:style w:type="character" w:customStyle="1" w:styleId="SpecialBold">
    <w:name w:val="Special Bold"/>
    <w:basedOn w:val="DefaultParagraphFont"/>
    <w:rsid w:val="007A110B"/>
    <w:rPr>
      <w:b/>
      <w:spacing w:val="0"/>
    </w:rPr>
  </w:style>
  <w:style w:type="paragraph" w:styleId="ListBullet2">
    <w:name w:val="List Bullet 2"/>
    <w:basedOn w:val="List2"/>
    <w:rsid w:val="007A110B"/>
    <w:pPr>
      <w:numPr>
        <w:numId w:val="13"/>
      </w:numPr>
      <w:tabs>
        <w:tab w:val="clear" w:pos="680"/>
      </w:tabs>
    </w:pPr>
  </w:style>
  <w:style w:type="paragraph" w:customStyle="1" w:styleId="SuperHeading">
    <w:name w:val="SuperHeading"/>
    <w:basedOn w:val="Normal"/>
    <w:rsid w:val="007A110B"/>
    <w:pPr>
      <w:spacing w:before="240" w:after="120"/>
      <w:outlineLvl w:val="0"/>
    </w:pPr>
    <w:rPr>
      <w:rFonts w:ascii="Times New Roman" w:hAnsi="Times New Roman"/>
      <w:b/>
      <w:sz w:val="32"/>
    </w:rPr>
  </w:style>
  <w:style w:type="paragraph" w:customStyle="1" w:styleId="AllowPageBreak">
    <w:name w:val="AllowPageBreak"/>
    <w:rsid w:val="007A11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11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11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11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11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11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11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11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110B"/>
    <w:rPr>
      <w:rFonts w:ascii="Courier New" w:eastAsia="Times New Roman" w:hAnsi="Courier New" w:cs="Times New Roman"/>
      <w:i/>
      <w:szCs w:val="20"/>
      <w:lang w:eastAsia="en-US"/>
    </w:rPr>
  </w:style>
  <w:style w:type="paragraph" w:customStyle="1" w:styleId="HeadingBase">
    <w:name w:val="Heading Base"/>
    <w:rsid w:val="007A11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110B"/>
    <w:pPr>
      <w:tabs>
        <w:tab w:val="right" w:leader="dot" w:pos="9072"/>
      </w:tabs>
      <w:ind w:left="567"/>
    </w:pPr>
    <w:rPr>
      <w:szCs w:val="22"/>
    </w:rPr>
  </w:style>
  <w:style w:type="paragraph" w:customStyle="1" w:styleId="TOCBase">
    <w:name w:val="TOC Base"/>
    <w:rsid w:val="007A11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110B"/>
    <w:pPr>
      <w:tabs>
        <w:tab w:val="right" w:leader="dot" w:pos="9072"/>
      </w:tabs>
      <w:spacing w:before="40" w:after="40"/>
      <w:ind w:left="284"/>
    </w:pPr>
    <w:rPr>
      <w:rFonts w:ascii="Times New Roman" w:hAnsi="Times New Roman"/>
    </w:rPr>
  </w:style>
  <w:style w:type="paragraph" w:styleId="TOC1">
    <w:name w:val="toc 1"/>
    <w:basedOn w:val="TOCBase"/>
    <w:next w:val="Normal"/>
    <w:rsid w:val="007A11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11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110B"/>
    <w:rPr>
      <w:rFonts w:ascii="Times New Roman" w:eastAsia="Times New Roman" w:hAnsi="Times New Roman" w:cs="Times New Roman"/>
      <w:sz w:val="16"/>
      <w:lang w:eastAsia="en-US"/>
    </w:rPr>
  </w:style>
  <w:style w:type="paragraph" w:styleId="Title">
    <w:name w:val="Title"/>
    <w:basedOn w:val="HeadingBase"/>
    <w:link w:val="TitleChar"/>
    <w:qFormat/>
    <w:rsid w:val="007A110B"/>
    <w:pPr>
      <w:spacing w:before="5040"/>
      <w:jc w:val="center"/>
    </w:pPr>
    <w:rPr>
      <w:sz w:val="48"/>
      <w:szCs w:val="72"/>
      <w:lang w:val="en-US"/>
    </w:rPr>
  </w:style>
  <w:style w:type="character" w:customStyle="1" w:styleId="TitleChar">
    <w:name w:val="Title Char"/>
    <w:basedOn w:val="DefaultParagraphFont"/>
    <w:link w:val="Title"/>
    <w:rsid w:val="007A11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110B"/>
    <w:pPr>
      <w:tabs>
        <w:tab w:val="left" w:pos="3600"/>
        <w:tab w:val="left" w:pos="3958"/>
      </w:tabs>
    </w:pPr>
  </w:style>
  <w:style w:type="paragraph" w:styleId="List">
    <w:name w:val="List"/>
    <w:basedOn w:val="BodyText"/>
    <w:next w:val="BodyText"/>
    <w:rsid w:val="007A110B"/>
    <w:pPr>
      <w:tabs>
        <w:tab w:val="left" w:pos="340"/>
      </w:tabs>
      <w:spacing w:before="60" w:after="60"/>
      <w:ind w:left="340" w:hanging="340"/>
    </w:pPr>
  </w:style>
  <w:style w:type="paragraph" w:customStyle="1" w:styleId="Note">
    <w:name w:val="Note"/>
    <w:basedOn w:val="BodyText"/>
    <w:rsid w:val="007A11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110B"/>
    <w:pPr>
      <w:framePr w:wrap="auto" w:hAnchor="text" w:y="6049"/>
    </w:pPr>
    <w:rPr>
      <w:color w:val="000000"/>
      <w:sz w:val="40"/>
    </w:rPr>
  </w:style>
  <w:style w:type="paragraph" w:customStyle="1" w:styleId="TOCTitle">
    <w:name w:val="TOCTitle"/>
    <w:basedOn w:val="Heading1"/>
    <w:rsid w:val="007A110B"/>
    <w:pPr>
      <w:spacing w:after="240"/>
      <w:jc w:val="center"/>
      <w:outlineLvl w:val="9"/>
    </w:pPr>
    <w:rPr>
      <w:caps/>
    </w:rPr>
  </w:style>
  <w:style w:type="paragraph" w:customStyle="1" w:styleId="Version">
    <w:name w:val="Version"/>
    <w:rsid w:val="007A11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110B"/>
    <w:pPr>
      <w:keepNext w:val="0"/>
      <w:tabs>
        <w:tab w:val="right" w:pos="4176"/>
      </w:tabs>
      <w:ind w:left="198" w:hanging="198"/>
    </w:pPr>
    <w:rPr>
      <w:rFonts w:ascii="Garamond" w:hAnsi="Garamond"/>
    </w:rPr>
  </w:style>
  <w:style w:type="paragraph" w:styleId="IndexHeading">
    <w:name w:val="index heading"/>
    <w:basedOn w:val="Normal"/>
    <w:next w:val="Index1"/>
    <w:semiHidden/>
    <w:rsid w:val="007A110B"/>
    <w:pPr>
      <w:spacing w:before="120" w:after="120"/>
    </w:pPr>
    <w:rPr>
      <w:rFonts w:ascii="Arial" w:hAnsi="Arial"/>
      <w:b/>
      <w:color w:val="918585"/>
      <w:sz w:val="24"/>
    </w:rPr>
  </w:style>
  <w:style w:type="paragraph" w:styleId="Header">
    <w:name w:val="header"/>
    <w:basedOn w:val="Normal"/>
    <w:link w:val="HeaderChar"/>
    <w:rsid w:val="007A11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110B"/>
    <w:rPr>
      <w:rFonts w:ascii="Times New Roman" w:eastAsia="Times New Roman" w:hAnsi="Times New Roman" w:cs="Times New Roman"/>
      <w:sz w:val="16"/>
      <w:szCs w:val="20"/>
      <w:lang w:val="en-GB" w:eastAsia="en-US"/>
    </w:rPr>
  </w:style>
  <w:style w:type="paragraph" w:customStyle="1" w:styleId="Chapter">
    <w:name w:val="Chapter"/>
    <w:basedOn w:val="Normal"/>
    <w:rsid w:val="007A110B"/>
    <w:pPr>
      <w:spacing w:before="240"/>
    </w:pPr>
    <w:rPr>
      <w:rFonts w:ascii="Times New Roman" w:hAnsi="Times New Roman"/>
      <w:smallCaps/>
      <w:spacing w:val="80"/>
      <w:sz w:val="28"/>
    </w:rPr>
  </w:style>
  <w:style w:type="paragraph" w:customStyle="1" w:styleId="InChapter">
    <w:name w:val="InChapter"/>
    <w:basedOn w:val="Heading3"/>
    <w:rsid w:val="007A110B"/>
    <w:pPr>
      <w:spacing w:after="240"/>
      <w:outlineLvl w:val="9"/>
    </w:pPr>
    <w:rPr>
      <w:noProof/>
    </w:rPr>
  </w:style>
  <w:style w:type="paragraph" w:styleId="Index2">
    <w:name w:val="index 2"/>
    <w:basedOn w:val="Normal"/>
    <w:next w:val="Normal"/>
    <w:semiHidden/>
    <w:rsid w:val="007A110B"/>
    <w:pPr>
      <w:tabs>
        <w:tab w:val="right" w:pos="4176"/>
      </w:tabs>
      <w:ind w:left="568" w:hanging="284"/>
    </w:pPr>
    <w:rPr>
      <w:rFonts w:ascii="Garamond" w:hAnsi="Garamond"/>
    </w:rPr>
  </w:style>
  <w:style w:type="paragraph" w:customStyle="1" w:styleId="Byline">
    <w:name w:val="Byline"/>
    <w:rsid w:val="007A11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110B"/>
    <w:pPr>
      <w:tabs>
        <w:tab w:val="clear" w:pos="3600"/>
        <w:tab w:val="clear" w:pos="3958"/>
      </w:tabs>
      <w:jc w:val="right"/>
    </w:pPr>
  </w:style>
  <w:style w:type="character" w:styleId="Emphasis">
    <w:name w:val="Emphasis"/>
    <w:basedOn w:val="DefaultParagraphFont"/>
    <w:qFormat/>
    <w:rsid w:val="007A110B"/>
    <w:rPr>
      <w:i/>
    </w:rPr>
  </w:style>
  <w:style w:type="paragraph" w:styleId="Caption">
    <w:name w:val="caption"/>
    <w:basedOn w:val="BodyText"/>
    <w:next w:val="Normal"/>
    <w:qFormat/>
    <w:rsid w:val="007A110B"/>
    <w:pPr>
      <w:framePr w:w="2268" w:hSpace="181" w:vSpace="181" w:wrap="around" w:vAnchor="text" w:hAnchor="page" w:x="1135" w:y="285" w:anchorLock="1"/>
    </w:pPr>
    <w:rPr>
      <w:i/>
    </w:rPr>
  </w:style>
  <w:style w:type="paragraph" w:customStyle="1" w:styleId="MiniTOCTitle">
    <w:name w:val="MiniTOCTitle"/>
    <w:basedOn w:val="Heading4"/>
    <w:rsid w:val="007A110B"/>
    <w:pPr>
      <w:spacing w:before="240"/>
      <w:outlineLvl w:val="9"/>
    </w:pPr>
    <w:rPr>
      <w:noProof/>
      <w:sz w:val="24"/>
    </w:rPr>
  </w:style>
  <w:style w:type="paragraph" w:customStyle="1" w:styleId="MiniTOCItem">
    <w:name w:val="MiniTOCItem"/>
    <w:basedOn w:val="ListBullet"/>
    <w:rsid w:val="007A110B"/>
    <w:pPr>
      <w:numPr>
        <w:numId w:val="0"/>
      </w:numPr>
      <w:tabs>
        <w:tab w:val="right" w:leader="dot" w:pos="6521"/>
      </w:tabs>
      <w:spacing w:before="0" w:after="0"/>
    </w:pPr>
  </w:style>
  <w:style w:type="paragraph" w:customStyle="1" w:styleId="TOFTitle">
    <w:name w:val="TOFTitle"/>
    <w:basedOn w:val="TOCTitle"/>
    <w:rsid w:val="007A110B"/>
  </w:style>
  <w:style w:type="paragraph" w:styleId="TableofFigures">
    <w:name w:val="table of figures"/>
    <w:basedOn w:val="Normal"/>
    <w:next w:val="Normal"/>
    <w:semiHidden/>
    <w:rsid w:val="007A110B"/>
    <w:pPr>
      <w:tabs>
        <w:tab w:val="right" w:leader="dot" w:pos="9072"/>
      </w:tabs>
      <w:ind w:left="970" w:hanging="403"/>
    </w:pPr>
    <w:rPr>
      <w:rFonts w:ascii="Times New Roman" w:hAnsi="Times New Roman"/>
      <w:b/>
    </w:rPr>
  </w:style>
  <w:style w:type="paragraph" w:styleId="ListNumber">
    <w:name w:val="List Number"/>
    <w:basedOn w:val="List"/>
    <w:rsid w:val="007A110B"/>
    <w:pPr>
      <w:numPr>
        <w:numId w:val="15"/>
      </w:numPr>
      <w:tabs>
        <w:tab w:val="clear" w:pos="340"/>
      </w:tabs>
    </w:pPr>
  </w:style>
  <w:style w:type="character" w:customStyle="1" w:styleId="WingdingSymbols">
    <w:name w:val="Wingding Symbols"/>
    <w:rsid w:val="007A110B"/>
    <w:rPr>
      <w:rFonts w:ascii="Wingdings" w:hAnsi="Wingdings"/>
    </w:rPr>
  </w:style>
  <w:style w:type="paragraph" w:customStyle="1" w:styleId="TableHeading">
    <w:name w:val="Table Heading"/>
    <w:basedOn w:val="HeadingBase"/>
    <w:rsid w:val="007A110B"/>
    <w:pPr>
      <w:keepLines/>
      <w:pBdr>
        <w:bottom w:val="single" w:sz="6" w:space="1" w:color="918585"/>
      </w:pBdr>
      <w:spacing w:before="240"/>
    </w:pPr>
  </w:style>
  <w:style w:type="character" w:customStyle="1" w:styleId="HotSpot">
    <w:name w:val="HotSpot"/>
    <w:rsid w:val="007A110B"/>
    <w:rPr>
      <w:color w:val="0033CC"/>
      <w:u w:val="none"/>
    </w:rPr>
  </w:style>
  <w:style w:type="paragraph" w:customStyle="1" w:styleId="BodyTextRight">
    <w:name w:val="Body Text Right"/>
    <w:basedOn w:val="BodyText"/>
    <w:rsid w:val="007A110B"/>
    <w:pPr>
      <w:spacing w:before="0" w:after="0"/>
      <w:jc w:val="right"/>
    </w:pPr>
  </w:style>
  <w:style w:type="paragraph" w:styleId="Index3">
    <w:name w:val="index 3"/>
    <w:basedOn w:val="ListNumber2"/>
    <w:next w:val="Normal"/>
    <w:semiHidden/>
    <w:rsid w:val="007A110B"/>
    <w:pPr>
      <w:numPr>
        <w:numId w:val="0"/>
      </w:numPr>
      <w:tabs>
        <w:tab w:val="right" w:leader="dot" w:pos="4176"/>
      </w:tabs>
    </w:pPr>
  </w:style>
  <w:style w:type="paragraph" w:styleId="ListNumber2">
    <w:name w:val="List Number 2"/>
    <w:basedOn w:val="List2"/>
    <w:rsid w:val="007A110B"/>
    <w:pPr>
      <w:numPr>
        <w:numId w:val="10"/>
      </w:numPr>
      <w:tabs>
        <w:tab w:val="clear" w:pos="1060"/>
      </w:tabs>
    </w:pPr>
  </w:style>
  <w:style w:type="paragraph" w:customStyle="1" w:styleId="MarginNote">
    <w:name w:val="Margin Note"/>
    <w:basedOn w:val="BodyText"/>
    <w:rsid w:val="007A11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11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11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110B"/>
    <w:rPr>
      <w:sz w:val="32"/>
    </w:rPr>
  </w:style>
  <w:style w:type="paragraph" w:customStyle="1" w:styleId="HeadingProcedure">
    <w:name w:val="Heading Procedure"/>
    <w:basedOn w:val="HeadingBase"/>
    <w:next w:val="Normal"/>
    <w:rsid w:val="007A110B"/>
    <w:pPr>
      <w:tabs>
        <w:tab w:val="left" w:pos="0"/>
      </w:tabs>
      <w:spacing w:before="120" w:after="60"/>
    </w:pPr>
    <w:rPr>
      <w:i/>
      <w:color w:val="918585"/>
      <w:sz w:val="22"/>
    </w:rPr>
  </w:style>
  <w:style w:type="paragraph" w:customStyle="1" w:styleId="TableBodyText">
    <w:name w:val="Table Body Text"/>
    <w:basedOn w:val="BodyText"/>
    <w:rsid w:val="007A110B"/>
    <w:pPr>
      <w:spacing w:before="60" w:after="60"/>
    </w:pPr>
  </w:style>
  <w:style w:type="paragraph" w:styleId="ListContinue">
    <w:name w:val="List Continue"/>
    <w:basedOn w:val="List"/>
    <w:rsid w:val="007A110B"/>
    <w:pPr>
      <w:ind w:firstLine="0"/>
    </w:pPr>
  </w:style>
  <w:style w:type="paragraph" w:customStyle="1" w:styleId="ListNote">
    <w:name w:val="List Note"/>
    <w:basedOn w:val="List"/>
    <w:rsid w:val="007A110B"/>
    <w:pPr>
      <w:pBdr>
        <w:top w:val="single" w:sz="6" w:space="2" w:color="918585"/>
        <w:bottom w:val="single" w:sz="6" w:space="2" w:color="918585"/>
      </w:pBdr>
      <w:tabs>
        <w:tab w:val="left" w:pos="1021"/>
      </w:tabs>
      <w:ind w:firstLine="0"/>
    </w:pPr>
  </w:style>
  <w:style w:type="paragraph" w:customStyle="1" w:styleId="Warning">
    <w:name w:val="Warning"/>
    <w:basedOn w:val="BodyText"/>
    <w:rsid w:val="007A110B"/>
    <w:pPr>
      <w:shd w:val="clear" w:color="auto" w:fill="D9D9D9"/>
      <w:tabs>
        <w:tab w:val="left" w:pos="992"/>
      </w:tabs>
      <w:ind w:left="119" w:right="119"/>
    </w:pPr>
    <w:rPr>
      <w:sz w:val="20"/>
    </w:rPr>
  </w:style>
  <w:style w:type="paragraph" w:customStyle="1" w:styleId="MarginIcons">
    <w:name w:val="Margin Icons"/>
    <w:basedOn w:val="BodyText"/>
    <w:rsid w:val="007A11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110B"/>
    <w:rPr>
      <w:rFonts w:ascii="Courier New" w:hAnsi="Courier New"/>
    </w:rPr>
  </w:style>
  <w:style w:type="paragraph" w:customStyle="1" w:styleId="NoteBullet">
    <w:name w:val="Note Bullet"/>
    <w:basedOn w:val="Note"/>
    <w:rsid w:val="007A110B"/>
    <w:pPr>
      <w:tabs>
        <w:tab w:val="clear" w:pos="680"/>
      </w:tabs>
      <w:spacing w:before="60" w:after="60"/>
    </w:pPr>
  </w:style>
  <w:style w:type="paragraph" w:customStyle="1" w:styleId="SubHeading2">
    <w:name w:val="SubHeading2"/>
    <w:basedOn w:val="HeadingBase"/>
    <w:rsid w:val="007A110B"/>
    <w:pPr>
      <w:spacing w:before="240" w:after="60"/>
    </w:pPr>
    <w:rPr>
      <w:sz w:val="20"/>
    </w:rPr>
  </w:style>
  <w:style w:type="paragraph" w:customStyle="1" w:styleId="SubHeading1">
    <w:name w:val="SubHeading1"/>
    <w:basedOn w:val="HeadingBase"/>
    <w:rsid w:val="007A110B"/>
    <w:pPr>
      <w:spacing w:before="240" w:after="60"/>
    </w:pPr>
    <w:rPr>
      <w:color w:val="918585"/>
      <w:sz w:val="22"/>
    </w:rPr>
  </w:style>
  <w:style w:type="paragraph" w:customStyle="1" w:styleId="SideHeading">
    <w:name w:val="Side Heading"/>
    <w:basedOn w:val="HeadingBase"/>
    <w:rsid w:val="007A11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110B"/>
    <w:pPr>
      <w:tabs>
        <w:tab w:val="num" w:pos="360"/>
      </w:tabs>
    </w:pPr>
  </w:style>
  <w:style w:type="paragraph" w:styleId="PlainText">
    <w:name w:val="Plain Text"/>
    <w:basedOn w:val="Normal"/>
    <w:link w:val="PlainTextChar"/>
    <w:rsid w:val="007A110B"/>
    <w:rPr>
      <w:sz w:val="20"/>
    </w:rPr>
  </w:style>
  <w:style w:type="character" w:customStyle="1" w:styleId="PlainTextChar">
    <w:name w:val="Plain Text Char"/>
    <w:basedOn w:val="DefaultParagraphFont"/>
    <w:link w:val="PlainText"/>
    <w:rsid w:val="007A110B"/>
    <w:rPr>
      <w:rFonts w:ascii="Courier New" w:eastAsia="Times New Roman" w:hAnsi="Courier New" w:cs="Times New Roman"/>
      <w:sz w:val="20"/>
      <w:szCs w:val="20"/>
      <w:lang w:eastAsia="en-US"/>
    </w:rPr>
  </w:style>
  <w:style w:type="character" w:customStyle="1" w:styleId="MenuOption">
    <w:name w:val="Menu Option"/>
    <w:basedOn w:val="DefaultParagraphFont"/>
    <w:rsid w:val="007A110B"/>
    <w:rPr>
      <w:b/>
      <w:smallCaps/>
    </w:rPr>
  </w:style>
  <w:style w:type="paragraph" w:customStyle="1" w:styleId="TableListNumber">
    <w:name w:val="Table List Number"/>
    <w:basedOn w:val="ListNumber"/>
    <w:rsid w:val="007A110B"/>
    <w:pPr>
      <w:numPr>
        <w:numId w:val="0"/>
      </w:numPr>
    </w:pPr>
  </w:style>
  <w:style w:type="paragraph" w:styleId="TOC4">
    <w:name w:val="toc 4"/>
    <w:basedOn w:val="TOCBase"/>
    <w:next w:val="Normal"/>
    <w:semiHidden/>
    <w:rsid w:val="007A110B"/>
    <w:pPr>
      <w:tabs>
        <w:tab w:val="right" w:leader="dot" w:pos="9071"/>
      </w:tabs>
      <w:ind w:left="1701"/>
    </w:pPr>
  </w:style>
  <w:style w:type="paragraph" w:customStyle="1" w:styleId="ListAlpha">
    <w:name w:val="List Alpha"/>
    <w:basedOn w:val="List"/>
    <w:rsid w:val="007A110B"/>
    <w:pPr>
      <w:numPr>
        <w:numId w:val="9"/>
      </w:numPr>
    </w:pPr>
  </w:style>
  <w:style w:type="paragraph" w:customStyle="1" w:styleId="ListAlpha2">
    <w:name w:val="List Alpha 2"/>
    <w:basedOn w:val="List2"/>
    <w:rsid w:val="007A110B"/>
    <w:pPr>
      <w:numPr>
        <w:numId w:val="8"/>
      </w:numPr>
    </w:pPr>
  </w:style>
  <w:style w:type="paragraph" w:styleId="List2">
    <w:name w:val="List 2"/>
    <w:basedOn w:val="BodyText"/>
    <w:rsid w:val="007A110B"/>
    <w:pPr>
      <w:tabs>
        <w:tab w:val="left" w:pos="680"/>
      </w:tabs>
      <w:spacing w:before="60" w:after="60"/>
      <w:ind w:left="680" w:hanging="340"/>
    </w:pPr>
  </w:style>
  <w:style w:type="paragraph" w:styleId="List3">
    <w:name w:val="List 3"/>
    <w:basedOn w:val="BodyText"/>
    <w:rsid w:val="007A110B"/>
    <w:pPr>
      <w:tabs>
        <w:tab w:val="left" w:pos="1021"/>
      </w:tabs>
      <w:spacing w:before="60" w:after="60"/>
      <w:ind w:left="1020" w:hanging="340"/>
    </w:pPr>
  </w:style>
  <w:style w:type="paragraph" w:styleId="List4">
    <w:name w:val="List 4"/>
    <w:basedOn w:val="BodyText"/>
    <w:rsid w:val="007A110B"/>
    <w:pPr>
      <w:tabs>
        <w:tab w:val="left" w:pos="1361"/>
      </w:tabs>
      <w:spacing w:before="60" w:after="60"/>
      <w:ind w:left="1361" w:hanging="340"/>
    </w:pPr>
  </w:style>
  <w:style w:type="paragraph" w:styleId="List5">
    <w:name w:val="List 5"/>
    <w:basedOn w:val="BodyText"/>
    <w:rsid w:val="007A110B"/>
    <w:pPr>
      <w:tabs>
        <w:tab w:val="left" w:pos="1701"/>
      </w:tabs>
      <w:spacing w:before="60" w:after="60"/>
      <w:ind w:left="1701" w:hanging="340"/>
    </w:pPr>
  </w:style>
  <w:style w:type="paragraph" w:styleId="ListBullet3">
    <w:name w:val="List Bullet 3"/>
    <w:basedOn w:val="List3"/>
    <w:rsid w:val="007A110B"/>
    <w:pPr>
      <w:numPr>
        <w:numId w:val="14"/>
      </w:numPr>
      <w:tabs>
        <w:tab w:val="clear" w:pos="1021"/>
      </w:tabs>
      <w:ind w:left="1037" w:hanging="357"/>
    </w:pPr>
  </w:style>
  <w:style w:type="paragraph" w:styleId="ListBullet4">
    <w:name w:val="List Bullet 4"/>
    <w:basedOn w:val="List4"/>
    <w:rsid w:val="007A110B"/>
    <w:pPr>
      <w:numPr>
        <w:numId w:val="3"/>
      </w:numPr>
      <w:tabs>
        <w:tab w:val="clear" w:pos="1361"/>
      </w:tabs>
    </w:pPr>
  </w:style>
  <w:style w:type="paragraph" w:styleId="ListBullet5">
    <w:name w:val="List Bullet 5"/>
    <w:basedOn w:val="List5"/>
    <w:rsid w:val="007A110B"/>
    <w:pPr>
      <w:numPr>
        <w:numId w:val="4"/>
      </w:numPr>
    </w:pPr>
  </w:style>
  <w:style w:type="paragraph" w:styleId="ListContinue2">
    <w:name w:val="List Continue 2"/>
    <w:basedOn w:val="List2"/>
    <w:rsid w:val="007A110B"/>
    <w:pPr>
      <w:ind w:firstLine="0"/>
    </w:pPr>
  </w:style>
  <w:style w:type="paragraph" w:styleId="ListContinue3">
    <w:name w:val="List Continue 3"/>
    <w:basedOn w:val="List3"/>
    <w:rsid w:val="007A110B"/>
    <w:pPr>
      <w:ind w:left="1021" w:firstLine="0"/>
    </w:pPr>
  </w:style>
  <w:style w:type="paragraph" w:styleId="ListContinue4">
    <w:name w:val="List Continue 4"/>
    <w:basedOn w:val="List4"/>
    <w:rsid w:val="007A110B"/>
    <w:pPr>
      <w:ind w:firstLine="0"/>
    </w:pPr>
  </w:style>
  <w:style w:type="paragraph" w:styleId="ListContinue5">
    <w:name w:val="List Continue 5"/>
    <w:basedOn w:val="List5"/>
    <w:rsid w:val="007A110B"/>
    <w:pPr>
      <w:ind w:firstLine="0"/>
    </w:pPr>
  </w:style>
  <w:style w:type="paragraph" w:styleId="ListNumber3">
    <w:name w:val="List Number 3"/>
    <w:basedOn w:val="List3"/>
    <w:rsid w:val="007A110B"/>
    <w:pPr>
      <w:numPr>
        <w:numId w:val="5"/>
      </w:numPr>
    </w:pPr>
  </w:style>
  <w:style w:type="paragraph" w:styleId="ListNumber4">
    <w:name w:val="List Number 4"/>
    <w:basedOn w:val="List4"/>
    <w:rsid w:val="007A110B"/>
    <w:pPr>
      <w:numPr>
        <w:numId w:val="6"/>
      </w:numPr>
    </w:pPr>
  </w:style>
  <w:style w:type="paragraph" w:styleId="ListNumber5">
    <w:name w:val="List Number 5"/>
    <w:basedOn w:val="List5"/>
    <w:rsid w:val="007A110B"/>
    <w:pPr>
      <w:numPr>
        <w:numId w:val="7"/>
      </w:numPr>
    </w:pPr>
  </w:style>
  <w:style w:type="paragraph" w:styleId="BlockText">
    <w:name w:val="Block Text"/>
    <w:basedOn w:val="Normal"/>
    <w:rsid w:val="007A110B"/>
    <w:pPr>
      <w:spacing w:after="120"/>
      <w:ind w:left="1440" w:right="1440"/>
    </w:pPr>
  </w:style>
  <w:style w:type="character" w:customStyle="1" w:styleId="Subscript">
    <w:name w:val="Subscript"/>
    <w:basedOn w:val="DefaultParagraphFont"/>
    <w:rsid w:val="007A110B"/>
    <w:rPr>
      <w:sz w:val="16"/>
      <w:vertAlign w:val="subscript"/>
    </w:rPr>
  </w:style>
  <w:style w:type="character" w:customStyle="1" w:styleId="Superscript">
    <w:name w:val="Superscript"/>
    <w:basedOn w:val="DefaultParagraphFont"/>
    <w:rsid w:val="007A110B"/>
    <w:rPr>
      <w:sz w:val="16"/>
      <w:vertAlign w:val="superscript"/>
    </w:rPr>
  </w:style>
  <w:style w:type="character" w:customStyle="1" w:styleId="Symbols">
    <w:name w:val="Symbols"/>
    <w:basedOn w:val="DefaultParagraphFont"/>
    <w:rsid w:val="007A110B"/>
    <w:rPr>
      <w:rFonts w:ascii="Symbol" w:hAnsi="Symbol"/>
    </w:rPr>
  </w:style>
  <w:style w:type="character" w:customStyle="1" w:styleId="MenuOptions">
    <w:name w:val="Menu Options"/>
    <w:basedOn w:val="DefaultParagraphFont"/>
    <w:rsid w:val="007A110B"/>
    <w:rPr>
      <w:rFonts w:ascii="Arial Narrow" w:hAnsi="Arial Narrow"/>
      <w:smallCaps/>
    </w:rPr>
  </w:style>
  <w:style w:type="character" w:customStyle="1" w:styleId="Buttons">
    <w:name w:val="Buttons"/>
    <w:basedOn w:val="DefaultParagraphFont"/>
    <w:rsid w:val="007A110B"/>
    <w:rPr>
      <w:b/>
    </w:rPr>
  </w:style>
  <w:style w:type="character" w:customStyle="1" w:styleId="Underlined">
    <w:name w:val="Underlined"/>
    <w:basedOn w:val="DefaultParagraphFont"/>
    <w:rsid w:val="007A110B"/>
    <w:rPr>
      <w:u w:val="single"/>
    </w:rPr>
  </w:style>
  <w:style w:type="paragraph" w:customStyle="1" w:styleId="TableBodyTextRight">
    <w:name w:val="Table Body Text Right"/>
    <w:basedOn w:val="TableBodyText"/>
    <w:rsid w:val="007A110B"/>
    <w:pPr>
      <w:widowControl w:val="0"/>
      <w:autoSpaceDE w:val="0"/>
      <w:autoSpaceDN w:val="0"/>
      <w:adjustRightInd w:val="0"/>
      <w:jc w:val="right"/>
    </w:pPr>
    <w:rPr>
      <w:rFonts w:cs="Arial"/>
      <w:szCs w:val="18"/>
    </w:rPr>
  </w:style>
  <w:style w:type="paragraph" w:customStyle="1" w:styleId="CopyrightText">
    <w:name w:val="Copyright Text"/>
    <w:basedOn w:val="BodyText"/>
    <w:rsid w:val="007A110B"/>
    <w:rPr>
      <w:sz w:val="18"/>
    </w:rPr>
  </w:style>
  <w:style w:type="paragraph" w:customStyle="1" w:styleId="BodySmallRight">
    <w:name w:val="Body Small Right"/>
    <w:basedOn w:val="BodyTextRight"/>
    <w:rsid w:val="007A110B"/>
    <w:rPr>
      <w:sz w:val="18"/>
      <w:szCs w:val="18"/>
    </w:rPr>
  </w:style>
  <w:style w:type="paragraph" w:customStyle="1" w:styleId="MarginEdition">
    <w:name w:val="Margin Edition"/>
    <w:basedOn w:val="MarginNote"/>
    <w:rsid w:val="007A110B"/>
    <w:pPr>
      <w:spacing w:before="0" w:after="0"/>
    </w:pPr>
    <w:rPr>
      <w:rFonts w:ascii="Times New Roman" w:hAnsi="Times New Roman"/>
      <w:color w:val="999999"/>
    </w:rPr>
  </w:style>
  <w:style w:type="paragraph" w:customStyle="1" w:styleId="Spacer">
    <w:name w:val="Spacer"/>
    <w:basedOn w:val="Normal"/>
    <w:rsid w:val="007A110B"/>
    <w:rPr>
      <w:sz w:val="2"/>
      <w:szCs w:val="2"/>
    </w:rPr>
  </w:style>
  <w:style w:type="character" w:customStyle="1" w:styleId="Small">
    <w:name w:val="Small"/>
    <w:basedOn w:val="DefaultParagraphFont"/>
    <w:rsid w:val="007A110B"/>
    <w:rPr>
      <w:sz w:val="16"/>
    </w:rPr>
  </w:style>
  <w:style w:type="paragraph" w:customStyle="1" w:styleId="WideTable">
    <w:name w:val="Wide Table"/>
    <w:basedOn w:val="Normal"/>
    <w:rsid w:val="007A110B"/>
    <w:pPr>
      <w:ind w:left="-1418"/>
    </w:pPr>
    <w:rPr>
      <w:sz w:val="2"/>
      <w:szCs w:val="2"/>
    </w:rPr>
  </w:style>
  <w:style w:type="character" w:styleId="PageNumber">
    <w:name w:val="page number"/>
    <w:basedOn w:val="DefaultParagraphFont"/>
    <w:rsid w:val="007A110B"/>
  </w:style>
  <w:style w:type="paragraph" w:styleId="Quote">
    <w:name w:val="Quote"/>
    <w:basedOn w:val="Heading1"/>
    <w:link w:val="QuoteChar"/>
    <w:qFormat/>
    <w:rsid w:val="007A110B"/>
    <w:rPr>
      <w:b w:val="0"/>
      <w:sz w:val="72"/>
      <w:szCs w:val="72"/>
      <w:lang w:val="en-NZ"/>
    </w:rPr>
  </w:style>
  <w:style w:type="character" w:customStyle="1" w:styleId="QuoteChar">
    <w:name w:val="Quote Char"/>
    <w:basedOn w:val="DefaultParagraphFont"/>
    <w:link w:val="Quote"/>
    <w:rsid w:val="007A11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110B"/>
    <w:pPr>
      <w:pageBreakBefore/>
    </w:pPr>
  </w:style>
  <w:style w:type="paragraph" w:customStyle="1" w:styleId="Border">
    <w:name w:val="Border"/>
    <w:basedOn w:val="Normal"/>
    <w:qFormat/>
    <w:rsid w:val="007A11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110B"/>
    <w:rPr>
      <w:b/>
      <w:bCs/>
      <w:i/>
      <w:iCs/>
      <w:color w:val="auto"/>
    </w:rPr>
  </w:style>
  <w:style w:type="paragraph" w:styleId="IntenseQuote">
    <w:name w:val="Intense Quote"/>
    <w:basedOn w:val="Normal"/>
    <w:next w:val="Normal"/>
    <w:link w:val="IntenseQuoteChar"/>
    <w:uiPriority w:val="30"/>
    <w:qFormat/>
    <w:rsid w:val="007A11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11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110B"/>
    <w:rPr>
      <w:smallCaps/>
      <w:color w:val="auto"/>
      <w:u w:val="single"/>
    </w:rPr>
  </w:style>
  <w:style w:type="character" w:styleId="IntenseReference">
    <w:name w:val="Intense Reference"/>
    <w:basedOn w:val="DefaultParagraphFont"/>
    <w:uiPriority w:val="32"/>
    <w:qFormat/>
    <w:rsid w:val="007A110B"/>
    <w:rPr>
      <w:b/>
      <w:bCs/>
      <w:smallCaps/>
      <w:color w:val="auto"/>
      <w:spacing w:val="5"/>
      <w:u w:val="single"/>
    </w:rPr>
  </w:style>
  <w:style w:type="paragraph" w:customStyle="1" w:styleId="2ColumnHeading">
    <w:name w:val="2Column Heading"/>
    <w:basedOn w:val="BodyText"/>
    <w:qFormat/>
    <w:rsid w:val="007A110B"/>
    <w:pPr>
      <w:spacing w:after="60"/>
      <w:ind w:left="-2268"/>
    </w:pPr>
    <w:rPr>
      <w:b/>
    </w:rPr>
  </w:style>
  <w:style w:type="paragraph" w:customStyle="1" w:styleId="Heading1TOC">
    <w:name w:val="Heading1 TOC"/>
    <w:basedOn w:val="Normal"/>
    <w:qFormat/>
    <w:rsid w:val="007A110B"/>
    <w:pPr>
      <w:spacing w:before="240" w:after="120"/>
    </w:pPr>
    <w:rPr>
      <w:rFonts w:ascii="Times New Roman" w:hAnsi="Times New Roman"/>
      <w:b/>
      <w:sz w:val="32"/>
    </w:rPr>
  </w:style>
  <w:style w:type="paragraph" w:customStyle="1" w:styleId="Heading2TOC">
    <w:name w:val="Heading2 TOC"/>
    <w:basedOn w:val="Normal"/>
    <w:qFormat/>
    <w:rsid w:val="007A110B"/>
    <w:pPr>
      <w:spacing w:before="240" w:after="60"/>
    </w:pPr>
    <w:rPr>
      <w:rFonts w:ascii="Times New Roman" w:hAnsi="Times New Roman"/>
      <w:b/>
      <w:sz w:val="28"/>
    </w:rPr>
  </w:style>
  <w:style w:type="character" w:customStyle="1" w:styleId="Underline">
    <w:name w:val="Underline"/>
    <w:basedOn w:val="DefaultParagraphFont"/>
    <w:qFormat/>
    <w:rsid w:val="007A110B"/>
    <w:rPr>
      <w:u w:val="single"/>
    </w:rPr>
  </w:style>
  <w:style w:type="character" w:customStyle="1" w:styleId="BoldandItalics">
    <w:name w:val="Bold and Italics"/>
    <w:qFormat/>
    <w:rsid w:val="007A110B"/>
    <w:rPr>
      <w:b/>
      <w:i/>
      <w:u w:val="none"/>
    </w:rPr>
  </w:style>
  <w:style w:type="paragraph" w:styleId="BalloonText">
    <w:name w:val="Balloon Text"/>
    <w:basedOn w:val="Normal"/>
    <w:link w:val="BalloonTextChar"/>
    <w:rsid w:val="007A110B"/>
    <w:rPr>
      <w:rFonts w:ascii="Tahoma" w:hAnsi="Tahoma" w:cs="Tahoma"/>
      <w:sz w:val="16"/>
      <w:szCs w:val="16"/>
    </w:rPr>
  </w:style>
  <w:style w:type="character" w:customStyle="1" w:styleId="BalloonTextChar">
    <w:name w:val="Balloon Text Char"/>
    <w:basedOn w:val="DefaultParagraphFont"/>
    <w:link w:val="BalloonText"/>
    <w:rsid w:val="007A11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11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11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110B"/>
    <w:rPr>
      <w:b/>
      <w:color w:val="660033"/>
      <w:spacing w:val="0"/>
    </w:rPr>
  </w:style>
  <w:style w:type="paragraph" w:customStyle="1" w:styleId="Nameditemlist">
    <w:name w:val="Named item list"/>
    <w:basedOn w:val="BodyText"/>
    <w:qFormat/>
    <w:rsid w:val="007A110B"/>
    <w:pPr>
      <w:tabs>
        <w:tab w:val="left" w:pos="2835"/>
      </w:tabs>
      <w:ind w:left="2835" w:hanging="2835"/>
    </w:pPr>
  </w:style>
  <w:style w:type="paragraph" w:customStyle="1" w:styleId="BodyTextnopadding">
    <w:name w:val="Body Text no padding"/>
    <w:basedOn w:val="BodyText"/>
    <w:qFormat/>
    <w:rsid w:val="007A110B"/>
    <w:pPr>
      <w:spacing w:before="0" w:after="0"/>
    </w:pPr>
  </w:style>
  <w:style w:type="paragraph" w:customStyle="1" w:styleId="BodyTextBold">
    <w:name w:val="Body Text Bold"/>
    <w:basedOn w:val="BodyText"/>
    <w:qFormat/>
    <w:rsid w:val="007A110B"/>
    <w:rPr>
      <w:b/>
    </w:rPr>
  </w:style>
  <w:style w:type="character" w:styleId="Hyperlink">
    <w:name w:val="Hyperlink"/>
    <w:basedOn w:val="DefaultParagraphFont"/>
    <w:uiPriority w:val="99"/>
    <w:unhideWhenUsed/>
    <w:rsid w:val="003575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2018</Words>
  <Characters>12473</Characters>
  <Application>Microsoft Office Word</Application>
  <DocSecurity>0</DocSecurity>
  <Lines>415</Lines>
  <Paragraphs>263</Paragraphs>
  <ScaleCrop>false</ScaleCrop>
  <Company>Author-it Software Corporation Ltd.</Company>
  <LinksUpToDate>false</LinksUpToDate>
  <CharactersWithSpaces>14228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PMBPREP304 Set a die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2025-03-01T08:27:00Z</dcterms:created>
  <dcterms:modified xsi:type="dcterms:W3CDTF">2025-03-01T08:27:00Z</dcterms:modified>
</cp:coreProperties>
</file>