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094" w:rsidP="00785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PMBPREP304E Set a die for injection moulding production</w:t>
      </w:r>
      <w:r>
        <w:fldChar w:fldCharType="end"/>
      </w:r>
    </w:p>
    <w:p w:rsidR="00785094" w:rsidP="00785094">
      <w:pPr>
        <w:pStyle w:val="Version"/>
        <w:sectPr w:rsidSect="00F32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DD7" w:rsidP="00F32DD7">
      <w:pPr>
        <w:pStyle w:val="SuperHeading"/>
      </w:pPr>
      <w:r w:rsidRPr="00F32DD7">
        <w:t>Assessment Requirements for PMBPREP304E Set a die for injection moulding production</w:t>
      </w:r>
    </w:p>
    <w:p w:rsidR="00000000" w:rsidRPr="00F32DD7" w:rsidP="00F32DD7">
      <w:pPr>
        <w:pStyle w:val="Heading1"/>
      </w:pPr>
      <w:bookmarkStart w:id="1" w:name="O_1114068"/>
      <w:bookmarkEnd w:id="1"/>
      <w:r w:rsidRPr="00F32DD7">
        <w:t>Modification History</w:t>
      </w:r>
    </w:p>
    <w:p w:rsidR="00000000" w:rsidRPr="00F32DD7" w:rsidP="00785094">
      <w:pPr>
        <w:pStyle w:val="BodyText"/>
      </w:pPr>
      <w:r w:rsidRPr="00F32DD7">
        <w:t xml:space="preserve">Release 1. Unit code and title changed. Application changed. </w:t>
      </w:r>
      <w:r w:rsidRPr="00F32DD7">
        <w:t>Elements and Performance Criteria changed. Range of Conditions removed. Assessment Requirements changed. Supersedes and is equivalent to PMBPREP304 Set a die.</w:t>
      </w:r>
    </w:p>
    <w:p w:rsidR="00000000" w:rsidRPr="00F32DD7" w:rsidP="00F32DD7">
      <w:pPr>
        <w:pStyle w:val="Heading1"/>
      </w:pPr>
      <w:bookmarkStart w:id="2" w:name="O_1114070"/>
      <w:bookmarkEnd w:id="2"/>
      <w:r w:rsidRPr="00F32DD7">
        <w:t>Performance Evidence</w:t>
      </w:r>
    </w:p>
    <w:p w:rsidR="00000000" w:rsidRPr="00F32DD7" w:rsidP="00785094">
      <w:pPr>
        <w:pStyle w:val="BodyText"/>
      </w:pPr>
      <w:r w:rsidRPr="00F32DD7">
        <w:t>There must be evidence the candidate has completed the ta</w:t>
      </w:r>
      <w:r w:rsidRPr="00F32DD7">
        <w:t>sks outlined in the elements and performance criteria of this unit, and demonstrated the ability to:</w:t>
      </w:r>
    </w:p>
    <w:p w:rsidR="00000000" w:rsidRPr="00F32DD7" w:rsidP="00F32DD7">
      <w:pPr>
        <w:pStyle w:val="ListBullet"/>
      </w:pPr>
      <w:r w:rsidRPr="00F32DD7">
        <w:t>set a die for injection moulding production at least once to meet changeover requirements.</w:t>
      </w:r>
    </w:p>
    <w:p w:rsidR="00000000" w:rsidRPr="00F32DD7" w:rsidP="00F32DD7">
      <w:pPr>
        <w:pStyle w:val="AllowPageBreak"/>
      </w:pPr>
    </w:p>
    <w:p w:rsidR="00000000" w:rsidRPr="00F32DD7" w:rsidP="00F32DD7">
      <w:pPr>
        <w:pStyle w:val="Heading1"/>
      </w:pPr>
      <w:bookmarkStart w:id="3" w:name="O_1114071"/>
      <w:bookmarkEnd w:id="3"/>
      <w:r w:rsidRPr="00F32DD7">
        <w:t>Knowledge Evidence</w:t>
      </w:r>
    </w:p>
    <w:p w:rsidR="00000000" w:rsidRPr="00F32DD7" w:rsidP="00785094">
      <w:pPr>
        <w:pStyle w:val="BodyText"/>
      </w:pPr>
      <w:r w:rsidRPr="00F32DD7">
        <w:t>There must be evidence th</w:t>
      </w:r>
      <w:r w:rsidRPr="00F32DD7">
        <w:t>e candidate has knowledge of:</w:t>
      </w:r>
    </w:p>
    <w:p w:rsidR="00000000" w:rsidRPr="00F32DD7" w:rsidP="00F32DD7">
      <w:pPr>
        <w:pStyle w:val="ListBullet"/>
      </w:pPr>
      <w:r w:rsidRPr="00F32DD7">
        <w:t>construction of dies and their components, including fixed and removable cores, inserts, ejection systems and vents</w:t>
      </w:r>
    </w:p>
    <w:p w:rsidR="00000000" w:rsidRPr="00F32DD7" w:rsidP="00F32DD7">
      <w:pPr>
        <w:pStyle w:val="ListBullet"/>
      </w:pPr>
      <w:r w:rsidRPr="00F32DD7">
        <w:t>methods of connecting dies to machines</w:t>
      </w:r>
    </w:p>
    <w:p w:rsidR="00000000" w:rsidRPr="00F32DD7" w:rsidP="00F32DD7">
      <w:pPr>
        <w:pStyle w:val="ListBullet"/>
      </w:pPr>
      <w:r w:rsidRPr="00F32DD7">
        <w:t>function of machine settings and appropriate ranges of settings for sp</w:t>
      </w:r>
      <w:r w:rsidRPr="00F32DD7">
        <w:t>ecific dies</w:t>
      </w:r>
    </w:p>
    <w:p w:rsidR="00000000" w:rsidRPr="00F32DD7" w:rsidP="00F32DD7">
      <w:pPr>
        <w:pStyle w:val="ListBullet"/>
      </w:pPr>
      <w:r w:rsidRPr="00F32DD7">
        <w:t>criteria used to decide whether corrosion protection is required</w:t>
      </w:r>
    </w:p>
    <w:p w:rsidR="00000000" w:rsidRPr="00F32DD7" w:rsidP="00F32DD7">
      <w:pPr>
        <w:pStyle w:val="ListBullet"/>
      </w:pPr>
      <w:r w:rsidRPr="00F32DD7">
        <w:t>injection moulding production workflow sequences</w:t>
      </w:r>
    </w:p>
    <w:p w:rsidR="00000000" w:rsidRPr="00F32DD7" w:rsidP="00F32DD7">
      <w:pPr>
        <w:pStyle w:val="ListBullet"/>
      </w:pPr>
      <w:r w:rsidRPr="00F32DD7">
        <w:t xml:space="preserve">key variables that may affect output </w:t>
      </w:r>
    </w:p>
    <w:p w:rsidR="00000000" w:rsidRPr="00F32DD7" w:rsidP="00F32DD7">
      <w:pPr>
        <w:pStyle w:val="ListBullet"/>
      </w:pPr>
      <w:r w:rsidRPr="00F32DD7">
        <w:t>typical process and product problems, including early warning signs, possible causes and cor</w:t>
      </w:r>
      <w:r w:rsidRPr="00F32DD7">
        <w:t>rective actions</w:t>
      </w:r>
    </w:p>
    <w:p w:rsidR="00000000" w:rsidRPr="00F32DD7" w:rsidP="00F32DD7">
      <w:pPr>
        <w:pStyle w:val="ListBullet"/>
      </w:pPr>
      <w:r w:rsidRPr="00F32DD7">
        <w:t>organisational procedures relevant to the work environment or job role</w:t>
      </w:r>
    </w:p>
    <w:p w:rsidR="00000000" w:rsidRPr="00F32DD7" w:rsidP="00F32DD7">
      <w:pPr>
        <w:pStyle w:val="ListBullet"/>
      </w:pPr>
      <w:r w:rsidRPr="00F32DD7">
        <w:t>hazards that may arise in the job or work environment, and:</w:t>
      </w:r>
    </w:p>
    <w:p w:rsidR="00000000" w:rsidRPr="00F32DD7" w:rsidP="00F32DD7">
      <w:pPr>
        <w:pStyle w:val="ListBullet2"/>
      </w:pPr>
      <w:r w:rsidRPr="00F32DD7">
        <w:t>their possible causes</w:t>
      </w:r>
    </w:p>
    <w:p w:rsidR="00000000" w:rsidRPr="00F32DD7" w:rsidP="00F32DD7">
      <w:pPr>
        <w:pStyle w:val="ListBullet2"/>
      </w:pPr>
      <w:r w:rsidRPr="00F32DD7">
        <w:t>potential consequences</w:t>
      </w:r>
    </w:p>
    <w:p w:rsidR="00000000" w:rsidRPr="00F32DD7" w:rsidP="00F32DD7">
      <w:pPr>
        <w:pStyle w:val="ListBullet2"/>
      </w:pPr>
      <w:r w:rsidRPr="00F32DD7">
        <w:t>appropriate risk controls.</w:t>
      </w:r>
    </w:p>
    <w:p w:rsidR="00000000" w:rsidRPr="00F32DD7" w:rsidP="00F32DD7">
      <w:pPr>
        <w:pStyle w:val="AllowPageBreak"/>
      </w:pPr>
    </w:p>
    <w:p w:rsidR="00000000" w:rsidRPr="00F32DD7" w:rsidP="00F32DD7">
      <w:pPr>
        <w:pStyle w:val="Heading1"/>
      </w:pPr>
      <w:bookmarkStart w:id="4" w:name="O_1114072"/>
      <w:bookmarkEnd w:id="4"/>
      <w:r w:rsidRPr="00F32DD7">
        <w:t>Assessment Conditions</w:t>
      </w:r>
    </w:p>
    <w:p w:rsidR="00000000" w:rsidRPr="00F32DD7" w:rsidP="00785094">
      <w:pPr>
        <w:pStyle w:val="BodyText"/>
      </w:pPr>
      <w:r w:rsidRPr="00F32DD7">
        <w:t xml:space="preserve">Skills must have been demonstrated in the workplace or in a simulated environment that reflects workplace conditions and contingencies. </w:t>
      </w:r>
    </w:p>
    <w:p w:rsidR="00000000" w:rsidRPr="00F32DD7" w:rsidP="00785094">
      <w:pPr>
        <w:pStyle w:val="BodyText"/>
      </w:pPr>
      <w:r w:rsidRPr="00F32DD7">
        <w:t>Assessors must satisfy the NVR/AQTF mandatory competency requirements for assessors.</w:t>
      </w:r>
    </w:p>
    <w:p w:rsidR="00000000" w:rsidRPr="00F32DD7" w:rsidP="00F32DD7">
      <w:pPr>
        <w:pStyle w:val="Heading1"/>
      </w:pPr>
      <w:bookmarkStart w:id="5" w:name="O_1114075"/>
      <w:bookmarkEnd w:id="5"/>
      <w:r w:rsidRPr="00F32DD7">
        <w:t>Links</w:t>
      </w:r>
    </w:p>
    <w:p w:rsidR="00000000" w:rsidRPr="00F32DD7" w:rsidP="00785094">
      <w:pPr>
        <w:pStyle w:val="BodyText"/>
      </w:pPr>
      <w:r w:rsidRPr="00F32DD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07B4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32DD7" w:rsidP="00F32DD7"/>
    <w:sectPr w:rsidSect="00F32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D7" w:rsidRPr="00785094" w:rsidP="00785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94" w:rsidP="00F32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094" w:rsidP="00F32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5094" w:rsidP="00F32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DD7" w:rsidRPr="00785094" w:rsidP="00785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94" w:rsidRPr="002D2AF8" w:rsidP="00F32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PMBPREP304E Set a die for injection moulding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85094" w:rsidP="00F32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F27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2E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EA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DD7"/>
  </w:style>
  <w:style w:type="character" w:customStyle="1" w:styleId="Heading1Char">
    <w:name w:val="Heading 1 Char"/>
    <w:basedOn w:val="DefaultParagraphFont"/>
    <w:link w:val="Heading1"/>
    <w:rsid w:val="00F32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D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2D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DD7"/>
    <w:rPr>
      <w:b/>
      <w:spacing w:val="0"/>
    </w:rPr>
  </w:style>
  <w:style w:type="paragraph" w:customStyle="1" w:styleId="SuperTitle">
    <w:name w:val="SuperTitle"/>
    <w:basedOn w:val="Title"/>
    <w:rsid w:val="00F32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DD7"/>
    <w:rPr>
      <w:i/>
    </w:rPr>
  </w:style>
  <w:style w:type="paragraph" w:styleId="Caption">
    <w:name w:val="caption"/>
    <w:basedOn w:val="BodyText"/>
    <w:next w:val="Normal"/>
    <w:qFormat/>
    <w:rsid w:val="00F32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DD7"/>
  </w:style>
  <w:style w:type="paragraph" w:styleId="TableofFigures">
    <w:name w:val="table of figures"/>
    <w:basedOn w:val="Normal"/>
    <w:next w:val="Normal"/>
    <w:semiHidden/>
    <w:rsid w:val="00F32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DD7"/>
    <w:rPr>
      <w:rFonts w:ascii="Wingdings" w:hAnsi="Wingdings"/>
    </w:rPr>
  </w:style>
  <w:style w:type="paragraph" w:customStyle="1" w:styleId="TableHeading">
    <w:name w:val="Table Heading"/>
    <w:basedOn w:val="HeadingBase"/>
    <w:rsid w:val="00F32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DD7"/>
    <w:rPr>
      <w:color w:val="0033CC"/>
      <w:u w:val="none"/>
    </w:rPr>
  </w:style>
  <w:style w:type="paragraph" w:customStyle="1" w:styleId="BodyTextRight">
    <w:name w:val="Body Text Right"/>
    <w:basedOn w:val="BodyText"/>
    <w:rsid w:val="00F32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DD7"/>
    <w:rPr>
      <w:sz w:val="32"/>
    </w:rPr>
  </w:style>
  <w:style w:type="paragraph" w:customStyle="1" w:styleId="HeadingProcedure">
    <w:name w:val="Heading Procedure"/>
    <w:basedOn w:val="HeadingBase"/>
    <w:next w:val="Normal"/>
    <w:rsid w:val="00F32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DD7"/>
    <w:pPr>
      <w:spacing w:before="60" w:after="60"/>
    </w:pPr>
  </w:style>
  <w:style w:type="paragraph" w:styleId="ListContinue">
    <w:name w:val="List Continue"/>
    <w:basedOn w:val="List"/>
    <w:rsid w:val="00F32DD7"/>
    <w:pPr>
      <w:ind w:firstLine="0"/>
    </w:pPr>
  </w:style>
  <w:style w:type="paragraph" w:customStyle="1" w:styleId="ListNote">
    <w:name w:val="List Note"/>
    <w:basedOn w:val="List"/>
    <w:rsid w:val="00F32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DD7"/>
    <w:rPr>
      <w:rFonts w:ascii="Courier New" w:hAnsi="Courier New"/>
    </w:rPr>
  </w:style>
  <w:style w:type="paragraph" w:customStyle="1" w:styleId="NoteBullet">
    <w:name w:val="Note Bullet"/>
    <w:basedOn w:val="Note"/>
    <w:rsid w:val="00F32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DD7"/>
    <w:rPr>
      <w:b/>
      <w:smallCaps/>
    </w:rPr>
  </w:style>
  <w:style w:type="paragraph" w:customStyle="1" w:styleId="TableListNumber">
    <w:name w:val="Table List Number"/>
    <w:basedOn w:val="ListNumber"/>
    <w:rsid w:val="00F32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DD7"/>
    <w:pPr>
      <w:numPr>
        <w:numId w:val="9"/>
      </w:numPr>
    </w:pPr>
  </w:style>
  <w:style w:type="paragraph" w:customStyle="1" w:styleId="ListAlpha2">
    <w:name w:val="List Alpha 2"/>
    <w:basedOn w:val="List2"/>
    <w:rsid w:val="00F32DD7"/>
    <w:pPr>
      <w:numPr>
        <w:numId w:val="8"/>
      </w:numPr>
    </w:pPr>
  </w:style>
  <w:style w:type="paragraph" w:styleId="List2">
    <w:name w:val="List 2"/>
    <w:basedOn w:val="BodyText"/>
    <w:rsid w:val="00F32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DD7"/>
    <w:pPr>
      <w:numPr>
        <w:numId w:val="4"/>
      </w:numPr>
    </w:pPr>
  </w:style>
  <w:style w:type="paragraph" w:styleId="ListContinue2">
    <w:name w:val="List Continue 2"/>
    <w:basedOn w:val="List2"/>
    <w:rsid w:val="00F32DD7"/>
    <w:pPr>
      <w:ind w:firstLine="0"/>
    </w:pPr>
  </w:style>
  <w:style w:type="paragraph" w:styleId="ListContinue3">
    <w:name w:val="List Continue 3"/>
    <w:basedOn w:val="List3"/>
    <w:rsid w:val="00F32DD7"/>
    <w:pPr>
      <w:ind w:left="1021" w:firstLine="0"/>
    </w:pPr>
  </w:style>
  <w:style w:type="paragraph" w:styleId="ListContinue4">
    <w:name w:val="List Continue 4"/>
    <w:basedOn w:val="List4"/>
    <w:rsid w:val="00F32DD7"/>
    <w:pPr>
      <w:ind w:firstLine="0"/>
    </w:pPr>
  </w:style>
  <w:style w:type="paragraph" w:styleId="ListContinue5">
    <w:name w:val="List Continue 5"/>
    <w:basedOn w:val="List5"/>
    <w:rsid w:val="00F32DD7"/>
    <w:pPr>
      <w:ind w:firstLine="0"/>
    </w:pPr>
  </w:style>
  <w:style w:type="paragraph" w:styleId="ListNumber3">
    <w:name w:val="List Number 3"/>
    <w:basedOn w:val="List3"/>
    <w:rsid w:val="00F32DD7"/>
    <w:pPr>
      <w:numPr>
        <w:numId w:val="5"/>
      </w:numPr>
    </w:pPr>
  </w:style>
  <w:style w:type="paragraph" w:styleId="ListNumber4">
    <w:name w:val="List Number 4"/>
    <w:basedOn w:val="List4"/>
    <w:rsid w:val="00F32DD7"/>
    <w:pPr>
      <w:numPr>
        <w:numId w:val="6"/>
      </w:numPr>
    </w:pPr>
  </w:style>
  <w:style w:type="paragraph" w:styleId="ListNumber5">
    <w:name w:val="List Number 5"/>
    <w:basedOn w:val="List5"/>
    <w:rsid w:val="00F32DD7"/>
    <w:pPr>
      <w:numPr>
        <w:numId w:val="7"/>
      </w:numPr>
    </w:pPr>
  </w:style>
  <w:style w:type="paragraph" w:styleId="BlockText">
    <w:name w:val="Block Text"/>
    <w:basedOn w:val="Normal"/>
    <w:rsid w:val="00F32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DD7"/>
    <w:rPr>
      <w:sz w:val="16"/>
      <w:vertAlign w:val="superscript"/>
    </w:rPr>
  </w:style>
  <w:style w:type="character" w:customStyle="1" w:styleId="Symbols">
    <w:name w:val="Symbols"/>
    <w:basedOn w:val="DefaultParagraphFont"/>
    <w:rsid w:val="00F32DD7"/>
    <w:rPr>
      <w:rFonts w:ascii="Symbol" w:hAnsi="Symbol"/>
    </w:rPr>
  </w:style>
  <w:style w:type="character" w:customStyle="1" w:styleId="MenuOptions">
    <w:name w:val="Menu Options"/>
    <w:basedOn w:val="DefaultParagraphFont"/>
    <w:rsid w:val="00F32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DD7"/>
    <w:rPr>
      <w:b/>
    </w:rPr>
  </w:style>
  <w:style w:type="character" w:customStyle="1" w:styleId="Underlined">
    <w:name w:val="Underlined"/>
    <w:basedOn w:val="DefaultParagraphFont"/>
    <w:rsid w:val="00F32DD7"/>
    <w:rPr>
      <w:u w:val="single"/>
    </w:rPr>
  </w:style>
  <w:style w:type="paragraph" w:customStyle="1" w:styleId="TableBodyTextRight">
    <w:name w:val="Table Body Text Right"/>
    <w:basedOn w:val="TableBodyText"/>
    <w:rsid w:val="00F32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DD7"/>
    <w:rPr>
      <w:sz w:val="18"/>
    </w:rPr>
  </w:style>
  <w:style w:type="paragraph" w:customStyle="1" w:styleId="BodySmallRight">
    <w:name w:val="Body Small Right"/>
    <w:basedOn w:val="BodyTextRight"/>
    <w:rsid w:val="00F32DD7"/>
    <w:rPr>
      <w:sz w:val="18"/>
      <w:szCs w:val="18"/>
    </w:rPr>
  </w:style>
  <w:style w:type="paragraph" w:customStyle="1" w:styleId="MarginEdition">
    <w:name w:val="Margin Edition"/>
    <w:basedOn w:val="MarginNote"/>
    <w:rsid w:val="00F32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DD7"/>
    <w:rPr>
      <w:sz w:val="2"/>
      <w:szCs w:val="2"/>
    </w:rPr>
  </w:style>
  <w:style w:type="character" w:customStyle="1" w:styleId="Small">
    <w:name w:val="Small"/>
    <w:basedOn w:val="DefaultParagraphFont"/>
    <w:rsid w:val="00F32DD7"/>
    <w:rPr>
      <w:sz w:val="16"/>
    </w:rPr>
  </w:style>
  <w:style w:type="paragraph" w:customStyle="1" w:styleId="WideTable">
    <w:name w:val="Wide Table"/>
    <w:basedOn w:val="Normal"/>
    <w:rsid w:val="00F32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DD7"/>
  </w:style>
  <w:style w:type="paragraph" w:styleId="Quote">
    <w:name w:val="Quote"/>
    <w:basedOn w:val="Heading1"/>
    <w:link w:val="QuoteChar"/>
    <w:qFormat/>
    <w:rsid w:val="00F32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DD7"/>
    <w:pPr>
      <w:pageBreakBefore/>
    </w:pPr>
  </w:style>
  <w:style w:type="paragraph" w:customStyle="1" w:styleId="Border">
    <w:name w:val="Border"/>
    <w:basedOn w:val="Normal"/>
    <w:qFormat/>
    <w:rsid w:val="00F32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DD7"/>
    <w:rPr>
      <w:u w:val="single"/>
    </w:rPr>
  </w:style>
  <w:style w:type="character" w:customStyle="1" w:styleId="BoldandItalics">
    <w:name w:val="Bold and Italics"/>
    <w:qFormat/>
    <w:rsid w:val="00F32DD7"/>
    <w:rPr>
      <w:b/>
      <w:i/>
      <w:u w:val="none"/>
    </w:rPr>
  </w:style>
  <w:style w:type="paragraph" w:styleId="BalloonText">
    <w:name w:val="Balloon Text"/>
    <w:basedOn w:val="Normal"/>
    <w:link w:val="BalloonTextChar"/>
    <w:rsid w:val="00F32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DD7"/>
    <w:pPr>
      <w:spacing w:before="0" w:after="0"/>
    </w:pPr>
  </w:style>
  <w:style w:type="paragraph" w:customStyle="1" w:styleId="BodyTextBold">
    <w:name w:val="Body Text Bold"/>
    <w:basedOn w:val="BodyText"/>
    <w:qFormat/>
    <w:rsid w:val="00F32DD7"/>
    <w:rPr>
      <w:b/>
    </w:rPr>
  </w:style>
  <w:style w:type="character" w:styleId="Hyperlink">
    <w:name w:val="Hyperlink"/>
    <w:basedOn w:val="DefaultParagraphFont"/>
    <w:uiPriority w:val="99"/>
    <w:unhideWhenUsed/>
    <w:rsid w:val="00785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1767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PMBPREP304E Set a die for injection moulding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