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138" w:rsidP="00492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PMBPREP205 Assemble materials and equipment for production</w:t>
      </w:r>
      <w:r>
        <w:fldChar w:fldCharType="end"/>
      </w:r>
    </w:p>
    <w:p w:rsidR="00492138" w:rsidP="00492138">
      <w:pPr>
        <w:pStyle w:val="Version"/>
        <w:sectPr w:rsidSect="00C25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5A9" w:rsidP="00C255A9">
      <w:pPr>
        <w:pStyle w:val="SuperHeading"/>
      </w:pPr>
      <w:r w:rsidRPr="00C255A9">
        <w:t>PMBPREP205 Assemble materials and equipment for production</w:t>
      </w:r>
    </w:p>
    <w:p w:rsidR="00000000" w:rsidRPr="00C255A9" w:rsidP="00C255A9">
      <w:pPr>
        <w:pStyle w:val="Heading1"/>
      </w:pPr>
      <w:bookmarkStart w:id="1" w:name="O_924407"/>
      <w:bookmarkEnd w:id="1"/>
      <w:r w:rsidRPr="00C255A9">
        <w:t>Modification History</w:t>
      </w:r>
    </w:p>
    <w:p w:rsidR="00000000" w:rsidRPr="00C255A9" w:rsidP="00492138">
      <w:pPr>
        <w:pStyle w:val="BodyText"/>
      </w:pPr>
      <w:r w:rsidRPr="00C255A9">
        <w:t>Release 1. Supersedes and is equivalent to PMBPREP205C Assemble materials and equipment for production</w:t>
      </w:r>
    </w:p>
    <w:p w:rsidR="00000000" w:rsidRPr="00C255A9" w:rsidP="00C255A9">
      <w:pPr>
        <w:pStyle w:val="Heading1"/>
      </w:pPr>
      <w:bookmarkStart w:id="2" w:name="O_924415"/>
      <w:bookmarkEnd w:id="2"/>
      <w:r w:rsidRPr="00C255A9">
        <w:t>Application</w:t>
      </w:r>
    </w:p>
    <w:p w:rsidR="00000000" w:rsidRPr="00C255A9" w:rsidP="00492138">
      <w:pPr>
        <w:pStyle w:val="BodyText"/>
      </w:pPr>
      <w:r w:rsidRPr="00C255A9">
        <w:t>This unit of competency covers the skills and knowledge required to select and assemble</w:t>
      </w:r>
      <w:r w:rsidRPr="00C255A9">
        <w:t xml:space="preserve"> materials and equipment in preparation for production.</w:t>
      </w:r>
    </w:p>
    <w:p w:rsidR="00000000" w:rsidRPr="00C255A9" w:rsidP="00492138">
      <w:pPr>
        <w:pStyle w:val="BodyText"/>
      </w:pPr>
      <w:r w:rsidRPr="00C255A9">
        <w:t>This unit of competency applies to operators who are required to interpret product specifications, select materials and equipment, organise and confirm delivery of material/equipment, and sequence an</w:t>
      </w:r>
      <w:r w:rsidRPr="00C255A9">
        <w:t>d place the materials/equipment correctly for production.</w:t>
      </w:r>
    </w:p>
    <w:p w:rsidR="00000000" w:rsidRPr="00C255A9" w:rsidP="00492138">
      <w:pPr>
        <w:pStyle w:val="BodyText"/>
      </w:pPr>
      <w:r w:rsidRPr="00C255A9">
        <w:t>This unit of competency applies to an individual working alone or as part of a team or group and working in liaison with other shift team members, team leader and supervisor, as appropriate.</w:t>
      </w:r>
    </w:p>
    <w:p w:rsidR="00000000" w:rsidRPr="00C255A9" w:rsidP="00492138">
      <w:pPr>
        <w:pStyle w:val="BodyText"/>
      </w:pPr>
      <w:r w:rsidRPr="00C255A9">
        <w:t>No li</w:t>
      </w:r>
      <w:r w:rsidRPr="00C255A9">
        <w:t>censing, legislative or certification requirements apply to this unit at the time of publication.</w:t>
      </w:r>
    </w:p>
    <w:p w:rsidR="00000000" w:rsidRPr="00C255A9" w:rsidP="00C255A9">
      <w:pPr>
        <w:pStyle w:val="Heading1"/>
      </w:pPr>
      <w:bookmarkStart w:id="3" w:name="O_924414"/>
      <w:bookmarkEnd w:id="3"/>
      <w:r w:rsidRPr="00C255A9">
        <w:t>Pre-requisite Unit</w:t>
      </w:r>
    </w:p>
    <w:p w:rsidR="00000000" w:rsidRPr="00C255A9" w:rsidP="00492138">
      <w:pPr>
        <w:pStyle w:val="BodyText"/>
      </w:pPr>
      <w:r w:rsidRPr="00C255A9">
        <w:t>Nil</w:t>
      </w:r>
    </w:p>
    <w:p w:rsidR="00000000" w:rsidRPr="00C255A9" w:rsidP="00C255A9">
      <w:pPr>
        <w:pStyle w:val="Heading1"/>
      </w:pPr>
      <w:bookmarkStart w:id="4" w:name="O_924413"/>
      <w:bookmarkEnd w:id="4"/>
      <w:r w:rsidRPr="00C255A9">
        <w:t>Competency Field</w:t>
      </w:r>
    </w:p>
    <w:p w:rsidR="00000000" w:rsidRPr="00C255A9" w:rsidP="00492138">
      <w:pPr>
        <w:pStyle w:val="BodyText"/>
      </w:pPr>
      <w:r w:rsidRPr="00C255A9">
        <w:t>Preparation</w:t>
      </w:r>
    </w:p>
    <w:p w:rsidR="00000000" w:rsidRPr="00C255A9" w:rsidP="00C255A9">
      <w:pPr>
        <w:pStyle w:val="Heading1"/>
      </w:pPr>
      <w:bookmarkStart w:id="5" w:name="O_924412"/>
      <w:bookmarkEnd w:id="5"/>
      <w:r w:rsidRPr="00C255A9">
        <w:t>Unit Sector</w:t>
      </w:r>
    </w:p>
    <w:p w:rsidR="00000000" w:rsidRPr="00C255A9" w:rsidP="00492138">
      <w:pPr>
        <w:pStyle w:val="BodyText"/>
      </w:pPr>
      <w:r w:rsidRPr="00C255A9">
        <w:t>Not applicable</w:t>
      </w:r>
    </w:p>
    <w:p w:rsidR="00000000" w:rsidRPr="00C255A9" w:rsidP="00C255A9">
      <w:pPr>
        <w:pStyle w:val="Heading1"/>
      </w:pPr>
      <w:bookmarkStart w:id="6" w:name="O_924411"/>
      <w:bookmarkEnd w:id="6"/>
      <w:r w:rsidRPr="00C255A9">
        <w:t>Elements an</w:t>
      </w:r>
      <w:r w:rsidRPr="00C255A9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Performance criteria describe the performance needed to demonstrate achievement of the element.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 xml:space="preserve">Identify required </w:t>
            </w:r>
            <w:r w:rsidRPr="00C255A9">
              <w:rPr>
                <w:rStyle w:val="SpecialBold"/>
              </w:rPr>
              <w:t>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Interpret product specifications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required materials, including additives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trade names for required product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Determine quantity of materials required for product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required equipment, including handling, control and material preparation equipment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Locate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Locate required materials, equipment and machinery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Mark items off on check list as required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non-conformances and report as required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and prepare appropriate holding area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Assemble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Use good manual handling practices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Follow work health and safety (WHS) and other relevant procedures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Collect and organise materials in a manner that ensures storage compatibility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Visually check materials according to procedures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Collect holding sample according to procedures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Record details of specification and sample as required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Organise internal workplace delivery of materials/ equipment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Organise placement of material to required locations using enterprise procedures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Notify and confirm delivery in accordance with enterprise requirements/procedures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Follow workplace procedures as required by enterprise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 xml:space="preserve">Store materials for production as </w:t>
            </w:r>
            <w:r w:rsidRPr="00C255A9">
              <w:rPr>
                <w:rStyle w:val="SpecialBold"/>
              </w:rPr>
              <w:t>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storage requirements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 xml:space="preserve">Check holding area conditions meet material </w:t>
            </w:r>
            <w:r w:rsidRPr="00C255A9">
              <w:t>requirements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Store materials as required for production and to meet health and safety needs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Complete required workplace documentation/records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Recognise known problems that occur during the operation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Identify and take action on causes of routine problems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Log problems as required</w:t>
            </w:r>
          </w:p>
        </w:tc>
      </w:tr>
      <w:tr w:rsidTr="00C2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Identify non-routine process and quality problems and take appropriate action</w:t>
            </w:r>
          </w:p>
        </w:tc>
      </w:tr>
    </w:tbl>
    <w:p w:rsidR="00000000" w:rsidRPr="00C255A9" w:rsidP="00C255A9">
      <w:pPr>
        <w:pStyle w:val="BodyText"/>
      </w:pPr>
    </w:p>
    <w:p w:rsidR="00000000" w:rsidRPr="00C255A9" w:rsidP="00C255A9">
      <w:pPr>
        <w:pStyle w:val="AllowPageBreak"/>
      </w:pPr>
    </w:p>
    <w:p w:rsidR="00000000" w:rsidRPr="00C255A9" w:rsidP="00C255A9">
      <w:pPr>
        <w:pStyle w:val="Heading1"/>
      </w:pPr>
      <w:bookmarkStart w:id="7" w:name="O_924410"/>
      <w:bookmarkEnd w:id="7"/>
      <w:r w:rsidRPr="00C255A9">
        <w:t>Foundation Skills</w:t>
      </w:r>
    </w:p>
    <w:p w:rsidR="00000000" w:rsidRPr="00C255A9" w:rsidP="00492138">
      <w:pPr>
        <w:pStyle w:val="BodyText"/>
      </w:pPr>
      <w:r w:rsidRPr="00C255A9">
        <w:t>This section describes those required skills (language, literacy and numeracy) that are essential to performance.</w:t>
      </w:r>
    </w:p>
    <w:p w:rsidR="00000000" w:rsidRPr="00C255A9" w:rsidP="00492138">
      <w:pPr>
        <w:pStyle w:val="BodyText"/>
      </w:pPr>
      <w:r w:rsidRPr="00C255A9">
        <w:t>Foundation skills es</w:t>
      </w:r>
      <w:r w:rsidRPr="00C255A9">
        <w:t>sential to performance are explicit in the performance criteria of this unit of competency.</w:t>
      </w:r>
    </w:p>
    <w:p w:rsidR="00000000" w:rsidRPr="00C255A9" w:rsidP="00C255A9">
      <w:pPr>
        <w:pStyle w:val="Heading1"/>
      </w:pPr>
      <w:bookmarkStart w:id="8" w:name="O_924409"/>
      <w:bookmarkEnd w:id="8"/>
      <w:r w:rsidRPr="00C255A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92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t>This field allows for different work environments and conditions that may affect performance. Essential operating conditions th</w:t>
            </w:r>
            <w:r w:rsidRPr="00C255A9">
              <w:t>at may be present (depending on the work situation, needs of the candidate, accessibility of the item, and local industry and regional contexts) are included.</w:t>
            </w:r>
          </w:p>
        </w:tc>
      </w:tr>
      <w:tr w:rsidTr="00492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rPr>
                <w:rStyle w:val="SpecialBold"/>
              </w:rPr>
              <w:t>Regulatory framework</w:t>
            </w:r>
            <w:r w:rsidRPr="00C255A9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The latest version of all legislation, regulations, industry</w:t>
            </w:r>
            <w:r w:rsidRPr="00C255A9">
              <w:t xml:space="preserve"> codes of practice and Australian/international standards, or the version specified by the local regulatory authority, must be used.</w:t>
            </w:r>
          </w:p>
          <w:p w:rsidR="00000000" w:rsidRPr="00C255A9" w:rsidP="00C255A9">
            <w:pPr>
              <w:pStyle w:val="BodyText"/>
            </w:pPr>
          </w:p>
          <w:p w:rsidR="00000000" w:rsidRPr="00C255A9" w:rsidP="00C255A9">
            <w:pPr>
              <w:pStyle w:val="BodyText"/>
            </w:pPr>
            <w:r w:rsidRPr="00C255A9">
              <w:t>Applicable legislation, regulations, standards and codes of practice include:</w:t>
            </w:r>
          </w:p>
          <w:p w:rsidR="00000000" w:rsidRPr="00C255A9" w:rsidP="00C255A9">
            <w:pPr>
              <w:pStyle w:val="ListBullet"/>
            </w:pPr>
            <w:r w:rsidRPr="00C255A9">
              <w:t>health, safety and environmental (HSE) legi</w:t>
            </w:r>
            <w:r w:rsidRPr="00C255A9">
              <w:t xml:space="preserve">slation, regulations and codes of practice relevant to the workplace, manual handling and hazardous materials 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Australian/international standards relevant to the materials being used and products being made </w:t>
            </w:r>
          </w:p>
          <w:p w:rsidR="00000000" w:rsidRPr="00C255A9" w:rsidP="00C255A9">
            <w:pPr>
              <w:pStyle w:val="ListBullet"/>
            </w:pPr>
            <w:r w:rsidRPr="00C255A9">
              <w:t>any relevant licence and certification requireme</w:t>
            </w:r>
            <w:r w:rsidRPr="00C255A9">
              <w:t>nts.</w:t>
            </w:r>
          </w:p>
          <w:p w:rsidR="00000000" w:rsidRPr="00C255A9" w:rsidP="00C255A9">
            <w:pPr>
              <w:pStyle w:val="BodyText"/>
            </w:pPr>
          </w:p>
          <w:p w:rsidR="00000000" w:rsidRPr="00C255A9" w:rsidP="00C255A9">
            <w:pPr>
              <w:pStyle w:val="BodyText"/>
            </w:pPr>
            <w:r w:rsidRPr="00C255A9">
              <w:t>All operations to which this unit applies are subject to stringent HSE requirements, which may be imposed through state/territory or federal legislation, and these must not be compromised at any time. Where there is an apparent conflict between perfo</w:t>
            </w:r>
            <w:r w:rsidRPr="00C255A9">
              <w:t>rmance criteria and such requirements the legislative requirements take precedence.</w:t>
            </w:r>
          </w:p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492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All operations must be performed in accordance with relevant procedures.</w:t>
            </w:r>
          </w:p>
          <w:p w:rsidR="00000000" w:rsidRPr="00C255A9" w:rsidP="00C255A9">
            <w:pPr>
              <w:pStyle w:val="BodyText"/>
            </w:pPr>
          </w:p>
          <w:p w:rsidR="00000000" w:rsidRPr="00C255A9" w:rsidP="00C255A9">
            <w:pPr>
              <w:pStyle w:val="BodyText"/>
            </w:pPr>
            <w:r w:rsidRPr="00C255A9">
              <w:t xml:space="preserve">Procedures are </w:t>
            </w:r>
            <w:r w:rsidRPr="00C255A9">
              <w:t>written, verbal, visual, computer-based or in some other form, and include one or any combination of:</w:t>
            </w:r>
          </w:p>
          <w:p w:rsidR="00000000" w:rsidRPr="00C255A9" w:rsidP="00C255A9">
            <w:pPr>
              <w:pStyle w:val="ListBullet"/>
            </w:pPr>
            <w:r w:rsidRPr="00C255A9">
              <w:t>emergency procedures</w:t>
            </w:r>
          </w:p>
          <w:p w:rsidR="00000000" w:rsidRPr="00C255A9" w:rsidP="00C255A9">
            <w:pPr>
              <w:pStyle w:val="ListBullet"/>
            </w:pPr>
            <w:r w:rsidRPr="00C255A9">
              <w:t>work instructions</w:t>
            </w:r>
          </w:p>
          <w:p w:rsidR="00000000" w:rsidRPr="00C255A9" w:rsidP="00C255A9">
            <w:pPr>
              <w:pStyle w:val="ListBullet"/>
            </w:pPr>
            <w:r w:rsidRPr="00C255A9">
              <w:t>standard operating procedures (SOPs)</w:t>
            </w:r>
          </w:p>
          <w:p w:rsidR="00000000" w:rsidRPr="00C255A9" w:rsidP="00C255A9">
            <w:pPr>
              <w:pStyle w:val="ListBullet"/>
            </w:pPr>
            <w:r w:rsidRPr="00C255A9">
              <w:t>safe work method statements (SWMS)</w:t>
            </w:r>
          </w:p>
          <w:p w:rsidR="00000000" w:rsidRPr="00C255A9" w:rsidP="00C255A9">
            <w:pPr>
              <w:pStyle w:val="ListBullet"/>
            </w:pPr>
            <w:r w:rsidRPr="00C255A9">
              <w:t>formulas/recipes</w:t>
            </w:r>
          </w:p>
          <w:p w:rsidR="00000000" w:rsidRPr="00C255A9" w:rsidP="00C255A9">
            <w:pPr>
              <w:pStyle w:val="ListBullet"/>
            </w:pPr>
            <w:r w:rsidRPr="00C255A9">
              <w:t>batch sheets</w:t>
            </w:r>
          </w:p>
          <w:p w:rsidR="00000000" w:rsidRPr="00C255A9" w:rsidP="00C255A9">
            <w:pPr>
              <w:pStyle w:val="ListBullet"/>
            </w:pPr>
            <w:r w:rsidRPr="00C255A9">
              <w:t>temporary in</w:t>
            </w:r>
            <w:r w:rsidRPr="00C255A9">
              <w:t>structions</w:t>
            </w:r>
          </w:p>
          <w:p w:rsidR="00000000" w:rsidRPr="00C255A9" w:rsidP="00C255A9">
            <w:pPr>
              <w:pStyle w:val="ListBullet"/>
            </w:pPr>
            <w:r w:rsidRPr="00C255A9">
              <w:t>any similar instructions provided for the smooth running of the plant.</w:t>
            </w:r>
          </w:p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492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Tools and equipment include one or more of:</w:t>
            </w:r>
          </w:p>
          <w:p w:rsidR="00000000" w:rsidRPr="00C255A9" w:rsidP="00C255A9">
            <w:pPr>
              <w:pStyle w:val="ListBullet"/>
            </w:pPr>
            <w:r w:rsidRPr="00C255A9">
              <w:t>hand carts and trolleys</w:t>
            </w:r>
          </w:p>
          <w:p w:rsidR="00000000" w:rsidRPr="00C255A9" w:rsidP="00C255A9">
            <w:pPr>
              <w:pStyle w:val="ListBullet"/>
            </w:pPr>
            <w:r w:rsidRPr="00C255A9">
              <w:t>knives and other bag opening equipment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hoists/lifting equipment not requiring any special permits or licences </w:t>
            </w:r>
          </w:p>
          <w:p w:rsidR="00000000" w:rsidRPr="00C255A9" w:rsidP="00C255A9">
            <w:pPr>
              <w:pStyle w:val="ListBullet"/>
            </w:pPr>
            <w:r w:rsidRPr="00C255A9">
              <w:t>bung spanners and similar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basic hand tools required for opening of material packaging </w:t>
            </w:r>
          </w:p>
          <w:p w:rsidR="00000000" w:rsidRPr="00C255A9" w:rsidP="00C255A9">
            <w:pPr>
              <w:pStyle w:val="ListBullet"/>
            </w:pPr>
            <w:r w:rsidRPr="00C255A9">
              <w:t>relevant personal protective equipment (PPE).</w:t>
            </w:r>
          </w:p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492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Routine problems must be resolved by app</w:t>
            </w:r>
            <w:r w:rsidRPr="00C255A9">
              <w:t xml:space="preserve">lying known solutions. </w:t>
            </w:r>
          </w:p>
          <w:p w:rsidR="00000000" w:rsidRPr="00C255A9" w:rsidP="00C255A9">
            <w:pPr>
              <w:pStyle w:val="BodyText"/>
            </w:pPr>
          </w:p>
          <w:p w:rsidR="00000000" w:rsidRPr="00C255A9" w:rsidP="00C255A9">
            <w:pPr>
              <w:pStyle w:val="BodyText"/>
            </w:pPr>
            <w:r w:rsidRPr="00C255A9">
              <w:t>Routine problems are predictable and include one or more of:</w:t>
            </w:r>
          </w:p>
          <w:p w:rsidR="00000000" w:rsidRPr="00C255A9" w:rsidP="00C255A9">
            <w:pPr>
              <w:pStyle w:val="ListBullet"/>
            </w:pPr>
            <w:r w:rsidRPr="00C255A9">
              <w:t>equipment malfunction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non-supply or incorrect supply of materials </w:t>
            </w:r>
          </w:p>
          <w:p w:rsidR="00000000" w:rsidRPr="00C255A9" w:rsidP="00C255A9">
            <w:pPr>
              <w:pStyle w:val="ListBullet"/>
            </w:pPr>
            <w:r w:rsidRPr="00C255A9">
              <w:t>use of incorrect materials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variations in materials </w:t>
            </w:r>
          </w:p>
          <w:p w:rsidR="00000000" w:rsidRPr="00C255A9" w:rsidP="00C255A9">
            <w:pPr>
              <w:pStyle w:val="ListBullet"/>
            </w:pPr>
            <w:r w:rsidRPr="00C255A9">
              <w:t>contamination of materials</w:t>
            </w:r>
          </w:p>
          <w:p w:rsidR="00000000" w:rsidRPr="00C255A9" w:rsidP="00C255A9">
            <w:pPr>
              <w:pStyle w:val="ListBullet"/>
            </w:pPr>
            <w:r w:rsidRPr="00C255A9">
              <w:t>incorrect quantity of materials/additives.</w:t>
            </w:r>
          </w:p>
          <w:p w:rsidR="00000000" w:rsidRPr="00C255A9" w:rsidP="00C255A9">
            <w:pPr>
              <w:pStyle w:val="BodyText"/>
            </w:pPr>
          </w:p>
          <w:p w:rsidR="00000000" w:rsidRPr="00C255A9" w:rsidP="00C255A9">
            <w:pPr>
              <w:pStyle w:val="BodyText"/>
            </w:pPr>
            <w:r w:rsidRPr="00C255A9">
              <w:t>Known solutions are drawn from one or more of:</w:t>
            </w:r>
          </w:p>
          <w:p w:rsidR="00000000" w:rsidRPr="00C255A9" w:rsidP="00C255A9">
            <w:pPr>
              <w:pStyle w:val="ListBullet"/>
            </w:pPr>
            <w:r w:rsidRPr="00C255A9">
              <w:t>procedures</w:t>
            </w:r>
          </w:p>
          <w:p w:rsidR="00000000" w:rsidRPr="00C255A9" w:rsidP="00C255A9">
            <w:pPr>
              <w:pStyle w:val="ListBullet"/>
            </w:pPr>
            <w:r w:rsidRPr="00C255A9">
              <w:t>training</w:t>
            </w:r>
          </w:p>
          <w:p w:rsidR="00000000" w:rsidRPr="00C255A9" w:rsidP="00C255A9">
            <w:pPr>
              <w:pStyle w:val="ListBullet"/>
            </w:pPr>
            <w:r w:rsidRPr="00C255A9">
              <w:t>remembered experience.</w:t>
            </w:r>
          </w:p>
          <w:p w:rsidR="00000000" w:rsidRPr="00C255A9" w:rsidP="00C255A9">
            <w:pPr>
              <w:pStyle w:val="BodyText"/>
            </w:pPr>
          </w:p>
          <w:p w:rsidR="00000000" w:rsidRPr="00C255A9" w:rsidP="00C255A9">
            <w:pPr>
              <w:pStyle w:val="BodyText"/>
            </w:pPr>
            <w:r w:rsidRPr="00C255A9">
              <w:t>Non-routine problems must be reported according to according to relevant procedures.</w:t>
            </w:r>
          </w:p>
          <w:p w:rsidR="00000000" w:rsidP="00C255A9">
            <w:pPr>
              <w:pStyle w:val="BodyText"/>
              <w:rPr>
                <w:lang w:val="en-NZ"/>
              </w:rPr>
            </w:pPr>
          </w:p>
        </w:tc>
      </w:tr>
      <w:tr w:rsidTr="00492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A9">
            <w:pPr>
              <w:pStyle w:val="BodyText"/>
              <w:rPr>
                <w:lang w:val="en-NZ"/>
              </w:rPr>
            </w:pPr>
            <w:r w:rsidRPr="00C255A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A9" w:rsidP="00C255A9">
            <w:pPr>
              <w:pStyle w:val="BodyText"/>
            </w:pPr>
            <w:r w:rsidRPr="00C255A9">
              <w:t>Hazards must be identifie</w:t>
            </w:r>
            <w:r w:rsidRPr="00C255A9">
              <w:t>d and controlled. Identifying hazards requires consideration of:</w:t>
            </w:r>
          </w:p>
          <w:p w:rsidR="00000000" w:rsidRPr="00C255A9" w:rsidP="00C255A9">
            <w:pPr>
              <w:pStyle w:val="ListBullet"/>
            </w:pPr>
            <w:r w:rsidRPr="00C255A9">
              <w:t>heat, smoke, dust, vapours or other atmospheric hazards</w:t>
            </w:r>
          </w:p>
          <w:p w:rsidR="00000000" w:rsidRPr="00C255A9" w:rsidP="00C255A9">
            <w:pPr>
              <w:pStyle w:val="ListBullet"/>
            </w:pPr>
            <w:r w:rsidRPr="00C255A9">
              <w:t>hazardous products and materials</w:t>
            </w:r>
          </w:p>
          <w:p w:rsidR="00000000" w:rsidRPr="00C255A9" w:rsidP="00C255A9">
            <w:pPr>
              <w:pStyle w:val="ListBullet"/>
            </w:pPr>
            <w:r w:rsidRPr="00C255A9">
              <w:t>sharp edges, protrusions or obstructions</w:t>
            </w:r>
          </w:p>
          <w:p w:rsidR="00000000" w:rsidRPr="00C255A9" w:rsidP="00C255A9">
            <w:pPr>
              <w:pStyle w:val="ListBullet"/>
            </w:pPr>
            <w:r w:rsidRPr="00C255A9">
              <w:t>slippery surfaces, spills or leaks</w:t>
            </w:r>
          </w:p>
          <w:p w:rsidR="00000000" w:rsidRPr="00C255A9" w:rsidP="00C255A9">
            <w:pPr>
              <w:pStyle w:val="ListBullet"/>
            </w:pPr>
            <w:r w:rsidRPr="00C255A9">
              <w:t>electricity</w:t>
            </w:r>
          </w:p>
          <w:p w:rsidR="00000000" w:rsidRPr="00C255A9" w:rsidP="00C255A9">
            <w:pPr>
              <w:pStyle w:val="ListBullet"/>
            </w:pPr>
            <w:r w:rsidRPr="00C255A9">
              <w:t>gas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gases and liquids under pressure </w:t>
            </w:r>
          </w:p>
          <w:p w:rsidR="00000000" w:rsidRPr="00C255A9" w:rsidP="00C255A9">
            <w:pPr>
              <w:pStyle w:val="ListBullet"/>
            </w:pPr>
            <w:r w:rsidRPr="00C255A9">
              <w:t>structural hazards</w:t>
            </w:r>
          </w:p>
          <w:p w:rsidR="00000000" w:rsidRPr="00C255A9" w:rsidP="00C255A9">
            <w:pPr>
              <w:pStyle w:val="ListBullet"/>
            </w:pPr>
            <w:r w:rsidRPr="00C255A9">
              <w:t>equipment failures</w:t>
            </w:r>
          </w:p>
          <w:p w:rsidR="00000000" w:rsidRPr="00C255A9" w:rsidP="00C255A9">
            <w:pPr>
              <w:pStyle w:val="ListBullet"/>
            </w:pPr>
            <w:r w:rsidRPr="00C255A9">
              <w:t>rotational equipment or vibration</w:t>
            </w:r>
          </w:p>
          <w:p w:rsidR="00000000" w:rsidRPr="00C255A9" w:rsidP="00C255A9">
            <w:pPr>
              <w:pStyle w:val="ListBullet"/>
            </w:pPr>
            <w:r w:rsidRPr="00C255A9">
              <w:t>machinery, equipment and product mass</w:t>
            </w:r>
          </w:p>
          <w:p w:rsidR="00000000" w:rsidRPr="00C255A9" w:rsidP="00C255A9">
            <w:pPr>
              <w:pStyle w:val="ListBullet"/>
            </w:pPr>
            <w:r w:rsidRPr="00C255A9">
              <w:t xml:space="preserve">limited head spaces or overhangs </w:t>
            </w:r>
          </w:p>
          <w:p w:rsidR="00000000" w:rsidRPr="00C255A9" w:rsidP="00C255A9">
            <w:pPr>
              <w:pStyle w:val="ListBullet"/>
            </w:pPr>
            <w:r w:rsidRPr="00C255A9">
              <w:t>working at heights</w:t>
            </w:r>
          </w:p>
          <w:p w:rsidR="00000000" w:rsidRPr="00C255A9" w:rsidP="00C255A9">
            <w:pPr>
              <w:pStyle w:val="ListBullet"/>
            </w:pPr>
            <w:r w:rsidRPr="00C255A9">
              <w:t>working in restricted or confined spaces</w:t>
            </w:r>
          </w:p>
          <w:p w:rsidR="00000000" w:rsidRPr="00C255A9" w:rsidP="00C255A9">
            <w:pPr>
              <w:pStyle w:val="ListBullet"/>
            </w:pPr>
            <w:r w:rsidRPr="00C255A9">
              <w:t>other hazards that</w:t>
            </w:r>
            <w:r w:rsidRPr="00C255A9">
              <w:t xml:space="preserve"> might arise.</w:t>
            </w:r>
          </w:p>
        </w:tc>
      </w:tr>
    </w:tbl>
    <w:p w:rsidR="00000000" w:rsidRPr="00C255A9" w:rsidP="00C255A9">
      <w:pPr>
        <w:pStyle w:val="BodyText"/>
      </w:pPr>
    </w:p>
    <w:p w:rsidR="00000000" w:rsidRPr="00C255A9" w:rsidP="00C255A9">
      <w:pPr>
        <w:pStyle w:val="AllowPageBreak"/>
      </w:pPr>
    </w:p>
    <w:p w:rsidR="00000000" w:rsidRPr="00C255A9" w:rsidP="00C255A9">
      <w:pPr>
        <w:pStyle w:val="Heading1"/>
      </w:pPr>
      <w:bookmarkStart w:id="9" w:name="O_924408"/>
      <w:bookmarkEnd w:id="9"/>
      <w:r w:rsidRPr="00C255A9">
        <w:t>Unit Mapping Information</w:t>
      </w:r>
    </w:p>
    <w:p w:rsidR="00000000" w:rsidRPr="00C255A9" w:rsidP="00492138">
      <w:pPr>
        <w:pStyle w:val="BodyText"/>
      </w:pPr>
      <w:r w:rsidRPr="00C255A9">
        <w:t>Release 1. Supersedes and is equivalent to PMBPREP205C Assemble materials and equipment for production</w:t>
      </w:r>
    </w:p>
    <w:p w:rsidR="00000000" w:rsidRPr="00C255A9" w:rsidP="00C255A9">
      <w:pPr>
        <w:pStyle w:val="Heading1"/>
      </w:pPr>
      <w:bookmarkStart w:id="10" w:name="O_924401"/>
      <w:bookmarkEnd w:id="10"/>
      <w:r w:rsidRPr="00C255A9">
        <w:t>Links</w:t>
      </w:r>
    </w:p>
    <w:p w:rsidR="00000000" w:rsidRPr="00C255A9" w:rsidP="00492138">
      <w:pPr>
        <w:pStyle w:val="BodyText"/>
      </w:pPr>
      <w:r w:rsidRPr="00C255A9">
        <w:t>Companion Volume implementation guides are</w:t>
      </w:r>
      <w:r w:rsidRPr="00C255A9">
        <w:t xml:space="preserve">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73A3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255A9" w:rsidP="00C255A9"/>
    <w:sectPr w:rsidSect="00C25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A9" w:rsidRPr="00492138" w:rsidP="00492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38" w:rsidP="00C25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2138" w:rsidP="00C25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2138" w:rsidP="00C25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5A9" w:rsidRPr="00492138" w:rsidP="00492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38" w:rsidRPr="002D2AF8" w:rsidP="00C25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PMBPREP205 Assemble materials and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2138" w:rsidP="00C25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96C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27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5A9"/>
  </w:style>
  <w:style w:type="character" w:customStyle="1" w:styleId="Heading1Char">
    <w:name w:val="Heading 1 Char"/>
    <w:basedOn w:val="DefaultParagraphFont"/>
    <w:link w:val="Heading1"/>
    <w:rsid w:val="00C25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5A9"/>
    <w:rPr>
      <w:b/>
      <w:spacing w:val="0"/>
    </w:rPr>
  </w:style>
  <w:style w:type="paragraph" w:customStyle="1" w:styleId="SuperHeading">
    <w:name w:val="SuperHeading"/>
    <w:basedOn w:val="Normal"/>
    <w:rsid w:val="00C25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5A9"/>
    <w:rPr>
      <w:i/>
    </w:rPr>
  </w:style>
  <w:style w:type="paragraph" w:styleId="Caption">
    <w:name w:val="caption"/>
    <w:basedOn w:val="BodyText"/>
    <w:next w:val="Normal"/>
    <w:qFormat/>
    <w:rsid w:val="00C25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5A9"/>
  </w:style>
  <w:style w:type="paragraph" w:styleId="TableofFigures">
    <w:name w:val="table of figures"/>
    <w:basedOn w:val="Normal"/>
    <w:next w:val="Normal"/>
    <w:semiHidden/>
    <w:rsid w:val="00C25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55A9"/>
    <w:rPr>
      <w:rFonts w:ascii="Wingdings" w:hAnsi="Wingdings"/>
    </w:rPr>
  </w:style>
  <w:style w:type="paragraph" w:customStyle="1" w:styleId="TableHeading">
    <w:name w:val="Table Heading"/>
    <w:basedOn w:val="HeadingBase"/>
    <w:rsid w:val="00C25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5A9"/>
    <w:rPr>
      <w:color w:val="0033CC"/>
      <w:u w:val="none"/>
    </w:rPr>
  </w:style>
  <w:style w:type="paragraph" w:customStyle="1" w:styleId="BodyTextRight">
    <w:name w:val="Body Text Right"/>
    <w:basedOn w:val="BodyText"/>
    <w:rsid w:val="00C25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5A9"/>
    <w:rPr>
      <w:sz w:val="32"/>
    </w:rPr>
  </w:style>
  <w:style w:type="paragraph" w:customStyle="1" w:styleId="HeadingProcedure">
    <w:name w:val="Heading Procedure"/>
    <w:basedOn w:val="HeadingBase"/>
    <w:next w:val="Normal"/>
    <w:rsid w:val="00C25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5A9"/>
    <w:pPr>
      <w:spacing w:before="60" w:after="60"/>
    </w:pPr>
  </w:style>
  <w:style w:type="paragraph" w:styleId="ListContinue">
    <w:name w:val="List Continue"/>
    <w:basedOn w:val="List"/>
    <w:rsid w:val="00C255A9"/>
    <w:pPr>
      <w:ind w:firstLine="0"/>
    </w:pPr>
  </w:style>
  <w:style w:type="paragraph" w:customStyle="1" w:styleId="ListNote">
    <w:name w:val="List Note"/>
    <w:basedOn w:val="List"/>
    <w:rsid w:val="00C25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5A9"/>
    <w:rPr>
      <w:rFonts w:ascii="Courier New" w:hAnsi="Courier New"/>
    </w:rPr>
  </w:style>
  <w:style w:type="paragraph" w:customStyle="1" w:styleId="NoteBullet">
    <w:name w:val="Note Bullet"/>
    <w:basedOn w:val="Note"/>
    <w:rsid w:val="00C25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5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5A9"/>
    <w:rPr>
      <w:b/>
      <w:smallCaps/>
    </w:rPr>
  </w:style>
  <w:style w:type="paragraph" w:customStyle="1" w:styleId="TableListNumber">
    <w:name w:val="Table List Number"/>
    <w:basedOn w:val="ListNumber"/>
    <w:rsid w:val="00C25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5A9"/>
    <w:pPr>
      <w:numPr>
        <w:numId w:val="8"/>
      </w:numPr>
    </w:pPr>
  </w:style>
  <w:style w:type="paragraph" w:customStyle="1" w:styleId="ListAlpha2">
    <w:name w:val="List Alpha 2"/>
    <w:basedOn w:val="List2"/>
    <w:rsid w:val="00C255A9"/>
    <w:pPr>
      <w:numPr>
        <w:numId w:val="7"/>
      </w:numPr>
    </w:pPr>
  </w:style>
  <w:style w:type="paragraph" w:styleId="List2">
    <w:name w:val="List 2"/>
    <w:basedOn w:val="BodyText"/>
    <w:rsid w:val="00C25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55A9"/>
    <w:pPr>
      <w:numPr>
        <w:numId w:val="3"/>
      </w:numPr>
    </w:pPr>
  </w:style>
  <w:style w:type="paragraph" w:styleId="ListContinue2">
    <w:name w:val="List Continue 2"/>
    <w:basedOn w:val="List2"/>
    <w:rsid w:val="00C255A9"/>
    <w:pPr>
      <w:ind w:firstLine="0"/>
    </w:pPr>
  </w:style>
  <w:style w:type="paragraph" w:styleId="ListContinue3">
    <w:name w:val="List Continue 3"/>
    <w:basedOn w:val="List3"/>
    <w:rsid w:val="00C255A9"/>
    <w:pPr>
      <w:ind w:left="1021" w:firstLine="0"/>
    </w:pPr>
  </w:style>
  <w:style w:type="paragraph" w:styleId="ListContinue4">
    <w:name w:val="List Continue 4"/>
    <w:basedOn w:val="List4"/>
    <w:rsid w:val="00C255A9"/>
    <w:pPr>
      <w:ind w:firstLine="0"/>
    </w:pPr>
  </w:style>
  <w:style w:type="paragraph" w:styleId="ListContinue5">
    <w:name w:val="List Continue 5"/>
    <w:basedOn w:val="List5"/>
    <w:rsid w:val="00C255A9"/>
    <w:pPr>
      <w:ind w:firstLine="0"/>
    </w:pPr>
  </w:style>
  <w:style w:type="paragraph" w:styleId="ListNumber3">
    <w:name w:val="List Number 3"/>
    <w:basedOn w:val="List3"/>
    <w:rsid w:val="00C255A9"/>
    <w:pPr>
      <w:numPr>
        <w:numId w:val="4"/>
      </w:numPr>
    </w:pPr>
  </w:style>
  <w:style w:type="paragraph" w:styleId="ListNumber4">
    <w:name w:val="List Number 4"/>
    <w:basedOn w:val="List4"/>
    <w:rsid w:val="00C255A9"/>
    <w:pPr>
      <w:numPr>
        <w:numId w:val="5"/>
      </w:numPr>
    </w:pPr>
  </w:style>
  <w:style w:type="paragraph" w:styleId="ListNumber5">
    <w:name w:val="List Number 5"/>
    <w:basedOn w:val="List5"/>
    <w:rsid w:val="00C255A9"/>
    <w:pPr>
      <w:numPr>
        <w:numId w:val="6"/>
      </w:numPr>
    </w:pPr>
  </w:style>
  <w:style w:type="paragraph" w:styleId="BlockText">
    <w:name w:val="Block Text"/>
    <w:basedOn w:val="Normal"/>
    <w:rsid w:val="00C25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5A9"/>
    <w:rPr>
      <w:sz w:val="16"/>
      <w:vertAlign w:val="superscript"/>
    </w:rPr>
  </w:style>
  <w:style w:type="character" w:customStyle="1" w:styleId="Symbols">
    <w:name w:val="Symbols"/>
    <w:basedOn w:val="DefaultParagraphFont"/>
    <w:rsid w:val="00C255A9"/>
    <w:rPr>
      <w:rFonts w:ascii="Symbol" w:hAnsi="Symbol"/>
    </w:rPr>
  </w:style>
  <w:style w:type="character" w:customStyle="1" w:styleId="MenuOptions">
    <w:name w:val="Menu Options"/>
    <w:basedOn w:val="DefaultParagraphFont"/>
    <w:rsid w:val="00C25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5A9"/>
    <w:rPr>
      <w:b/>
    </w:rPr>
  </w:style>
  <w:style w:type="character" w:customStyle="1" w:styleId="Underlined">
    <w:name w:val="Underlined"/>
    <w:basedOn w:val="DefaultParagraphFont"/>
    <w:rsid w:val="00C255A9"/>
    <w:rPr>
      <w:u w:val="single"/>
    </w:rPr>
  </w:style>
  <w:style w:type="paragraph" w:customStyle="1" w:styleId="TableBodyTextRight">
    <w:name w:val="Table Body Text Right"/>
    <w:basedOn w:val="TableBodyText"/>
    <w:rsid w:val="00C25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5A9"/>
    <w:rPr>
      <w:sz w:val="18"/>
    </w:rPr>
  </w:style>
  <w:style w:type="paragraph" w:customStyle="1" w:styleId="BodySmallRight">
    <w:name w:val="Body Small Right"/>
    <w:basedOn w:val="BodyTextRight"/>
    <w:rsid w:val="00C255A9"/>
    <w:rPr>
      <w:sz w:val="18"/>
      <w:szCs w:val="18"/>
    </w:rPr>
  </w:style>
  <w:style w:type="paragraph" w:customStyle="1" w:styleId="MarginEdition">
    <w:name w:val="Margin Edition"/>
    <w:basedOn w:val="MarginNote"/>
    <w:rsid w:val="00C25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5A9"/>
    <w:rPr>
      <w:sz w:val="2"/>
      <w:szCs w:val="2"/>
    </w:rPr>
  </w:style>
  <w:style w:type="character" w:customStyle="1" w:styleId="Small">
    <w:name w:val="Small"/>
    <w:basedOn w:val="DefaultParagraphFont"/>
    <w:rsid w:val="00C255A9"/>
    <w:rPr>
      <w:sz w:val="16"/>
    </w:rPr>
  </w:style>
  <w:style w:type="paragraph" w:customStyle="1" w:styleId="WideTable">
    <w:name w:val="Wide Table"/>
    <w:basedOn w:val="Normal"/>
    <w:rsid w:val="00C25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5A9"/>
  </w:style>
  <w:style w:type="paragraph" w:styleId="Quote">
    <w:name w:val="Quote"/>
    <w:basedOn w:val="Heading1"/>
    <w:link w:val="QuoteChar"/>
    <w:qFormat/>
    <w:rsid w:val="00C25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5A9"/>
    <w:pPr>
      <w:pageBreakBefore/>
    </w:pPr>
  </w:style>
  <w:style w:type="paragraph" w:customStyle="1" w:styleId="Border">
    <w:name w:val="Border"/>
    <w:basedOn w:val="Normal"/>
    <w:qFormat/>
    <w:rsid w:val="00C25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5A9"/>
    <w:rPr>
      <w:u w:val="single"/>
    </w:rPr>
  </w:style>
  <w:style w:type="character" w:customStyle="1" w:styleId="BoldandItalics">
    <w:name w:val="Bold and Italics"/>
    <w:qFormat/>
    <w:rsid w:val="00C255A9"/>
    <w:rPr>
      <w:b/>
      <w:i/>
      <w:u w:val="none"/>
    </w:rPr>
  </w:style>
  <w:style w:type="paragraph" w:styleId="BalloonText">
    <w:name w:val="Balloon Text"/>
    <w:basedOn w:val="Normal"/>
    <w:link w:val="BalloonTextChar"/>
    <w:rsid w:val="00C25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5A9"/>
    <w:pPr>
      <w:spacing w:before="0" w:after="0"/>
    </w:pPr>
  </w:style>
  <w:style w:type="paragraph" w:customStyle="1" w:styleId="BodyTextBold">
    <w:name w:val="Body Text Bold"/>
    <w:basedOn w:val="BodyText"/>
    <w:qFormat/>
    <w:rsid w:val="00C255A9"/>
    <w:rPr>
      <w:b/>
    </w:rPr>
  </w:style>
  <w:style w:type="character" w:styleId="Hyperlink">
    <w:name w:val="Hyperlink"/>
    <w:basedOn w:val="DefaultParagraphFont"/>
    <w:uiPriority w:val="99"/>
    <w:unhideWhenUsed/>
    <w:rsid w:val="00492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5945</Characters>
  <Application>Microsoft Office Word</Application>
  <DocSecurity>0</DocSecurity>
  <Lines>283</Lines>
  <Paragraphs>176</Paragraphs>
  <ScaleCrop>false</ScaleCrop>
  <Company>Author-it Software Corporation Ltd.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PMBPREP205 Assemble materials and equipment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