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865" w:rsidP="00AA08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PMBPREP205E Assemble materials and equipment for production</w:t>
      </w:r>
      <w:r>
        <w:fldChar w:fldCharType="end"/>
      </w:r>
    </w:p>
    <w:p w:rsidR="00AA0865" w:rsidP="00AA0865">
      <w:pPr>
        <w:pStyle w:val="Version"/>
        <w:sectPr w:rsidSect="00EF3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3AE5" w:rsidP="00EF3AE5">
      <w:pPr>
        <w:pStyle w:val="SuperHeading"/>
      </w:pPr>
      <w:r w:rsidRPr="00EF3AE5">
        <w:t>Assessment Requirements for PMBPREP205E Assemble materials and equipment for production</w:t>
      </w:r>
    </w:p>
    <w:p w:rsidR="00000000" w:rsidRPr="00EF3AE5" w:rsidP="00EF3AE5">
      <w:pPr>
        <w:pStyle w:val="Heading1"/>
      </w:pPr>
      <w:bookmarkStart w:id="1" w:name="O_1113975"/>
      <w:bookmarkEnd w:id="1"/>
      <w:r w:rsidRPr="00EF3AE5">
        <w:t>Modification History</w:t>
      </w:r>
    </w:p>
    <w:p w:rsidR="00000000" w:rsidRPr="00EF3AE5" w:rsidP="00AA0865">
      <w:pPr>
        <w:pStyle w:val="BodyText"/>
      </w:pPr>
      <w:r w:rsidRPr="00EF3AE5">
        <w:t>Release 1. Unit code changed. Application changed. Elemen</w:t>
      </w:r>
      <w:r w:rsidRPr="00EF3AE5">
        <w:t>ts and Performance Criteria changed. Range of Conditions removed. Assessment Requirements changed. Supersedes and is equivalent to PMBPREP205 Assemble materials and equipment for production.</w:t>
      </w:r>
    </w:p>
    <w:p w:rsidR="00000000" w:rsidRPr="00EF3AE5" w:rsidP="00EF3AE5">
      <w:pPr>
        <w:pStyle w:val="Heading1"/>
      </w:pPr>
      <w:bookmarkStart w:id="2" w:name="O_1113976"/>
      <w:bookmarkEnd w:id="2"/>
      <w:r w:rsidRPr="00EF3AE5">
        <w:t>Performance Evidence</w:t>
      </w:r>
    </w:p>
    <w:p w:rsidR="00000000" w:rsidRPr="00EF3AE5" w:rsidP="00AA0865">
      <w:pPr>
        <w:pStyle w:val="BodyText"/>
      </w:pPr>
      <w:r w:rsidRPr="00EF3AE5">
        <w:t>There must be evidence th</w:t>
      </w:r>
      <w:r w:rsidRPr="00EF3AE5">
        <w:t>e candidate has completed the tasks outlined in the elements and performance criteria of this unit, and demonstrated the ability to:</w:t>
      </w:r>
    </w:p>
    <w:p w:rsidR="00000000" w:rsidRPr="00EF3AE5" w:rsidP="00EF3AE5">
      <w:pPr>
        <w:pStyle w:val="ListBullet"/>
      </w:pPr>
      <w:r w:rsidRPr="00EF3AE5">
        <w:t>assemble materials and equipment for production at least once to meet job requirements.</w:t>
      </w:r>
    </w:p>
    <w:p w:rsidR="00000000" w:rsidRPr="00EF3AE5" w:rsidP="00EF3AE5">
      <w:pPr>
        <w:pStyle w:val="AllowPageBreak"/>
      </w:pPr>
    </w:p>
    <w:p w:rsidR="00000000" w:rsidRPr="00EF3AE5" w:rsidP="00EF3AE5">
      <w:pPr>
        <w:pStyle w:val="Heading1"/>
      </w:pPr>
      <w:bookmarkStart w:id="3" w:name="O_1113977"/>
      <w:bookmarkEnd w:id="3"/>
      <w:r w:rsidRPr="00EF3AE5">
        <w:t>Knowledge Evide</w:t>
      </w:r>
      <w:r w:rsidRPr="00EF3AE5">
        <w:t>nce</w:t>
      </w:r>
    </w:p>
    <w:p w:rsidR="00000000" w:rsidRPr="00EF3AE5" w:rsidP="00AA0865">
      <w:pPr>
        <w:pStyle w:val="BodyText"/>
      </w:pPr>
      <w:r w:rsidRPr="00EF3AE5">
        <w:t>There must be evidence the candidate has knowledge of:</w:t>
      </w:r>
    </w:p>
    <w:p w:rsidR="00000000" w:rsidRPr="00EF3AE5" w:rsidP="00EF3AE5">
      <w:pPr>
        <w:pStyle w:val="ListBullet"/>
      </w:pPr>
      <w:r w:rsidRPr="00EF3AE5">
        <w:t>types and applications of common polymer materials</w:t>
      </w:r>
    </w:p>
    <w:p w:rsidR="00000000" w:rsidRPr="00EF3AE5" w:rsidP="00EF3AE5">
      <w:pPr>
        <w:pStyle w:val="ListBullet"/>
      </w:pPr>
      <w:r w:rsidRPr="00EF3AE5">
        <w:t>types and applications of additives</w:t>
      </w:r>
    </w:p>
    <w:p w:rsidR="00000000" w:rsidRPr="00EF3AE5" w:rsidP="00EF3AE5">
      <w:pPr>
        <w:pStyle w:val="ListBullet"/>
      </w:pPr>
      <w:r w:rsidRPr="00EF3AE5">
        <w:t>types and applications of equipment typically used</w:t>
      </w:r>
    </w:p>
    <w:p w:rsidR="00000000" w:rsidRPr="00EF3AE5" w:rsidP="00EF3AE5">
      <w:pPr>
        <w:pStyle w:val="ListBullet"/>
      </w:pPr>
      <w:r w:rsidRPr="00EF3AE5">
        <w:t xml:space="preserve">trade names and formulae of common polymer materials </w:t>
      </w:r>
    </w:p>
    <w:p w:rsidR="00000000" w:rsidRPr="00EF3AE5" w:rsidP="00EF3AE5">
      <w:pPr>
        <w:pStyle w:val="ListBullet"/>
      </w:pPr>
      <w:r w:rsidRPr="00EF3AE5">
        <w:t>comm</w:t>
      </w:r>
      <w:r w:rsidRPr="00EF3AE5">
        <w:t xml:space="preserve">on end-use examples of polymers and common family names </w:t>
      </w:r>
    </w:p>
    <w:p w:rsidR="00000000" w:rsidRPr="00EF3AE5" w:rsidP="00EF3AE5">
      <w:pPr>
        <w:pStyle w:val="ListBullet"/>
      </w:pPr>
      <w:r w:rsidRPr="00EF3AE5">
        <w:t>safe manual-handling processes for materials and equipment associated with polymer production processes and products</w:t>
      </w:r>
    </w:p>
    <w:p w:rsidR="00000000" w:rsidRPr="00EF3AE5" w:rsidP="00EF3AE5">
      <w:pPr>
        <w:pStyle w:val="ListBullet"/>
      </w:pPr>
      <w:r w:rsidRPr="00EF3AE5">
        <w:t>safe and appropriate storage options for materials and equipment</w:t>
      </w:r>
    </w:p>
    <w:p w:rsidR="00000000" w:rsidRPr="00EF3AE5" w:rsidP="00EF3AE5">
      <w:pPr>
        <w:pStyle w:val="ListBullet"/>
      </w:pPr>
      <w:r w:rsidRPr="00EF3AE5">
        <w:t xml:space="preserve">expected quality </w:t>
      </w:r>
      <w:r w:rsidRPr="00EF3AE5">
        <w:t>standards for materials, and checking requirements to validate suitability for use</w:t>
      </w:r>
    </w:p>
    <w:p w:rsidR="00000000" w:rsidRPr="00EF3AE5" w:rsidP="00EF3AE5">
      <w:pPr>
        <w:pStyle w:val="ListBullet"/>
      </w:pPr>
      <w:r w:rsidRPr="00EF3AE5">
        <w:t>key variables that may affect the product quality or production output, including:</w:t>
      </w:r>
    </w:p>
    <w:p w:rsidR="00000000" w:rsidRPr="00EF3AE5" w:rsidP="00EF3AE5">
      <w:pPr>
        <w:pStyle w:val="ListBullet2"/>
      </w:pPr>
      <w:r w:rsidRPr="00EF3AE5">
        <w:t>raw materials variations</w:t>
      </w:r>
    </w:p>
    <w:p w:rsidR="00000000" w:rsidRPr="00EF3AE5" w:rsidP="00EF3AE5">
      <w:pPr>
        <w:pStyle w:val="ListBullet2"/>
      </w:pPr>
      <w:r w:rsidRPr="00EF3AE5">
        <w:t>contamination of raw materials</w:t>
      </w:r>
    </w:p>
    <w:p w:rsidR="00000000" w:rsidRPr="00EF3AE5" w:rsidP="00EF3AE5">
      <w:pPr>
        <w:pStyle w:val="ListBullet"/>
      </w:pPr>
      <w:r w:rsidRPr="00EF3AE5">
        <w:t xml:space="preserve">types of materials, equipment and machine faults, and associated reporting procedures </w:t>
      </w:r>
    </w:p>
    <w:p w:rsidR="00000000" w:rsidRPr="00EF3AE5" w:rsidP="00EF3AE5">
      <w:pPr>
        <w:pStyle w:val="ListBullet"/>
      </w:pPr>
      <w:r w:rsidRPr="00EF3AE5">
        <w:t>the impact on production process from the misreading of labels, instructions and safety data sheets</w:t>
      </w:r>
    </w:p>
    <w:p w:rsidR="00000000" w:rsidRPr="00EF3AE5" w:rsidP="00EF3AE5">
      <w:pPr>
        <w:pStyle w:val="ListBullet"/>
      </w:pPr>
      <w:r w:rsidRPr="00EF3AE5">
        <w:t>organisational procedures relevant to the work environment or job rol</w:t>
      </w:r>
      <w:r w:rsidRPr="00EF3AE5">
        <w:t>e</w:t>
      </w:r>
    </w:p>
    <w:p w:rsidR="00000000" w:rsidRPr="00EF3AE5" w:rsidP="00EF3AE5">
      <w:pPr>
        <w:pStyle w:val="ListBullet"/>
      </w:pPr>
      <w:r w:rsidRPr="00EF3AE5">
        <w:t>hazards that may arise in the job or work environment, and:</w:t>
      </w:r>
    </w:p>
    <w:p w:rsidR="00000000" w:rsidRPr="00EF3AE5" w:rsidP="00EF3AE5">
      <w:pPr>
        <w:pStyle w:val="ListBullet2"/>
      </w:pPr>
      <w:r w:rsidRPr="00EF3AE5">
        <w:t>their possible causes</w:t>
      </w:r>
    </w:p>
    <w:p w:rsidR="00000000" w:rsidRPr="00EF3AE5" w:rsidP="00EF3AE5">
      <w:pPr>
        <w:pStyle w:val="ListBullet2"/>
      </w:pPr>
      <w:r w:rsidRPr="00EF3AE5">
        <w:t>potential consequences</w:t>
      </w:r>
    </w:p>
    <w:p w:rsidR="00000000" w:rsidRPr="00EF3AE5" w:rsidP="00EF3AE5">
      <w:pPr>
        <w:pStyle w:val="ListBullet2"/>
      </w:pPr>
      <w:r w:rsidRPr="00EF3AE5">
        <w:t>appropriate risk controls.</w:t>
      </w:r>
    </w:p>
    <w:p w:rsidR="00000000" w:rsidRPr="00EF3AE5" w:rsidP="00EF3AE5">
      <w:pPr>
        <w:pStyle w:val="AllowPageBreak"/>
      </w:pPr>
    </w:p>
    <w:p w:rsidR="00000000" w:rsidRPr="00EF3AE5" w:rsidP="00EF3AE5">
      <w:pPr>
        <w:pStyle w:val="Heading1"/>
      </w:pPr>
      <w:bookmarkStart w:id="4" w:name="O_1113978"/>
      <w:bookmarkEnd w:id="4"/>
      <w:r w:rsidRPr="00EF3AE5">
        <w:t>Assessment Conditions</w:t>
      </w:r>
    </w:p>
    <w:p w:rsidR="00000000" w:rsidRPr="00EF3AE5" w:rsidP="00AA0865">
      <w:pPr>
        <w:pStyle w:val="BodyText"/>
      </w:pPr>
      <w:r w:rsidRPr="00EF3AE5">
        <w:t>Skills must have been demonstrated in the workplace or in a simulated environmen</w:t>
      </w:r>
      <w:r w:rsidRPr="00EF3AE5">
        <w:t xml:space="preserve">t that reflects workplace conditions and contingencies. </w:t>
      </w:r>
    </w:p>
    <w:p w:rsidR="00000000" w:rsidRPr="00EF3AE5" w:rsidP="00AA0865">
      <w:pPr>
        <w:pStyle w:val="BodyText"/>
      </w:pPr>
      <w:r w:rsidRPr="00EF3AE5">
        <w:t>Assessors must satisfy the NVR/AQTF mandatory competency requirements for assessors.</w:t>
      </w:r>
    </w:p>
    <w:p w:rsidR="00000000" w:rsidRPr="00EF3AE5" w:rsidP="00EF3AE5">
      <w:pPr>
        <w:pStyle w:val="Heading1"/>
      </w:pPr>
      <w:bookmarkStart w:id="5" w:name="O_1113981"/>
      <w:bookmarkEnd w:id="5"/>
      <w:r w:rsidRPr="00EF3AE5">
        <w:t>Links</w:t>
      </w:r>
    </w:p>
    <w:p w:rsidR="00000000" w:rsidRPr="00EF3AE5" w:rsidP="00AA0865">
      <w:pPr>
        <w:pStyle w:val="BodyText"/>
      </w:pPr>
      <w:r w:rsidRPr="00EF3AE5">
        <w:t>Companion Volume implementation guides are found in VETNet –</w:t>
      </w:r>
      <w:r w:rsidRPr="00EF3AE5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E29A5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F3AE5" w:rsidP="00EF3AE5"/>
    <w:sectPr w:rsidSect="00EF3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E5" w:rsidRPr="00AA0865" w:rsidP="00AA08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65" w:rsidP="00EF3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A0865" w:rsidP="00EF3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A0865" w:rsidP="00EF3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3AE5" w:rsidRPr="00AA0865" w:rsidP="00AA08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865" w:rsidRPr="002D2AF8" w:rsidP="00EF3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PMBPREP205E Assemble materials and equipment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A0865" w:rsidP="00EF3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A6F1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E4C6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2CA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AE5"/>
  </w:style>
  <w:style w:type="character" w:customStyle="1" w:styleId="Heading1Char">
    <w:name w:val="Heading 1 Char"/>
    <w:basedOn w:val="DefaultParagraphFont"/>
    <w:link w:val="Heading1"/>
    <w:rsid w:val="00EF3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3A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F3A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3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3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F3AE5"/>
    <w:rPr>
      <w:b/>
      <w:spacing w:val="0"/>
    </w:rPr>
  </w:style>
  <w:style w:type="paragraph" w:customStyle="1" w:styleId="SuperTitle">
    <w:name w:val="SuperTitle"/>
    <w:basedOn w:val="Title"/>
    <w:rsid w:val="00EF3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3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AE5"/>
    <w:rPr>
      <w:i/>
    </w:rPr>
  </w:style>
  <w:style w:type="paragraph" w:styleId="Caption">
    <w:name w:val="caption"/>
    <w:basedOn w:val="BodyText"/>
    <w:next w:val="Normal"/>
    <w:qFormat/>
    <w:rsid w:val="00EF3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AE5"/>
  </w:style>
  <w:style w:type="paragraph" w:styleId="TableofFigures">
    <w:name w:val="table of figures"/>
    <w:basedOn w:val="Normal"/>
    <w:next w:val="Normal"/>
    <w:semiHidden/>
    <w:rsid w:val="00EF3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A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3AE5"/>
    <w:rPr>
      <w:rFonts w:ascii="Wingdings" w:hAnsi="Wingdings"/>
    </w:rPr>
  </w:style>
  <w:style w:type="paragraph" w:customStyle="1" w:styleId="TableHeading">
    <w:name w:val="Table Heading"/>
    <w:basedOn w:val="HeadingBase"/>
    <w:rsid w:val="00EF3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AE5"/>
    <w:rPr>
      <w:color w:val="0033CC"/>
      <w:u w:val="none"/>
    </w:rPr>
  </w:style>
  <w:style w:type="paragraph" w:customStyle="1" w:styleId="BodyTextRight">
    <w:name w:val="Body Text Right"/>
    <w:basedOn w:val="BodyText"/>
    <w:rsid w:val="00EF3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A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AE5"/>
    <w:rPr>
      <w:sz w:val="32"/>
    </w:rPr>
  </w:style>
  <w:style w:type="paragraph" w:customStyle="1" w:styleId="HeadingProcedure">
    <w:name w:val="Heading Procedure"/>
    <w:basedOn w:val="HeadingBase"/>
    <w:next w:val="Normal"/>
    <w:rsid w:val="00EF3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AE5"/>
    <w:pPr>
      <w:spacing w:before="60" w:after="60"/>
    </w:pPr>
  </w:style>
  <w:style w:type="paragraph" w:styleId="ListContinue">
    <w:name w:val="List Continue"/>
    <w:basedOn w:val="List"/>
    <w:rsid w:val="00EF3AE5"/>
    <w:pPr>
      <w:ind w:firstLine="0"/>
    </w:pPr>
  </w:style>
  <w:style w:type="paragraph" w:customStyle="1" w:styleId="ListNote">
    <w:name w:val="List Note"/>
    <w:basedOn w:val="List"/>
    <w:rsid w:val="00EF3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AE5"/>
    <w:rPr>
      <w:rFonts w:ascii="Courier New" w:hAnsi="Courier New"/>
    </w:rPr>
  </w:style>
  <w:style w:type="paragraph" w:customStyle="1" w:styleId="NoteBullet">
    <w:name w:val="Note Bullet"/>
    <w:basedOn w:val="Note"/>
    <w:rsid w:val="00EF3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A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3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AE5"/>
    <w:rPr>
      <w:b/>
      <w:smallCaps/>
    </w:rPr>
  </w:style>
  <w:style w:type="paragraph" w:customStyle="1" w:styleId="TableListNumber">
    <w:name w:val="Table List Number"/>
    <w:basedOn w:val="ListNumber"/>
    <w:rsid w:val="00EF3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AE5"/>
    <w:pPr>
      <w:numPr>
        <w:numId w:val="9"/>
      </w:numPr>
    </w:pPr>
  </w:style>
  <w:style w:type="paragraph" w:customStyle="1" w:styleId="ListAlpha2">
    <w:name w:val="List Alpha 2"/>
    <w:basedOn w:val="List2"/>
    <w:rsid w:val="00EF3AE5"/>
    <w:pPr>
      <w:numPr>
        <w:numId w:val="8"/>
      </w:numPr>
    </w:pPr>
  </w:style>
  <w:style w:type="paragraph" w:styleId="List2">
    <w:name w:val="List 2"/>
    <w:basedOn w:val="BodyText"/>
    <w:rsid w:val="00EF3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A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A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3AE5"/>
    <w:pPr>
      <w:numPr>
        <w:numId w:val="4"/>
      </w:numPr>
    </w:pPr>
  </w:style>
  <w:style w:type="paragraph" w:styleId="ListContinue2">
    <w:name w:val="List Continue 2"/>
    <w:basedOn w:val="List2"/>
    <w:rsid w:val="00EF3AE5"/>
    <w:pPr>
      <w:ind w:firstLine="0"/>
    </w:pPr>
  </w:style>
  <w:style w:type="paragraph" w:styleId="ListContinue3">
    <w:name w:val="List Continue 3"/>
    <w:basedOn w:val="List3"/>
    <w:rsid w:val="00EF3AE5"/>
    <w:pPr>
      <w:ind w:left="1021" w:firstLine="0"/>
    </w:pPr>
  </w:style>
  <w:style w:type="paragraph" w:styleId="ListContinue4">
    <w:name w:val="List Continue 4"/>
    <w:basedOn w:val="List4"/>
    <w:rsid w:val="00EF3AE5"/>
    <w:pPr>
      <w:ind w:firstLine="0"/>
    </w:pPr>
  </w:style>
  <w:style w:type="paragraph" w:styleId="ListContinue5">
    <w:name w:val="List Continue 5"/>
    <w:basedOn w:val="List5"/>
    <w:rsid w:val="00EF3AE5"/>
    <w:pPr>
      <w:ind w:firstLine="0"/>
    </w:pPr>
  </w:style>
  <w:style w:type="paragraph" w:styleId="ListNumber3">
    <w:name w:val="List Number 3"/>
    <w:basedOn w:val="List3"/>
    <w:rsid w:val="00EF3AE5"/>
    <w:pPr>
      <w:numPr>
        <w:numId w:val="5"/>
      </w:numPr>
    </w:pPr>
  </w:style>
  <w:style w:type="paragraph" w:styleId="ListNumber4">
    <w:name w:val="List Number 4"/>
    <w:basedOn w:val="List4"/>
    <w:rsid w:val="00EF3AE5"/>
    <w:pPr>
      <w:numPr>
        <w:numId w:val="6"/>
      </w:numPr>
    </w:pPr>
  </w:style>
  <w:style w:type="paragraph" w:styleId="ListNumber5">
    <w:name w:val="List Number 5"/>
    <w:basedOn w:val="List5"/>
    <w:rsid w:val="00EF3AE5"/>
    <w:pPr>
      <w:numPr>
        <w:numId w:val="7"/>
      </w:numPr>
    </w:pPr>
  </w:style>
  <w:style w:type="paragraph" w:styleId="BlockText">
    <w:name w:val="Block Text"/>
    <w:basedOn w:val="Normal"/>
    <w:rsid w:val="00EF3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AE5"/>
    <w:rPr>
      <w:sz w:val="16"/>
      <w:vertAlign w:val="superscript"/>
    </w:rPr>
  </w:style>
  <w:style w:type="character" w:customStyle="1" w:styleId="Symbols">
    <w:name w:val="Symbols"/>
    <w:basedOn w:val="DefaultParagraphFont"/>
    <w:rsid w:val="00EF3AE5"/>
    <w:rPr>
      <w:rFonts w:ascii="Symbol" w:hAnsi="Symbol"/>
    </w:rPr>
  </w:style>
  <w:style w:type="character" w:customStyle="1" w:styleId="MenuOptions">
    <w:name w:val="Menu Options"/>
    <w:basedOn w:val="DefaultParagraphFont"/>
    <w:rsid w:val="00EF3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AE5"/>
    <w:rPr>
      <w:b/>
    </w:rPr>
  </w:style>
  <w:style w:type="character" w:customStyle="1" w:styleId="Underlined">
    <w:name w:val="Underlined"/>
    <w:basedOn w:val="DefaultParagraphFont"/>
    <w:rsid w:val="00EF3AE5"/>
    <w:rPr>
      <w:u w:val="single"/>
    </w:rPr>
  </w:style>
  <w:style w:type="paragraph" w:customStyle="1" w:styleId="TableBodyTextRight">
    <w:name w:val="Table Body Text Right"/>
    <w:basedOn w:val="TableBodyText"/>
    <w:rsid w:val="00EF3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AE5"/>
    <w:rPr>
      <w:sz w:val="18"/>
    </w:rPr>
  </w:style>
  <w:style w:type="paragraph" w:customStyle="1" w:styleId="BodySmallRight">
    <w:name w:val="Body Small Right"/>
    <w:basedOn w:val="BodyTextRight"/>
    <w:rsid w:val="00EF3AE5"/>
    <w:rPr>
      <w:sz w:val="18"/>
      <w:szCs w:val="18"/>
    </w:rPr>
  </w:style>
  <w:style w:type="paragraph" w:customStyle="1" w:styleId="MarginEdition">
    <w:name w:val="Margin Edition"/>
    <w:basedOn w:val="MarginNote"/>
    <w:rsid w:val="00EF3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AE5"/>
    <w:rPr>
      <w:sz w:val="2"/>
      <w:szCs w:val="2"/>
    </w:rPr>
  </w:style>
  <w:style w:type="character" w:customStyle="1" w:styleId="Small">
    <w:name w:val="Small"/>
    <w:basedOn w:val="DefaultParagraphFont"/>
    <w:rsid w:val="00EF3AE5"/>
    <w:rPr>
      <w:sz w:val="16"/>
    </w:rPr>
  </w:style>
  <w:style w:type="paragraph" w:customStyle="1" w:styleId="WideTable">
    <w:name w:val="Wide Table"/>
    <w:basedOn w:val="Normal"/>
    <w:rsid w:val="00EF3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AE5"/>
  </w:style>
  <w:style w:type="paragraph" w:styleId="Quote">
    <w:name w:val="Quote"/>
    <w:basedOn w:val="Heading1"/>
    <w:link w:val="QuoteChar"/>
    <w:qFormat/>
    <w:rsid w:val="00EF3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AE5"/>
    <w:pPr>
      <w:pageBreakBefore/>
    </w:pPr>
  </w:style>
  <w:style w:type="paragraph" w:customStyle="1" w:styleId="Border">
    <w:name w:val="Border"/>
    <w:basedOn w:val="Normal"/>
    <w:qFormat/>
    <w:rsid w:val="00EF3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AE5"/>
    <w:rPr>
      <w:u w:val="single"/>
    </w:rPr>
  </w:style>
  <w:style w:type="character" w:customStyle="1" w:styleId="BoldandItalics">
    <w:name w:val="Bold and Italics"/>
    <w:qFormat/>
    <w:rsid w:val="00EF3AE5"/>
    <w:rPr>
      <w:b/>
      <w:i/>
      <w:u w:val="none"/>
    </w:rPr>
  </w:style>
  <w:style w:type="paragraph" w:styleId="BalloonText">
    <w:name w:val="Balloon Text"/>
    <w:basedOn w:val="Normal"/>
    <w:link w:val="BalloonTextChar"/>
    <w:rsid w:val="00EF3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3AE5"/>
    <w:pPr>
      <w:spacing w:before="0" w:after="0"/>
    </w:pPr>
  </w:style>
  <w:style w:type="paragraph" w:customStyle="1" w:styleId="BodyTextBold">
    <w:name w:val="Body Text Bold"/>
    <w:basedOn w:val="BodyText"/>
    <w:qFormat/>
    <w:rsid w:val="00EF3AE5"/>
    <w:rPr>
      <w:b/>
    </w:rPr>
  </w:style>
  <w:style w:type="character" w:styleId="Hyperlink">
    <w:name w:val="Hyperlink"/>
    <w:basedOn w:val="DefaultParagraphFont"/>
    <w:uiPriority w:val="99"/>
    <w:unhideWhenUsed/>
    <w:rsid w:val="00AA08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2118</Characters>
  <Application>Microsoft Office Word</Application>
  <DocSecurity>0</DocSecurity>
  <Lines>52</Lines>
  <Paragraphs>40</Paragraphs>
  <ScaleCrop>false</ScaleCrop>
  <Company>Author-it Software Corporation Ltd.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PMBPREP205E Assemble materials and equipment for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