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79A" w:rsidP="00115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PMBPREP201E Prepare moulds for composites production</w:t>
      </w:r>
      <w:r>
        <w:fldChar w:fldCharType="end"/>
      </w:r>
    </w:p>
    <w:p w:rsidR="0011579A" w:rsidP="0011579A">
      <w:pPr>
        <w:pStyle w:val="Version"/>
        <w:sectPr w:rsidSect="00806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0AD" w:rsidP="008060AD">
      <w:pPr>
        <w:pStyle w:val="SuperHeading"/>
      </w:pPr>
      <w:r w:rsidRPr="008060AD">
        <w:t>PMBPREP201E Prepare moulds for composites production</w:t>
      </w:r>
    </w:p>
    <w:p w:rsidR="00000000" w:rsidRPr="008060AD" w:rsidP="008060AD">
      <w:pPr>
        <w:pStyle w:val="Heading1"/>
      </w:pPr>
      <w:bookmarkStart w:id="1" w:name="O_1113946"/>
      <w:bookmarkEnd w:id="1"/>
      <w:r w:rsidRPr="008060AD">
        <w:t>Modification History</w:t>
      </w:r>
    </w:p>
    <w:p w:rsidR="00000000" w:rsidRPr="008060AD" w:rsidP="0011579A">
      <w:pPr>
        <w:pStyle w:val="BodyText"/>
      </w:pPr>
      <w:r w:rsidRPr="008060AD">
        <w:t>Release 1. Unit code changed. Application changed. Elements and Performance Criteria changed. Range of Conditions removed. Assessment Requirements changed. Supersedes and is equivalent to PMBPREP201 Prepare moulds for</w:t>
      </w:r>
      <w:r w:rsidRPr="008060AD">
        <w:t xml:space="preserve"> composites production.</w:t>
      </w:r>
    </w:p>
    <w:p w:rsidR="00000000" w:rsidRPr="008060AD" w:rsidP="008060AD">
      <w:pPr>
        <w:pStyle w:val="Heading1"/>
      </w:pPr>
      <w:bookmarkStart w:id="2" w:name="O_1113947"/>
      <w:bookmarkEnd w:id="2"/>
      <w:r w:rsidRPr="008060AD">
        <w:t>Application</w:t>
      </w:r>
    </w:p>
    <w:p w:rsidR="00000000" w:rsidRPr="008060AD" w:rsidP="0011579A">
      <w:pPr>
        <w:pStyle w:val="BodyText"/>
      </w:pPr>
      <w:r w:rsidRPr="008060AD">
        <w:t xml:space="preserve">This unit describes the skills and knowledge required to prepare mould surfaces, apply mould release systems and mask-up mould for production. </w:t>
      </w:r>
    </w:p>
    <w:p w:rsidR="00000000" w:rsidRPr="008060AD" w:rsidP="0011579A">
      <w:pPr>
        <w:pStyle w:val="BodyText"/>
      </w:pPr>
      <w:r w:rsidRPr="008060AD">
        <w:t>This unit applies to an individual working alone or as pa</w:t>
      </w:r>
      <w:r w:rsidRPr="008060AD">
        <w:t>rt of a team.</w:t>
      </w:r>
    </w:p>
    <w:p w:rsidR="00000000" w:rsidRPr="008060AD" w:rsidP="0011579A">
      <w:pPr>
        <w:pStyle w:val="BodyText"/>
      </w:pPr>
      <w:r w:rsidRPr="008060AD">
        <w:t>The unit principally refers to the care and preparation of mould surfaces, which is critical to the production process.</w:t>
      </w:r>
    </w:p>
    <w:p w:rsidR="00000000" w:rsidRPr="008060AD" w:rsidP="0011579A">
      <w:pPr>
        <w:pStyle w:val="BodyText"/>
      </w:pPr>
      <w:r w:rsidRPr="008060AD">
        <w:t xml:space="preserve">No licensing or certification requirements exist at the time of publication. Relevant legislation, industry standards and </w:t>
      </w:r>
      <w:r w:rsidRPr="008060AD">
        <w:t>codes of practice within Australia must be applied.</w:t>
      </w:r>
    </w:p>
    <w:p w:rsidR="00000000" w:rsidRPr="008060AD" w:rsidP="008060AD">
      <w:pPr>
        <w:pStyle w:val="Heading1"/>
      </w:pPr>
      <w:bookmarkStart w:id="3" w:name="O_1113948"/>
      <w:bookmarkEnd w:id="3"/>
      <w:r w:rsidRPr="008060AD">
        <w:t>Pre-requisite Unit</w:t>
      </w:r>
    </w:p>
    <w:p w:rsidR="00000000" w:rsidRPr="008060AD" w:rsidP="0011579A">
      <w:pPr>
        <w:pStyle w:val="BodyText"/>
      </w:pPr>
      <w:r w:rsidRPr="008060AD">
        <w:t>Nil</w:t>
      </w:r>
    </w:p>
    <w:p w:rsidR="00000000" w:rsidRPr="008060AD" w:rsidP="008060AD">
      <w:pPr>
        <w:pStyle w:val="Heading1"/>
      </w:pPr>
      <w:bookmarkStart w:id="4" w:name="O_1113949"/>
      <w:bookmarkEnd w:id="4"/>
      <w:r w:rsidRPr="008060AD">
        <w:t>Competency Field</w:t>
      </w:r>
    </w:p>
    <w:p w:rsidR="00000000" w:rsidRPr="008060AD" w:rsidP="0011579A">
      <w:pPr>
        <w:pStyle w:val="BodyText"/>
      </w:pPr>
      <w:r w:rsidRPr="008060AD">
        <w:t>Preparation – Composites</w:t>
      </w:r>
    </w:p>
    <w:p w:rsidR="00000000" w:rsidRPr="008060AD" w:rsidP="008060AD">
      <w:pPr>
        <w:pStyle w:val="Heading1"/>
      </w:pPr>
      <w:bookmarkStart w:id="5" w:name="O_1113951"/>
      <w:bookmarkEnd w:id="5"/>
      <w:r w:rsidRPr="008060A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06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AD" w:rsidP="008060AD">
            <w:pPr>
              <w:pStyle w:val="BodyText"/>
            </w:pPr>
            <w:r w:rsidRPr="008060AD">
              <w:rPr>
                <w:rStyle w:val="SpecialBold"/>
              </w:rPr>
              <w:t>Elements</w:t>
            </w:r>
          </w:p>
          <w:p w:rsidR="00000000" w:rsidRPr="008060AD" w:rsidP="008060AD">
            <w:pPr>
              <w:pStyle w:val="BodyText"/>
            </w:pPr>
            <w:r w:rsidRPr="008060AD">
              <w:t>Elements describe the essential outcome</w:t>
            </w:r>
            <w:r w:rsidRPr="008060AD">
              <w:t>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AD" w:rsidP="008060AD">
            <w:pPr>
              <w:pStyle w:val="BodyText"/>
            </w:pPr>
            <w:r w:rsidRPr="008060AD">
              <w:rPr>
                <w:rStyle w:val="SpecialBold"/>
              </w:rPr>
              <w:t>Performance Criteria</w:t>
            </w:r>
          </w:p>
          <w:p w:rsidR="00000000" w:rsidP="008060AD">
            <w:pPr>
              <w:pStyle w:val="BodyText"/>
              <w:rPr>
                <w:lang w:val="en-NZ"/>
              </w:rPr>
            </w:pPr>
            <w:r w:rsidRPr="008060AD">
              <w:t>Performance criteria describe the performance needed to demonstrate achievement of the element.</w:t>
            </w:r>
          </w:p>
        </w:tc>
      </w:tr>
      <w:tr w:rsidTr="00806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AD">
            <w:pPr>
              <w:pStyle w:val="BodyText"/>
              <w:rPr>
                <w:lang w:val="en-NZ"/>
              </w:rPr>
            </w:pPr>
            <w:r w:rsidRPr="008060AD">
              <w:t>1. Prepare mould surfaces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AD" w:rsidP="008060AD">
            <w:pPr>
              <w:pStyle w:val="BodyText"/>
            </w:pPr>
            <w:r w:rsidRPr="008060AD">
              <w:t>1.1 Prepare mould surfaces in readiness for use</w:t>
            </w:r>
          </w:p>
          <w:p w:rsidR="00000000" w:rsidRPr="008060AD" w:rsidP="008060AD">
            <w:pPr>
              <w:pStyle w:val="BodyText"/>
            </w:pPr>
            <w:r w:rsidRPr="008060AD">
              <w:t>1.2 Perform temporary repairs of minor mould surface def</w:t>
            </w:r>
            <w:r w:rsidRPr="008060AD">
              <w:t>ects to enable use</w:t>
            </w:r>
          </w:p>
          <w:p w:rsidR="00000000" w:rsidP="008060AD">
            <w:pPr>
              <w:pStyle w:val="BodyText"/>
              <w:rPr>
                <w:lang w:val="en-NZ"/>
              </w:rPr>
            </w:pPr>
            <w:r w:rsidRPr="008060AD">
              <w:t>1.3 Clean up equipment and work areas according to workplace procedures when surface preparation is completed</w:t>
            </w:r>
          </w:p>
        </w:tc>
      </w:tr>
      <w:tr w:rsidTr="00806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AD">
            <w:pPr>
              <w:pStyle w:val="BodyText"/>
              <w:rPr>
                <w:lang w:val="en-NZ"/>
              </w:rPr>
            </w:pPr>
            <w:r w:rsidRPr="008060AD">
              <w:t>2. Apply mould release system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AD" w:rsidP="008060AD">
            <w:pPr>
              <w:pStyle w:val="BodyText"/>
            </w:pPr>
            <w:r w:rsidRPr="008060AD">
              <w:t>2.1 Select correct system for job according to system specifications for application</w:t>
            </w:r>
          </w:p>
          <w:p w:rsidR="00000000" w:rsidRPr="008060AD" w:rsidP="008060AD">
            <w:pPr>
              <w:pStyle w:val="BodyText"/>
            </w:pPr>
            <w:r w:rsidRPr="008060AD">
              <w:t>2.2 Apply s</w:t>
            </w:r>
            <w:r w:rsidRPr="008060AD">
              <w:t xml:space="preserve">ystem to mould surfaces according to manufacturer </w:t>
            </w:r>
            <w:r w:rsidRPr="008060AD">
              <w:t xml:space="preserve">specifications </w:t>
            </w:r>
          </w:p>
          <w:p w:rsidR="00000000" w:rsidP="008060AD">
            <w:pPr>
              <w:pStyle w:val="BodyText"/>
              <w:rPr>
                <w:lang w:val="en-NZ"/>
              </w:rPr>
            </w:pPr>
            <w:r w:rsidRPr="008060AD">
              <w:t>2.3 Perform tape-test of surface release system with selected tapes to ensure compatibility</w:t>
            </w:r>
          </w:p>
        </w:tc>
      </w:tr>
      <w:tr w:rsidTr="00806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AD">
            <w:pPr>
              <w:pStyle w:val="BodyText"/>
              <w:rPr>
                <w:lang w:val="en-NZ"/>
              </w:rPr>
            </w:pPr>
            <w:r w:rsidRPr="008060AD">
              <w:t>3. Apply mask to mould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AD" w:rsidP="008060AD">
            <w:pPr>
              <w:pStyle w:val="BodyText"/>
            </w:pPr>
            <w:r w:rsidRPr="008060AD">
              <w:t xml:space="preserve">3.1 Select suitable masking tape from tape test results </w:t>
            </w:r>
          </w:p>
          <w:p w:rsidR="00000000" w:rsidRPr="008060AD" w:rsidP="008060AD">
            <w:pPr>
              <w:pStyle w:val="BodyText"/>
            </w:pPr>
            <w:r w:rsidRPr="008060AD">
              <w:t>3.2 Apply masking</w:t>
            </w:r>
            <w:r w:rsidRPr="008060AD">
              <w:t xml:space="preserve"> tape and other necessary materials to ensure mould readiness for production</w:t>
            </w:r>
          </w:p>
        </w:tc>
      </w:tr>
    </w:tbl>
    <w:p w:rsidR="00000000" w:rsidRPr="008060AD" w:rsidP="008060AD">
      <w:pPr>
        <w:pStyle w:val="BodyText"/>
      </w:pPr>
    </w:p>
    <w:p w:rsidR="00000000" w:rsidRPr="008060AD" w:rsidP="008060AD">
      <w:pPr>
        <w:pStyle w:val="AllowPageBreak"/>
      </w:pPr>
    </w:p>
    <w:p w:rsidR="00000000" w:rsidRPr="008060AD" w:rsidP="008060AD">
      <w:pPr>
        <w:pStyle w:val="Heading1"/>
      </w:pPr>
      <w:bookmarkStart w:id="6" w:name="O_1113952"/>
      <w:bookmarkEnd w:id="6"/>
      <w:r w:rsidRPr="008060AD">
        <w:t>Foundation Skills</w:t>
      </w:r>
    </w:p>
    <w:p w:rsidR="00000000" w:rsidRPr="008060AD" w:rsidP="0011579A">
      <w:pPr>
        <w:pStyle w:val="BodyText"/>
      </w:pPr>
      <w:r w:rsidRPr="008060AD">
        <w:t xml:space="preserve">This section describes those language, literacy, numeracy and employment skills that are essential to performance. </w:t>
      </w:r>
    </w:p>
    <w:p w:rsidR="00000000" w:rsidRPr="008060AD" w:rsidP="008060AD">
      <w:pPr>
        <w:pStyle w:val="ListBullet"/>
      </w:pPr>
      <w:r w:rsidRPr="008060AD">
        <w:t>Numeracy skills to measure materials.</w:t>
      </w:r>
    </w:p>
    <w:p w:rsidR="00000000" w:rsidRPr="008060AD" w:rsidP="008060AD">
      <w:pPr>
        <w:pStyle w:val="ListBullet"/>
      </w:pPr>
      <w:r w:rsidRPr="008060AD">
        <w:t>Reading skills to interpret specifications.</w:t>
      </w:r>
    </w:p>
    <w:p w:rsidR="00000000" w:rsidRPr="008060AD" w:rsidP="008060AD">
      <w:pPr>
        <w:pStyle w:val="BodyText"/>
      </w:pPr>
    </w:p>
    <w:p w:rsidR="00000000" w:rsidRPr="0011579A" w:rsidP="0011579A">
      <w:pPr>
        <w:pStyle w:val="BodyText"/>
        <w:rPr>
          <w:i/>
        </w:rPr>
      </w:pPr>
      <w:r w:rsidRPr="0011579A">
        <w:rPr>
          <w:rStyle w:val="Emphasis"/>
        </w:rPr>
        <w:t>Other foundation skills essential to performance are explicit in the performance criteria of this unit of competency.</w:t>
      </w:r>
    </w:p>
    <w:p w:rsidR="00000000" w:rsidRPr="008060AD" w:rsidP="008060AD">
      <w:pPr>
        <w:pStyle w:val="Heading1"/>
      </w:pPr>
      <w:bookmarkStart w:id="7" w:name="O_1113954"/>
      <w:bookmarkEnd w:id="7"/>
      <w:r w:rsidRPr="008060AD">
        <w:t>Unit Mapping Information</w:t>
      </w:r>
    </w:p>
    <w:p w:rsidR="00000000" w:rsidRPr="008060AD" w:rsidP="0011579A">
      <w:pPr>
        <w:pStyle w:val="BodyText"/>
      </w:pPr>
      <w:r w:rsidRPr="008060AD">
        <w:t xml:space="preserve">Supersedes </w:t>
      </w:r>
      <w:r w:rsidRPr="008060AD">
        <w:t>and is equivalent to PMBPREP201 Prepare moulds for composites production.</w:t>
      </w:r>
    </w:p>
    <w:p w:rsidR="00000000" w:rsidRPr="008060AD" w:rsidP="008060AD">
      <w:pPr>
        <w:pStyle w:val="Heading1"/>
      </w:pPr>
      <w:bookmarkStart w:id="8" w:name="O_1113961"/>
      <w:bookmarkEnd w:id="8"/>
      <w:r w:rsidRPr="008060AD">
        <w:t>Links</w:t>
      </w:r>
    </w:p>
    <w:p w:rsidR="00000000" w:rsidRPr="008060AD" w:rsidP="0011579A">
      <w:pPr>
        <w:pStyle w:val="BodyText"/>
      </w:pPr>
      <w:r w:rsidRPr="008060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904D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060AD" w:rsidP="008060AD"/>
    <w:sectPr w:rsidSect="008060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AD" w:rsidRPr="0011579A" w:rsidP="00115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9A" w:rsidP="00806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79A" w:rsidP="00806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579A" w:rsidP="00806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0AD" w:rsidRPr="0011579A" w:rsidP="00115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9A" w:rsidRPr="002D2AF8" w:rsidP="00806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PMBPREP201E Prepare moulds for composites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1579A" w:rsidP="00806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867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0AE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0AD"/>
  </w:style>
  <w:style w:type="character" w:customStyle="1" w:styleId="Heading1Char">
    <w:name w:val="Heading 1 Char"/>
    <w:basedOn w:val="DefaultParagraphFont"/>
    <w:link w:val="Heading1"/>
    <w:rsid w:val="00806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0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0AD"/>
    <w:rPr>
      <w:b/>
      <w:spacing w:val="0"/>
    </w:rPr>
  </w:style>
  <w:style w:type="character" w:styleId="Emphasis">
    <w:name w:val="Emphasis"/>
    <w:basedOn w:val="DefaultParagraphFont"/>
    <w:qFormat/>
    <w:rsid w:val="008060AD"/>
    <w:rPr>
      <w:i/>
    </w:rPr>
  </w:style>
  <w:style w:type="paragraph" w:customStyle="1" w:styleId="SuperHeading">
    <w:name w:val="SuperHeading"/>
    <w:basedOn w:val="Normal"/>
    <w:rsid w:val="00806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0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0AD"/>
  </w:style>
  <w:style w:type="paragraph" w:styleId="TableofFigures">
    <w:name w:val="table of figures"/>
    <w:basedOn w:val="Normal"/>
    <w:next w:val="Normal"/>
    <w:semiHidden/>
    <w:rsid w:val="00806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0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0AD"/>
    <w:rPr>
      <w:rFonts w:ascii="Wingdings" w:hAnsi="Wingdings"/>
    </w:rPr>
  </w:style>
  <w:style w:type="paragraph" w:customStyle="1" w:styleId="TableHeading">
    <w:name w:val="Table Heading"/>
    <w:basedOn w:val="HeadingBase"/>
    <w:rsid w:val="00806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0AD"/>
    <w:rPr>
      <w:color w:val="0033CC"/>
      <w:u w:val="none"/>
    </w:rPr>
  </w:style>
  <w:style w:type="paragraph" w:customStyle="1" w:styleId="BodyTextRight">
    <w:name w:val="Body Text Right"/>
    <w:basedOn w:val="BodyText"/>
    <w:rsid w:val="00806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0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0AD"/>
    <w:rPr>
      <w:sz w:val="32"/>
    </w:rPr>
  </w:style>
  <w:style w:type="paragraph" w:customStyle="1" w:styleId="HeadingProcedure">
    <w:name w:val="Heading Procedure"/>
    <w:basedOn w:val="HeadingBase"/>
    <w:next w:val="Normal"/>
    <w:rsid w:val="00806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0AD"/>
    <w:pPr>
      <w:spacing w:before="60" w:after="60"/>
    </w:pPr>
  </w:style>
  <w:style w:type="paragraph" w:styleId="ListContinue">
    <w:name w:val="List Continue"/>
    <w:basedOn w:val="List"/>
    <w:rsid w:val="008060AD"/>
    <w:pPr>
      <w:ind w:firstLine="0"/>
    </w:pPr>
  </w:style>
  <w:style w:type="paragraph" w:customStyle="1" w:styleId="ListNote">
    <w:name w:val="List Note"/>
    <w:basedOn w:val="List"/>
    <w:rsid w:val="00806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0AD"/>
    <w:rPr>
      <w:rFonts w:ascii="Courier New" w:hAnsi="Courier New"/>
    </w:rPr>
  </w:style>
  <w:style w:type="paragraph" w:customStyle="1" w:styleId="NoteBullet">
    <w:name w:val="Note Bullet"/>
    <w:basedOn w:val="Note"/>
    <w:rsid w:val="00806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0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0AD"/>
    <w:rPr>
      <w:b/>
      <w:smallCaps/>
    </w:rPr>
  </w:style>
  <w:style w:type="paragraph" w:customStyle="1" w:styleId="TableListNumber">
    <w:name w:val="Table List Number"/>
    <w:basedOn w:val="ListNumber"/>
    <w:rsid w:val="00806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0AD"/>
    <w:pPr>
      <w:numPr>
        <w:numId w:val="8"/>
      </w:numPr>
    </w:pPr>
  </w:style>
  <w:style w:type="paragraph" w:customStyle="1" w:styleId="ListAlpha2">
    <w:name w:val="List Alpha 2"/>
    <w:basedOn w:val="List2"/>
    <w:rsid w:val="008060AD"/>
    <w:pPr>
      <w:numPr>
        <w:numId w:val="7"/>
      </w:numPr>
    </w:pPr>
  </w:style>
  <w:style w:type="paragraph" w:styleId="List2">
    <w:name w:val="List 2"/>
    <w:basedOn w:val="BodyText"/>
    <w:rsid w:val="00806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0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0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0AD"/>
    <w:pPr>
      <w:numPr>
        <w:numId w:val="3"/>
      </w:numPr>
    </w:pPr>
  </w:style>
  <w:style w:type="paragraph" w:styleId="ListContinue2">
    <w:name w:val="List Continue 2"/>
    <w:basedOn w:val="List2"/>
    <w:rsid w:val="008060AD"/>
    <w:pPr>
      <w:ind w:firstLine="0"/>
    </w:pPr>
  </w:style>
  <w:style w:type="paragraph" w:styleId="ListContinue3">
    <w:name w:val="List Continue 3"/>
    <w:basedOn w:val="List3"/>
    <w:rsid w:val="008060AD"/>
    <w:pPr>
      <w:ind w:left="1021" w:firstLine="0"/>
    </w:pPr>
  </w:style>
  <w:style w:type="paragraph" w:styleId="ListContinue4">
    <w:name w:val="List Continue 4"/>
    <w:basedOn w:val="List4"/>
    <w:rsid w:val="008060AD"/>
    <w:pPr>
      <w:ind w:firstLine="0"/>
    </w:pPr>
  </w:style>
  <w:style w:type="paragraph" w:styleId="ListContinue5">
    <w:name w:val="List Continue 5"/>
    <w:basedOn w:val="List5"/>
    <w:rsid w:val="008060AD"/>
    <w:pPr>
      <w:ind w:firstLine="0"/>
    </w:pPr>
  </w:style>
  <w:style w:type="paragraph" w:styleId="ListNumber3">
    <w:name w:val="List Number 3"/>
    <w:basedOn w:val="List3"/>
    <w:rsid w:val="008060AD"/>
    <w:pPr>
      <w:numPr>
        <w:numId w:val="4"/>
      </w:numPr>
    </w:pPr>
  </w:style>
  <w:style w:type="paragraph" w:styleId="ListNumber4">
    <w:name w:val="List Number 4"/>
    <w:basedOn w:val="List4"/>
    <w:rsid w:val="008060AD"/>
    <w:pPr>
      <w:numPr>
        <w:numId w:val="5"/>
      </w:numPr>
    </w:pPr>
  </w:style>
  <w:style w:type="paragraph" w:styleId="ListNumber5">
    <w:name w:val="List Number 5"/>
    <w:basedOn w:val="List5"/>
    <w:rsid w:val="008060AD"/>
    <w:pPr>
      <w:numPr>
        <w:numId w:val="6"/>
      </w:numPr>
    </w:pPr>
  </w:style>
  <w:style w:type="paragraph" w:styleId="BlockText">
    <w:name w:val="Block Text"/>
    <w:basedOn w:val="Normal"/>
    <w:rsid w:val="00806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0AD"/>
    <w:rPr>
      <w:sz w:val="16"/>
      <w:vertAlign w:val="superscript"/>
    </w:rPr>
  </w:style>
  <w:style w:type="character" w:customStyle="1" w:styleId="Symbols">
    <w:name w:val="Symbols"/>
    <w:basedOn w:val="DefaultParagraphFont"/>
    <w:rsid w:val="008060AD"/>
    <w:rPr>
      <w:rFonts w:ascii="Symbol" w:hAnsi="Symbol"/>
    </w:rPr>
  </w:style>
  <w:style w:type="character" w:customStyle="1" w:styleId="MenuOptions">
    <w:name w:val="Menu Options"/>
    <w:basedOn w:val="DefaultParagraphFont"/>
    <w:rsid w:val="00806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0AD"/>
    <w:rPr>
      <w:b/>
    </w:rPr>
  </w:style>
  <w:style w:type="character" w:customStyle="1" w:styleId="Underlined">
    <w:name w:val="Underlined"/>
    <w:basedOn w:val="DefaultParagraphFont"/>
    <w:rsid w:val="008060AD"/>
    <w:rPr>
      <w:u w:val="single"/>
    </w:rPr>
  </w:style>
  <w:style w:type="paragraph" w:customStyle="1" w:styleId="TableBodyTextRight">
    <w:name w:val="Table Body Text Right"/>
    <w:basedOn w:val="TableBodyText"/>
    <w:rsid w:val="00806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0AD"/>
    <w:rPr>
      <w:sz w:val="18"/>
    </w:rPr>
  </w:style>
  <w:style w:type="paragraph" w:customStyle="1" w:styleId="BodySmallRight">
    <w:name w:val="Body Small Right"/>
    <w:basedOn w:val="BodyTextRight"/>
    <w:rsid w:val="008060AD"/>
    <w:rPr>
      <w:sz w:val="18"/>
      <w:szCs w:val="18"/>
    </w:rPr>
  </w:style>
  <w:style w:type="paragraph" w:customStyle="1" w:styleId="MarginEdition">
    <w:name w:val="Margin Edition"/>
    <w:basedOn w:val="MarginNote"/>
    <w:rsid w:val="00806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0AD"/>
    <w:rPr>
      <w:sz w:val="2"/>
      <w:szCs w:val="2"/>
    </w:rPr>
  </w:style>
  <w:style w:type="character" w:customStyle="1" w:styleId="Small">
    <w:name w:val="Small"/>
    <w:basedOn w:val="DefaultParagraphFont"/>
    <w:rsid w:val="008060AD"/>
    <w:rPr>
      <w:sz w:val="16"/>
    </w:rPr>
  </w:style>
  <w:style w:type="paragraph" w:customStyle="1" w:styleId="WideTable">
    <w:name w:val="Wide Table"/>
    <w:basedOn w:val="Normal"/>
    <w:rsid w:val="00806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0AD"/>
  </w:style>
  <w:style w:type="paragraph" w:styleId="Quote">
    <w:name w:val="Quote"/>
    <w:basedOn w:val="Heading1"/>
    <w:link w:val="QuoteChar"/>
    <w:qFormat/>
    <w:rsid w:val="00806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0AD"/>
    <w:pPr>
      <w:pageBreakBefore/>
    </w:pPr>
  </w:style>
  <w:style w:type="paragraph" w:customStyle="1" w:styleId="Border">
    <w:name w:val="Border"/>
    <w:basedOn w:val="Normal"/>
    <w:qFormat/>
    <w:rsid w:val="00806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0AD"/>
    <w:rPr>
      <w:u w:val="single"/>
    </w:rPr>
  </w:style>
  <w:style w:type="character" w:customStyle="1" w:styleId="BoldandItalics">
    <w:name w:val="Bold and Italics"/>
    <w:qFormat/>
    <w:rsid w:val="008060AD"/>
    <w:rPr>
      <w:b/>
      <w:i/>
      <w:u w:val="none"/>
    </w:rPr>
  </w:style>
  <w:style w:type="paragraph" w:styleId="BalloonText">
    <w:name w:val="Balloon Text"/>
    <w:basedOn w:val="Normal"/>
    <w:link w:val="BalloonTextChar"/>
    <w:rsid w:val="00806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0AD"/>
    <w:pPr>
      <w:spacing w:before="0" w:after="0"/>
    </w:pPr>
  </w:style>
  <w:style w:type="paragraph" w:customStyle="1" w:styleId="BodyTextBold">
    <w:name w:val="Body Text Bold"/>
    <w:basedOn w:val="BodyText"/>
    <w:qFormat/>
    <w:rsid w:val="008060AD"/>
    <w:rPr>
      <w:b/>
    </w:rPr>
  </w:style>
  <w:style w:type="character" w:styleId="Hyperlink">
    <w:name w:val="Hyperlink"/>
    <w:basedOn w:val="DefaultParagraphFont"/>
    <w:uiPriority w:val="99"/>
    <w:unhideWhenUsed/>
    <w:rsid w:val="00115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2303</Characters>
  <Application>Microsoft Office Word</Application>
  <DocSecurity>0</DocSecurity>
  <Lines>71</Lines>
  <Paragraphs>47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PMBPREP201E Prepare moulds for composites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