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B3B" w:rsidP="00A07B3B">
      <w:pPr>
        <w:pStyle w:val="Title"/>
      </w:pPr>
      <w:r>
        <w:fldChar w:fldCharType="begin"/>
      </w:r>
      <w:r>
        <w:instrText xml:space="preserve"> TITLE   \* MERGEFORMAT </w:instrText>
      </w:r>
      <w:r>
        <w:fldChar w:fldCharType="separate"/>
      </w:r>
      <w:r>
        <w:t>PMASUP345A Monitor vibration</w:t>
      </w:r>
      <w:r>
        <w:fldChar w:fldCharType="end"/>
      </w:r>
    </w:p>
    <w:p w:rsidR="00A07B3B" w:rsidP="00A07B3B">
      <w:pPr>
        <w:pStyle w:val="Version"/>
        <w:sectPr w:rsidSect="003211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211EC" w:rsidP="003211EC">
      <w:pPr>
        <w:pStyle w:val="SuperHeading"/>
      </w:pPr>
      <w:r w:rsidRPr="003211EC">
        <w:t>PMASUP345A Monitor vibration</w:t>
      </w:r>
    </w:p>
    <w:p w:rsidR="00000000" w:rsidRPr="003211EC" w:rsidP="003211EC">
      <w:pPr>
        <w:pStyle w:val="SuperHeading"/>
      </w:pPr>
    </w:p>
    <w:p w:rsidR="00000000" w:rsidRPr="003211EC" w:rsidP="003211EC">
      <w:pPr>
        <w:pStyle w:val="Heading1"/>
      </w:pPr>
      <w:bookmarkStart w:id="1" w:name="O_107691"/>
      <w:bookmarkEnd w:id="1"/>
      <w:r w:rsidRPr="003211EC">
        <w:t>Modification History</w:t>
      </w:r>
    </w:p>
    <w:p w:rsidR="00000000" w:rsidRPr="003211EC" w:rsidP="003211EC">
      <w:pPr>
        <w:pStyle w:val="BodyText"/>
      </w:pPr>
      <w:r w:rsidRPr="003211EC">
        <w:t>Not applicable.</w:t>
      </w:r>
    </w:p>
    <w:p w:rsidR="00000000" w:rsidRPr="003211EC" w:rsidP="003211EC">
      <w:pPr>
        <w:pStyle w:val="AllowPageBreak"/>
      </w:pPr>
    </w:p>
    <w:p w:rsidR="00000000" w:rsidRPr="003211EC" w:rsidP="003211EC">
      <w:pPr>
        <w:pStyle w:val="Heading1"/>
      </w:pPr>
      <w:bookmarkStart w:id="2" w:name="O_107692"/>
      <w:bookmarkEnd w:id="2"/>
      <w:r w:rsidRPr="003211EC">
        <w:t>Unit Descriptor</w:t>
      </w:r>
    </w:p>
    <w:tbl>
      <w:tblPr>
        <w:tblW w:w="0" w:type="auto"/>
        <w:tblCellMar>
          <w:left w:w="62" w:type="dxa"/>
          <w:right w:w="62" w:type="dxa"/>
        </w:tblCellMar>
        <w:tblLook w:val="0000"/>
      </w:tblPr>
      <w:tblGrid>
        <w:gridCol w:w="2310"/>
        <w:gridCol w:w="6886"/>
      </w:tblGrid>
      <w:tr w:rsidTr="00A07B3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BodyText"/>
            </w:pPr>
            <w:r w:rsidRPr="003211EC">
              <w:t>This unit covers undertaking condition monitoring.</w:t>
            </w:r>
          </w:p>
        </w:tc>
      </w:tr>
    </w:tbl>
    <w:p w:rsidR="00000000" w:rsidRPr="003211EC" w:rsidP="003211EC">
      <w:pPr>
        <w:pStyle w:val="BodyText"/>
      </w:pPr>
    </w:p>
    <w:p w:rsidR="00000000" w:rsidRPr="003211EC" w:rsidP="003211EC">
      <w:pPr>
        <w:pStyle w:val="AllowPageBreak"/>
      </w:pPr>
    </w:p>
    <w:p w:rsidR="00000000" w:rsidRPr="003211EC" w:rsidP="003211EC">
      <w:pPr>
        <w:pStyle w:val="Heading1"/>
      </w:pPr>
      <w:bookmarkStart w:id="3" w:name="O_107693"/>
      <w:bookmarkEnd w:id="3"/>
      <w:r w:rsidRPr="003211EC">
        <w:t>Application of the Unit</w:t>
      </w:r>
    </w:p>
    <w:tbl>
      <w:tblPr>
        <w:tblW w:w="0" w:type="auto"/>
        <w:tblCellMar>
          <w:left w:w="62" w:type="dxa"/>
          <w:right w:w="62" w:type="dxa"/>
        </w:tblCellMar>
        <w:tblLook w:val="0000"/>
      </w:tblPr>
      <w:tblGrid>
        <w:gridCol w:w="2310"/>
        <w:gridCol w:w="6886"/>
      </w:tblGrid>
      <w:tr w:rsidTr="00A07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BodyText"/>
            </w:pPr>
            <w:r w:rsidRPr="003211EC">
              <w:t xml:space="preserve">This unit applies where specialist monitoring activities are undertaken as part of a preventive maintenance or total productive maintenance plan or program. </w:t>
            </w:r>
          </w:p>
          <w:p w:rsidR="00000000" w:rsidRPr="003211EC" w:rsidP="003211EC">
            <w:pPr>
              <w:pStyle w:val="BodyText"/>
            </w:pPr>
            <w:r w:rsidRPr="003211EC">
              <w:t>Work is undertaken autonomously or as part of a team environment.</w:t>
            </w:r>
          </w:p>
          <w:p w:rsidR="00000000" w:rsidRPr="003211EC" w:rsidP="003211EC">
            <w:pPr>
              <w:pStyle w:val="BodyText"/>
            </w:pPr>
            <w:r w:rsidRPr="003211EC">
              <w:t>Monitoring is undertaken in work</w:t>
            </w:r>
            <w:r w:rsidRPr="003211EC">
              <w:t xml:space="preserve">shop, laboratory or in situ environment; readings are undertaken to the accuracy of monitoring equipment limitations or to site specifications where applicable. </w:t>
            </w:r>
          </w:p>
          <w:p w:rsidR="00000000" w:rsidRPr="003211EC" w:rsidP="003211EC">
            <w:pPr>
              <w:pStyle w:val="BodyText"/>
            </w:pPr>
            <w:r w:rsidRPr="003211EC">
              <w:t>Results are recorded/plotted to predetermined procedure and technique.  All work and work proc</w:t>
            </w:r>
            <w:r w:rsidRPr="003211EC">
              <w:t xml:space="preserve">edures are undertaken to standard operating procedures and/or equipment manufacturer recommendations. </w:t>
            </w:r>
          </w:p>
          <w:p w:rsidR="00000000" w:rsidRPr="003211EC" w:rsidP="003211EC">
            <w:pPr>
              <w:pStyle w:val="BodyText"/>
            </w:pPr>
            <w:r w:rsidRPr="003211EC">
              <w:t>All work and work practices are undertaken to regulatory or legislative requirements.</w:t>
            </w:r>
          </w:p>
        </w:tc>
      </w:tr>
    </w:tbl>
    <w:p w:rsidR="00000000" w:rsidRPr="003211EC" w:rsidP="003211EC">
      <w:pPr>
        <w:pStyle w:val="BodyText"/>
      </w:pPr>
    </w:p>
    <w:p w:rsidR="00000000" w:rsidRPr="003211EC" w:rsidP="003211EC">
      <w:pPr>
        <w:pStyle w:val="AllowPageBreak"/>
      </w:pPr>
    </w:p>
    <w:p w:rsidR="00000000" w:rsidRPr="003211EC" w:rsidP="003211EC">
      <w:pPr>
        <w:pStyle w:val="Heading1"/>
      </w:pPr>
      <w:bookmarkStart w:id="4" w:name="O_107694"/>
      <w:bookmarkEnd w:id="4"/>
      <w:r w:rsidRPr="003211EC">
        <w:t>Licensing/Regulatory Information</w:t>
      </w:r>
    </w:p>
    <w:p w:rsidR="00000000" w:rsidRPr="003211EC" w:rsidP="003211EC">
      <w:pPr>
        <w:pStyle w:val="BodyText"/>
      </w:pPr>
      <w:r w:rsidRPr="003211EC">
        <w:t>Not applicable.</w:t>
      </w:r>
    </w:p>
    <w:p w:rsidR="00000000" w:rsidRPr="003211EC" w:rsidP="003211EC">
      <w:pPr>
        <w:pStyle w:val="AllowPageBreak"/>
      </w:pPr>
    </w:p>
    <w:p w:rsidR="00000000" w:rsidRPr="003211EC" w:rsidP="003211EC">
      <w:pPr>
        <w:pStyle w:val="Heading1"/>
      </w:pPr>
      <w:bookmarkStart w:id="5" w:name="O_107695"/>
      <w:bookmarkEnd w:id="5"/>
      <w:r w:rsidRPr="003211EC">
        <w:t>Pre-Requisites</w:t>
      </w:r>
    </w:p>
    <w:tbl>
      <w:tblPr>
        <w:tblW w:w="0" w:type="auto"/>
        <w:tblCellMar>
          <w:left w:w="62" w:type="dxa"/>
          <w:right w:w="62" w:type="dxa"/>
        </w:tblCellMar>
        <w:tblLook w:val="0000"/>
      </w:tblPr>
      <w:tblGrid>
        <w:gridCol w:w="2310"/>
        <w:gridCol w:w="3443"/>
        <w:gridCol w:w="3443"/>
      </w:tblGrid>
      <w:tr w:rsidTr="00A07B3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BodyText"/>
            </w:pPr>
          </w:p>
        </w:tc>
      </w:tr>
    </w:tbl>
    <w:p w:rsidR="00000000" w:rsidRPr="003211EC" w:rsidP="003211EC">
      <w:pPr>
        <w:pStyle w:val="BodyText"/>
      </w:pPr>
    </w:p>
    <w:p w:rsidR="00000000" w:rsidRPr="003211EC" w:rsidP="003211EC">
      <w:pPr>
        <w:pStyle w:val="AllowPageBreak"/>
      </w:pPr>
    </w:p>
    <w:p w:rsidR="00000000" w:rsidRPr="003211EC" w:rsidP="003211EC">
      <w:pPr>
        <w:pStyle w:val="Heading1"/>
      </w:pPr>
      <w:bookmarkStart w:id="6" w:name="O_107696"/>
      <w:bookmarkEnd w:id="6"/>
      <w:r w:rsidRPr="003211EC">
        <w:t>Employability Skills Information</w:t>
      </w:r>
    </w:p>
    <w:tbl>
      <w:tblPr>
        <w:tblW w:w="0" w:type="auto"/>
        <w:tblCellMar>
          <w:left w:w="62" w:type="dxa"/>
          <w:right w:w="62" w:type="dxa"/>
        </w:tblCellMar>
        <w:tblLook w:val="0000"/>
      </w:tblPr>
      <w:tblGrid>
        <w:gridCol w:w="2310"/>
        <w:gridCol w:w="6886"/>
      </w:tblGrid>
      <w:tr w:rsidTr="00A07B3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BodyText"/>
            </w:pPr>
            <w:r w:rsidRPr="003211EC">
              <w:t>This unit contains employability skills.</w:t>
            </w:r>
          </w:p>
        </w:tc>
      </w:tr>
    </w:tbl>
    <w:p w:rsidR="00000000" w:rsidRPr="003211EC" w:rsidP="003211EC">
      <w:pPr>
        <w:pStyle w:val="BodyText"/>
      </w:pPr>
    </w:p>
    <w:p w:rsidR="00000000" w:rsidRPr="003211EC" w:rsidP="003211EC">
      <w:pPr>
        <w:pStyle w:val="AllowPageBreak"/>
      </w:pPr>
    </w:p>
    <w:p w:rsidR="00000000" w:rsidRPr="003211EC" w:rsidP="003211EC">
      <w:pPr>
        <w:pStyle w:val="Heading1"/>
      </w:pPr>
      <w:bookmarkStart w:id="7" w:name="O_107697"/>
      <w:bookmarkEnd w:id="7"/>
      <w:r w:rsidRPr="003211EC">
        <w:t>Elements and Performance Criteria Pre-Content</w:t>
      </w:r>
    </w:p>
    <w:tbl>
      <w:tblPr>
        <w:tblW w:w="0" w:type="auto"/>
        <w:tblCellMar>
          <w:left w:w="62" w:type="dxa"/>
          <w:right w:w="62" w:type="dxa"/>
        </w:tblCellMar>
        <w:tblLook w:val="0000"/>
      </w:tblPr>
      <w:tblGrid>
        <w:gridCol w:w="2644"/>
        <w:gridCol w:w="6552"/>
      </w:tblGrid>
      <w:tr w:rsidTr="00A07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BodyText"/>
            </w:pPr>
            <w:r w:rsidRPr="003211EC">
              <w:t xml:space="preserve">Performance criteria describe the performance needed to demonstrate achievement of the element.  Where bold italicised text is used, further </w:t>
            </w:r>
            <w:r w:rsidRPr="003211EC">
              <w:t>information is detailed in the required skills and knowledge section and the range statement.  Assessment of performance is to be consistent with the evidence guide.</w:t>
            </w:r>
          </w:p>
        </w:tc>
      </w:tr>
    </w:tbl>
    <w:p w:rsidR="00000000" w:rsidRPr="003211EC" w:rsidP="003211EC">
      <w:pPr>
        <w:pStyle w:val="BodyText"/>
      </w:pPr>
    </w:p>
    <w:p w:rsidR="00000000" w:rsidRPr="003211EC" w:rsidP="003211EC">
      <w:pPr>
        <w:pStyle w:val="AllowPageBreak"/>
      </w:pPr>
    </w:p>
    <w:p w:rsidR="00000000" w:rsidRPr="003211EC" w:rsidP="003211EC">
      <w:pPr>
        <w:pStyle w:val="Heading1"/>
      </w:pPr>
      <w:bookmarkStart w:id="8" w:name="O_107698"/>
      <w:bookmarkEnd w:id="8"/>
      <w:r w:rsidRPr="003211EC">
        <w:t>Elements and Performance Criteria</w:t>
      </w:r>
    </w:p>
    <w:tbl>
      <w:tblPr>
        <w:tblW w:w="0" w:type="auto"/>
        <w:tblCellMar>
          <w:left w:w="62" w:type="dxa"/>
          <w:right w:w="62" w:type="dxa"/>
        </w:tblCellMar>
        <w:tblLook w:val="0000"/>
      </w:tblPr>
      <w:tblGrid>
        <w:gridCol w:w="2644"/>
        <w:gridCol w:w="6552"/>
      </w:tblGrid>
      <w:tr w:rsidTr="00A07B3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BodyText"/>
            </w:pPr>
            <w:r w:rsidRPr="003211EC">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PERFORMANCE CRITERIA</w:t>
            </w:r>
          </w:p>
        </w:tc>
      </w:tr>
      <w:tr w:rsidTr="00A07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List"/>
              <w:rPr>
                <w:lang w:val="en-NZ"/>
              </w:rPr>
            </w:pPr>
            <w:r w:rsidRPr="003211EC">
              <w:t>1.</w:t>
            </w:r>
            <w:r w:rsidRPr="003211EC">
              <w:tab/>
              <w:t>Unde</w:t>
            </w:r>
            <w:r w:rsidRPr="003211EC">
              <w:t>rtake condition monitoring.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List2"/>
            </w:pPr>
            <w:r w:rsidRPr="003211EC">
              <w:t>1.1.</w:t>
            </w:r>
            <w:r w:rsidRPr="003211EC">
              <w:tab/>
              <w:t>Principles and methods of equipment condition monitoring are understood and applied</w:t>
            </w:r>
          </w:p>
          <w:p w:rsidR="00000000" w:rsidRPr="003211EC" w:rsidP="003211EC">
            <w:pPr>
              <w:pStyle w:val="List2"/>
            </w:pPr>
            <w:r w:rsidRPr="003211EC">
              <w:t>1.2.</w:t>
            </w:r>
            <w:r w:rsidRPr="003211EC">
              <w:tab/>
              <w:t>Appropriate condition monitoring technique is selected to achieve required outcomes.</w:t>
            </w:r>
          </w:p>
          <w:p w:rsidR="00000000" w:rsidRPr="003211EC" w:rsidP="003211EC">
            <w:pPr>
              <w:pStyle w:val="List2"/>
            </w:pPr>
            <w:r w:rsidRPr="003211EC">
              <w:t>1.3.</w:t>
            </w:r>
            <w:r w:rsidRPr="003211EC">
              <w:tab/>
            </w:r>
            <w:r w:rsidRPr="003211EC">
              <w:t>Checks are undertaken correctly, safely and to standard operating procedures.</w:t>
            </w:r>
          </w:p>
          <w:p w:rsidR="00000000" w:rsidRPr="003211EC" w:rsidP="003211EC">
            <w:pPr>
              <w:pStyle w:val="List2"/>
            </w:pPr>
            <w:r w:rsidRPr="003211EC">
              <w:t>1.4.</w:t>
            </w:r>
            <w:r w:rsidRPr="003211EC">
              <w:tab/>
              <w:t>Results are plotted and deviations from specification are reported to appropriate authority and recorded.</w:t>
            </w:r>
          </w:p>
        </w:tc>
      </w:tr>
    </w:tbl>
    <w:p w:rsidR="00000000" w:rsidRPr="003211EC" w:rsidP="003211EC">
      <w:pPr>
        <w:pStyle w:val="BodyText"/>
      </w:pPr>
    </w:p>
    <w:p w:rsidR="00000000" w:rsidRPr="003211EC" w:rsidP="003211EC">
      <w:pPr>
        <w:pStyle w:val="AllowPageBreak"/>
      </w:pPr>
    </w:p>
    <w:p w:rsidR="00000000" w:rsidRPr="003211EC" w:rsidP="003211EC">
      <w:pPr>
        <w:pStyle w:val="Heading1"/>
      </w:pPr>
      <w:bookmarkStart w:id="9" w:name="O_107699"/>
      <w:bookmarkEnd w:id="9"/>
      <w:r w:rsidRPr="003211EC">
        <w:t>Required Skills and Knowledge</w:t>
      </w:r>
    </w:p>
    <w:tbl>
      <w:tblPr>
        <w:tblW w:w="0" w:type="auto"/>
        <w:tblCellMar>
          <w:left w:w="62" w:type="dxa"/>
          <w:right w:w="62" w:type="dxa"/>
        </w:tblCellMar>
        <w:tblLook w:val="0000"/>
      </w:tblPr>
      <w:tblGrid>
        <w:gridCol w:w="9196"/>
      </w:tblGrid>
      <w:tr w:rsidTr="00A07B3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REQUIRED SKILLS AN</w:t>
            </w:r>
            <w:r w:rsidRPr="003211EC">
              <w:rPr>
                <w:rStyle w:val="SpecialBold"/>
              </w:rPr>
              <w:t>D KNOWLEDGE</w:t>
            </w:r>
          </w:p>
        </w:tc>
      </w:tr>
      <w:tr w:rsidTr="00A07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t>This describes the essential skills and knowledge and their level, required for this unit.</w:t>
            </w:r>
          </w:p>
        </w:tc>
      </w:tr>
      <w:tr w:rsidTr="00A07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Required skills</w:t>
            </w:r>
          </w:p>
        </w:tc>
      </w:tr>
      <w:tr w:rsidTr="00A07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ListBullet"/>
            </w:pPr>
            <w:r w:rsidRPr="003211EC">
              <w:t xml:space="preserve">recording results </w:t>
            </w:r>
          </w:p>
          <w:p w:rsidR="00000000" w:rsidP="003211EC">
            <w:pPr>
              <w:pStyle w:val="ListBullet"/>
              <w:rPr>
                <w:lang w:val="en-NZ"/>
              </w:rPr>
            </w:pPr>
            <w:r w:rsidRPr="003211EC">
              <w:t>preparing and submitting deviation reports.</w:t>
            </w:r>
          </w:p>
        </w:tc>
      </w:tr>
      <w:tr w:rsidTr="00A07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Required knowledge</w:t>
            </w:r>
          </w:p>
        </w:tc>
      </w:tr>
      <w:tr w:rsidTr="00A07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BodyText"/>
            </w:pPr>
            <w:r w:rsidRPr="003211EC">
              <w:t>Look for evidence that confirms knowledge of:</w:t>
            </w:r>
          </w:p>
          <w:p w:rsidR="00000000" w:rsidRPr="003211EC" w:rsidP="003211EC">
            <w:pPr>
              <w:pStyle w:val="ListBullet"/>
            </w:pPr>
            <w:r w:rsidRPr="003211EC">
              <w:t>the application of principles and methods for a variety of situations</w:t>
            </w:r>
          </w:p>
          <w:p w:rsidR="00000000" w:rsidRPr="003211EC" w:rsidP="003211EC">
            <w:pPr>
              <w:pStyle w:val="ListBullet"/>
            </w:pPr>
            <w:r w:rsidRPr="003211EC">
              <w:t>appropriate records for a variety of situations</w:t>
            </w:r>
          </w:p>
          <w:p w:rsidR="00000000" w:rsidRPr="003211EC" w:rsidP="003211EC">
            <w:pPr>
              <w:pStyle w:val="ListBullet"/>
            </w:pPr>
            <w:r w:rsidRPr="003211EC">
              <w:t>hazards and control measures associated with equipment monitoring, including housekeeping</w:t>
            </w:r>
          </w:p>
          <w:p w:rsidR="00000000" w:rsidRPr="003211EC" w:rsidP="003211EC">
            <w:pPr>
              <w:pStyle w:val="ListBullet"/>
            </w:pPr>
            <w:r w:rsidRPr="003211EC">
              <w:t>use and application of personal protective equip</w:t>
            </w:r>
            <w:r w:rsidRPr="003211EC">
              <w:t>ment</w:t>
            </w:r>
          </w:p>
          <w:p w:rsidR="00000000" w:rsidRPr="003211EC" w:rsidP="003211EC">
            <w:pPr>
              <w:pStyle w:val="ListBullet"/>
            </w:pPr>
            <w:r w:rsidRPr="003211EC">
              <w:t>safe work practices and procedures</w:t>
            </w:r>
          </w:p>
        </w:tc>
      </w:tr>
    </w:tbl>
    <w:p w:rsidR="00000000" w:rsidRPr="003211EC" w:rsidP="003211EC">
      <w:pPr>
        <w:pStyle w:val="BodyText"/>
      </w:pPr>
    </w:p>
    <w:p w:rsidR="00000000" w:rsidRPr="003211EC" w:rsidP="003211EC">
      <w:pPr>
        <w:pStyle w:val="AllowPageBreak"/>
      </w:pPr>
    </w:p>
    <w:p w:rsidR="00000000" w:rsidRPr="003211EC" w:rsidP="003211EC">
      <w:pPr>
        <w:pStyle w:val="Heading1"/>
      </w:pPr>
      <w:bookmarkStart w:id="10" w:name="O_107700"/>
      <w:bookmarkEnd w:id="10"/>
      <w:r w:rsidRPr="003211EC">
        <w:t>Evidence Guide</w:t>
      </w:r>
    </w:p>
    <w:tbl>
      <w:tblPr>
        <w:tblW w:w="0" w:type="auto"/>
        <w:tblCellMar>
          <w:left w:w="62" w:type="dxa"/>
          <w:right w:w="62" w:type="dxa"/>
        </w:tblCellMar>
        <w:tblLook w:val="0000"/>
      </w:tblPr>
      <w:tblGrid>
        <w:gridCol w:w="2515"/>
        <w:gridCol w:w="6681"/>
      </w:tblGrid>
      <w:tr w:rsidTr="00A07B3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EVIDENCE GUIDE</w:t>
            </w:r>
          </w:p>
        </w:tc>
      </w:tr>
      <w:tr w:rsidTr="00A07B3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t xml:space="preserve">The Evidence Guide provides advice on assessment and must be read in conjunction with the Performance Criteria, Required Skills and Knowledge, </w:t>
            </w:r>
            <w:r w:rsidRPr="003211EC">
              <w:t>the Range Statement and the Assessment Guidelines for the Training Package.</w:t>
            </w:r>
          </w:p>
        </w:tc>
      </w:tr>
      <w:tr w:rsidTr="00A07B3B">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BodyText"/>
            </w:pPr>
            <w:r w:rsidRPr="003211EC">
              <w:t>Assessment of this unit should include demonstrated competence on actual plant and equipment in a work environment.  The unit will be assessed in as holist</w:t>
            </w:r>
            <w:r w:rsidRPr="003211EC">
              <w:t>ic a manner as is practical and may be integrated with the assessment of other relevant units of competency.  Assessment will occur over a range of situations which will include a range of problems, problem causes and environments.</w:t>
            </w:r>
          </w:p>
          <w:p w:rsidR="00000000" w:rsidRPr="003211EC" w:rsidP="003211EC">
            <w:pPr>
              <w:pStyle w:val="BodyText"/>
            </w:pPr>
            <w:r w:rsidRPr="003211EC">
              <w:t>Simulation may be requir</w:t>
            </w:r>
            <w:r w:rsidRPr="003211EC">
              <w:t>ed to allow for assessment of parts of this unit.  Simulation should be based on the actual problems and should include the use of case studies/scenarios and role plays.</w:t>
            </w:r>
          </w:p>
          <w:p w:rsidR="00000000" w:rsidP="003211EC">
            <w:pPr>
              <w:pStyle w:val="BodyText"/>
              <w:rPr>
                <w:lang w:val="en-NZ"/>
              </w:rPr>
            </w:pPr>
            <w:r w:rsidRPr="003211EC">
              <w:t>This unit of competency requires a significant body of knowledge which will be assesse</w:t>
            </w:r>
            <w:r w:rsidRPr="003211EC">
              <w:t>d through questioning and the use of what-if scenarios.</w:t>
            </w:r>
          </w:p>
        </w:tc>
      </w:tr>
      <w:tr w:rsidTr="00A07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BodyText"/>
            </w:pPr>
            <w:r w:rsidRPr="003211EC">
              <w:t>Competence must be demonstrated in the ability to define and analyse the problem as well as deal with the stakeholders.  The stakeholders should be satisfied with the solution, as well as the solution being technically sound.</w:t>
            </w:r>
          </w:p>
          <w:p w:rsidR="00000000" w:rsidRPr="003211EC" w:rsidP="003211EC">
            <w:pPr>
              <w:pStyle w:val="BodyText"/>
            </w:pPr>
            <w:r w:rsidRPr="003211EC">
              <w:t xml:space="preserve">Consistent performance should </w:t>
            </w:r>
            <w:r w:rsidRPr="003211EC">
              <w:t>be demonstrated.  In particular look to see that:</w:t>
            </w:r>
          </w:p>
          <w:p w:rsidR="00000000" w:rsidRPr="003211EC" w:rsidP="003211EC">
            <w:pPr>
              <w:pStyle w:val="ListBullet"/>
            </w:pPr>
            <w:r w:rsidRPr="003211EC">
              <w:t>early warning signs of equipment/processes needing attention or with potential problems are recognised</w:t>
            </w:r>
          </w:p>
          <w:p w:rsidR="00000000" w:rsidRPr="003211EC" w:rsidP="003211EC">
            <w:pPr>
              <w:pStyle w:val="ListBullet"/>
            </w:pPr>
            <w:r w:rsidRPr="003211EC">
              <w:t>the range of possible causes can be identified and analysed and the most likely cause determined</w:t>
            </w:r>
          </w:p>
          <w:p w:rsidR="00000000" w:rsidRPr="003211EC" w:rsidP="003211EC">
            <w:pPr>
              <w:pStyle w:val="ListBullet"/>
            </w:pPr>
            <w:r w:rsidRPr="003211EC">
              <w:t>appro</w:t>
            </w:r>
            <w:r w:rsidRPr="003211EC">
              <w:t>priate action is taken to ensure a timely return to full performance</w:t>
            </w:r>
          </w:p>
          <w:p w:rsidR="00000000" w:rsidRPr="003211EC" w:rsidP="003211EC">
            <w:pPr>
              <w:pStyle w:val="ListBullet"/>
            </w:pPr>
            <w:r w:rsidRPr="003211EC">
              <w:t>obvious problems in related plant areas are recognised and an appropriate contribution made to their solution.</w:t>
            </w:r>
          </w:p>
          <w:p w:rsidR="00000000" w:rsidP="003211EC">
            <w:pPr>
              <w:pStyle w:val="BodyText"/>
              <w:rPr>
                <w:lang w:val="en-NZ"/>
              </w:rPr>
            </w:pPr>
            <w:r w:rsidRPr="003211EC">
              <w:t>These aspects may be best assessed using a range of scenarios/case studies/w</w:t>
            </w:r>
            <w:r w:rsidRPr="003211EC">
              <w:t>hat-ifs as the stimulus with a walk through forming part of the response.  These assessment activities should include a range of problems, including new, unusual and improbable situations, which may have been generated from the past incident history of the</w:t>
            </w:r>
            <w:r w:rsidRPr="003211EC">
              <w:t xml:space="preserve"> equipment, incidents on similar equipment around the world, hazard analysis activities and similar sources.</w:t>
            </w:r>
          </w:p>
        </w:tc>
      </w:tr>
      <w:tr w:rsidTr="00A07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t>As a general rule assessment will require access to an operating plant over an extended period of time, or a suitable method of gathering evidence of operating competence over a range of situations.  A bank of scenarios/case studies/what-ifs will be requir</w:t>
            </w:r>
            <w:r w:rsidRPr="003211EC">
              <w:t xml:space="preserve">ed as will a bank of questions which will be used to probe the reasoning behind the observable actions. </w:t>
            </w:r>
          </w:p>
        </w:tc>
      </w:tr>
      <w:tr w:rsidTr="00A07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Method of assessment</w:t>
            </w:r>
            <w:r w:rsidRPr="003211EC">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t>In all plants it may be appropriate to assess this unit concurrently with relevant teamwork and communication units.</w:t>
            </w:r>
          </w:p>
        </w:tc>
      </w:tr>
      <w:tr w:rsidTr="00A07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Guidance i</w:t>
            </w:r>
            <w:r w:rsidRPr="003211EC">
              <w:rPr>
                <w:rStyle w:val="SpecialBold"/>
              </w:rPr>
              <w:t>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BodyText"/>
            </w:pPr>
            <w:r w:rsidRPr="003211EC">
              <w:t>Assessment processes and techniques must be culturally appropriate and appropriate to the oracy, language and literacy capacity of the assessee and the work being performed.</w:t>
            </w:r>
          </w:p>
        </w:tc>
      </w:tr>
    </w:tbl>
    <w:p w:rsidR="00000000" w:rsidRPr="003211EC" w:rsidP="003211EC">
      <w:pPr>
        <w:pStyle w:val="BodyText"/>
      </w:pPr>
    </w:p>
    <w:p w:rsidR="00000000" w:rsidRPr="003211EC" w:rsidP="003211EC">
      <w:pPr>
        <w:pStyle w:val="AllowPageBreak"/>
      </w:pPr>
    </w:p>
    <w:p w:rsidR="00000000" w:rsidRPr="003211EC" w:rsidP="003211EC">
      <w:pPr>
        <w:pStyle w:val="Heading1"/>
      </w:pPr>
      <w:bookmarkStart w:id="11" w:name="O_107701"/>
      <w:bookmarkEnd w:id="11"/>
      <w:r w:rsidRPr="003211EC">
        <w:t>Range Statement</w:t>
      </w:r>
    </w:p>
    <w:tbl>
      <w:tblPr>
        <w:tblW w:w="0" w:type="auto"/>
        <w:tblCellMar>
          <w:left w:w="62" w:type="dxa"/>
          <w:right w:w="62" w:type="dxa"/>
        </w:tblCellMar>
        <w:tblLook w:val="0000"/>
      </w:tblPr>
      <w:tblGrid>
        <w:gridCol w:w="2510"/>
        <w:gridCol w:w="6686"/>
      </w:tblGrid>
      <w:tr w:rsidTr="00A07B3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RANGE STATEMENT</w:t>
            </w:r>
          </w:p>
        </w:tc>
      </w:tr>
      <w:tr w:rsidTr="00A07B3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t>The Range Statement relates to the unit of competency as a whole. It allows for different work environments and situations that may affect performance. Bold italicised wording, if used in the Performance Criteria, is detailed below. Add any essential opera</w:t>
            </w:r>
            <w:r w:rsidRPr="003211EC">
              <w:t>ting conditions that may be present with training and assessment depending on the work situation, needs if the candidate, accessibility of the item, and local industry and regional contexts.</w:t>
            </w:r>
          </w:p>
        </w:tc>
      </w:tr>
      <w:tr w:rsidTr="00A07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Codes of practice</w:t>
            </w:r>
            <w:r w:rsidRPr="003211EC">
              <w:t xml:space="preserve">/ </w:t>
            </w:r>
            <w:r w:rsidRPr="003211EC">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t>Where reference is made to industr</w:t>
            </w:r>
            <w:r w:rsidRPr="003211EC">
              <w:t>y codes of practice, and/or Australian/international standards, the latest version must be used.</w:t>
            </w:r>
          </w:p>
        </w:tc>
      </w:tr>
      <w:tr w:rsidTr="00A07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BodyText"/>
            </w:pPr>
            <w:r w:rsidRPr="003211EC">
              <w:t>This unit of competency includes monitoring equipment, including:</w:t>
            </w:r>
          </w:p>
          <w:p w:rsidR="00000000" w:rsidRPr="003211EC" w:rsidP="003211EC">
            <w:pPr>
              <w:pStyle w:val="ListBullet"/>
            </w:pPr>
            <w:r w:rsidRPr="003211EC">
              <w:t>built-in systems (software and site displays)</w:t>
            </w:r>
          </w:p>
          <w:p w:rsidR="00000000" w:rsidRPr="003211EC" w:rsidP="003211EC">
            <w:pPr>
              <w:pStyle w:val="ListBullet"/>
            </w:pPr>
            <w:r w:rsidRPr="003211EC">
              <w:t>portable meters or devices</w:t>
            </w:r>
          </w:p>
          <w:p w:rsidR="00000000" w:rsidRPr="003211EC" w:rsidP="003211EC">
            <w:pPr>
              <w:pStyle w:val="ListBullet"/>
            </w:pPr>
            <w:r w:rsidRPr="003211EC">
              <w:t>vibration monitors</w:t>
            </w:r>
          </w:p>
          <w:p w:rsidR="00000000" w:rsidP="003211EC">
            <w:pPr>
              <w:pStyle w:val="ListBullet"/>
              <w:rPr>
                <w:lang w:val="en-NZ"/>
              </w:rPr>
            </w:pPr>
            <w:r w:rsidRPr="003211EC">
              <w:t>infra-red and ultra-violet, non-destructive testing</w:t>
            </w:r>
          </w:p>
        </w:tc>
      </w:tr>
      <w:tr w:rsidTr="00A07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Health</w:t>
            </w:r>
            <w:r w:rsidRPr="003211EC">
              <w:t xml:space="preserve">, </w:t>
            </w:r>
            <w:r w:rsidRPr="003211EC">
              <w:rPr>
                <w:rStyle w:val="SpecialBold"/>
              </w:rPr>
              <w:t>safety and environment</w:t>
            </w:r>
            <w:r w:rsidRPr="003211EC">
              <w:t xml:space="preserve"> (</w:t>
            </w:r>
            <w:r w:rsidRPr="003211EC">
              <w:rPr>
                <w:rStyle w:val="SpecialBold"/>
              </w:rPr>
              <w:t>HSE</w:t>
            </w:r>
            <w:r w:rsidRPr="003211EC">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BodyText"/>
            </w:pPr>
            <w:r w:rsidRPr="003211EC">
              <w:t xml:space="preserve">All operations to which this unit applies are subject to stringent health, safety and environment requirements, which may be imposed through State </w:t>
            </w:r>
            <w:r w:rsidRPr="003211EC">
              <w:t>or Federal legislation, and these must not be compromised at any time.  Where there is an apparent conflict between Performance Criteria and HSE requirements, the HSE requirements take precedence.</w:t>
            </w:r>
          </w:p>
        </w:tc>
      </w:tr>
    </w:tbl>
    <w:p w:rsidR="00A07B3B" w:rsidP="003211EC">
      <w:pPr>
        <w:pStyle w:val="BodyText"/>
      </w:pPr>
    </w:p>
    <w:p w:rsidR="00A07B3B" w:rsidP="003211EC">
      <w:pPr>
        <w:pStyle w:val="BodyText"/>
      </w:pPr>
    </w:p>
    <w:p w:rsidR="00000000" w:rsidRPr="003211EC" w:rsidP="003211EC">
      <w:pPr>
        <w:pStyle w:val="Heading1"/>
      </w:pPr>
      <w:bookmarkStart w:id="12" w:name="O_107702"/>
      <w:bookmarkEnd w:id="12"/>
      <w:r w:rsidRPr="003211EC">
        <w:t>Unit Sector(s)</w:t>
      </w:r>
    </w:p>
    <w:tbl>
      <w:tblPr>
        <w:tblW w:w="0" w:type="auto"/>
        <w:tblCellMar>
          <w:left w:w="62" w:type="dxa"/>
          <w:right w:w="62" w:type="dxa"/>
        </w:tblCellMar>
        <w:tblLook w:val="0000"/>
      </w:tblPr>
      <w:tblGrid>
        <w:gridCol w:w="2310"/>
        <w:gridCol w:w="6886"/>
      </w:tblGrid>
      <w:tr w:rsidTr="00A07B3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BodyText"/>
            </w:pPr>
            <w:r w:rsidRPr="003211EC">
              <w:t>Operational/technical</w:t>
            </w:r>
          </w:p>
        </w:tc>
      </w:tr>
    </w:tbl>
    <w:p w:rsidR="00000000" w:rsidRPr="003211EC" w:rsidP="003211EC">
      <w:pPr>
        <w:pStyle w:val="BodyText"/>
      </w:pPr>
    </w:p>
    <w:p w:rsidR="00000000" w:rsidRPr="003211EC" w:rsidP="003211EC">
      <w:pPr>
        <w:pStyle w:val="AllowPageBreak"/>
      </w:pPr>
    </w:p>
    <w:p w:rsidR="00000000" w:rsidRPr="003211EC" w:rsidP="003211EC">
      <w:pPr>
        <w:pStyle w:val="Heading1"/>
      </w:pPr>
      <w:bookmarkStart w:id="13" w:name="O_160071"/>
      <w:bookmarkEnd w:id="13"/>
      <w:r w:rsidRPr="003211EC">
        <w:t>Competency field</w:t>
      </w:r>
    </w:p>
    <w:tbl>
      <w:tblPr>
        <w:tblW w:w="0" w:type="auto"/>
        <w:tblCellMar>
          <w:left w:w="62" w:type="dxa"/>
          <w:right w:w="62" w:type="dxa"/>
        </w:tblCellMar>
        <w:tblLook w:val="0000"/>
      </w:tblPr>
      <w:tblGrid>
        <w:gridCol w:w="2310"/>
        <w:gridCol w:w="6886"/>
      </w:tblGrid>
      <w:tr w:rsidTr="00A07B3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BodyText"/>
            </w:pPr>
          </w:p>
        </w:tc>
      </w:tr>
    </w:tbl>
    <w:p w:rsidR="00000000" w:rsidRPr="003211EC" w:rsidP="003211EC">
      <w:pPr>
        <w:pStyle w:val="BodyText"/>
      </w:pPr>
    </w:p>
    <w:p w:rsidR="00000000" w:rsidRPr="003211EC" w:rsidP="003211EC">
      <w:pPr>
        <w:pStyle w:val="AllowPageBreak"/>
      </w:pPr>
    </w:p>
    <w:p w:rsidR="00000000" w:rsidRPr="003211EC" w:rsidP="003211EC">
      <w:pPr>
        <w:pStyle w:val="Heading1"/>
      </w:pPr>
      <w:bookmarkStart w:id="14" w:name="O_160070"/>
      <w:bookmarkEnd w:id="14"/>
      <w:r w:rsidRPr="003211EC">
        <w:t>Co-requisite units</w:t>
      </w:r>
    </w:p>
    <w:tbl>
      <w:tblPr>
        <w:tblW w:w="0" w:type="auto"/>
        <w:tblCellMar>
          <w:left w:w="62" w:type="dxa"/>
          <w:right w:w="62" w:type="dxa"/>
        </w:tblCellMar>
        <w:tblLook w:val="0000"/>
      </w:tblPr>
      <w:tblGrid>
        <w:gridCol w:w="2310"/>
        <w:gridCol w:w="3443"/>
        <w:gridCol w:w="3443"/>
      </w:tblGrid>
      <w:tr w:rsidTr="00A07B3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1EC">
            <w:pPr>
              <w:pStyle w:val="BodyText"/>
              <w:rPr>
                <w:lang w:val="en-NZ"/>
              </w:rPr>
            </w:pPr>
            <w:r w:rsidRPr="003211EC">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1EC" w:rsidP="003211EC">
            <w:pPr>
              <w:pStyle w:val="BodyText"/>
            </w:pPr>
          </w:p>
        </w:tc>
      </w:tr>
    </w:tbl>
    <w:p w:rsidR="00000000" w:rsidRPr="003211EC" w:rsidP="003211EC">
      <w:pPr>
        <w:pStyle w:val="BodyText"/>
      </w:pPr>
    </w:p>
    <w:p w:rsidR="00000000" w:rsidRPr="003211EC" w:rsidP="003211EC"/>
    <w:sectPr w:rsidSect="003211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B3B" w:rsidP="00A07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3B" w:rsidP="003211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07B3B" w:rsidP="003211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07B3B" w:rsidP="003211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B3B" w:rsidP="00A07B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3B" w:rsidP="003211EC">
    <w:pPr>
      <w:pStyle w:val="Header"/>
      <w:framePr w:wrap="around"/>
    </w:pPr>
    <w:r>
      <w:fldChar w:fldCharType="begin"/>
    </w:r>
    <w:r>
      <w:instrText xml:space="preserve"> TITLE   \* MERGEFORMAT </w:instrText>
    </w:r>
    <w:r>
      <w:fldChar w:fldCharType="separate"/>
    </w:r>
    <w:r>
      <w:t>PMASUP345A Monitor vibration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7B3B" w:rsidP="003211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0225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50D3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1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11EC"/>
    <w:pPr>
      <w:spacing w:before="360" w:after="60"/>
      <w:outlineLvl w:val="0"/>
    </w:pPr>
    <w:rPr>
      <w:sz w:val="32"/>
    </w:rPr>
  </w:style>
  <w:style w:type="paragraph" w:styleId="Heading2">
    <w:name w:val="heading 2"/>
    <w:basedOn w:val="HeadingBase"/>
    <w:next w:val="BodyText"/>
    <w:link w:val="Heading2Char"/>
    <w:qFormat/>
    <w:rsid w:val="003211EC"/>
    <w:pPr>
      <w:keepLines/>
      <w:spacing w:before="240" w:after="120"/>
      <w:outlineLvl w:val="1"/>
    </w:pPr>
    <w:rPr>
      <w:sz w:val="28"/>
      <w:szCs w:val="40"/>
    </w:rPr>
  </w:style>
  <w:style w:type="paragraph" w:styleId="Heading3">
    <w:name w:val="heading 3"/>
    <w:basedOn w:val="HeadingBase"/>
    <w:next w:val="BodyText"/>
    <w:link w:val="Heading3Char"/>
    <w:qFormat/>
    <w:rsid w:val="003211EC"/>
    <w:pPr>
      <w:spacing w:before="180" w:after="120"/>
      <w:outlineLvl w:val="2"/>
    </w:pPr>
    <w:rPr>
      <w:spacing w:val="-10"/>
      <w:kern w:val="32"/>
    </w:rPr>
  </w:style>
  <w:style w:type="paragraph" w:styleId="Heading4">
    <w:name w:val="heading 4"/>
    <w:basedOn w:val="HeadingBase"/>
    <w:next w:val="BodyText"/>
    <w:link w:val="Heading4Char"/>
    <w:qFormat/>
    <w:rsid w:val="003211EC"/>
    <w:pPr>
      <w:spacing w:before="160" w:after="120"/>
      <w:outlineLvl w:val="3"/>
    </w:pPr>
    <w:rPr>
      <w:sz w:val="22"/>
    </w:rPr>
  </w:style>
  <w:style w:type="paragraph" w:styleId="Heading5">
    <w:name w:val="heading 5"/>
    <w:basedOn w:val="HeadingBase"/>
    <w:next w:val="Normal"/>
    <w:link w:val="Heading5Char"/>
    <w:qFormat/>
    <w:rsid w:val="003211EC"/>
    <w:pPr>
      <w:spacing w:before="80"/>
      <w:outlineLvl w:val="4"/>
    </w:pPr>
    <w:rPr>
      <w:color w:val="918585"/>
      <w:sz w:val="20"/>
    </w:rPr>
  </w:style>
  <w:style w:type="paragraph" w:styleId="Heading6">
    <w:name w:val="heading 6"/>
    <w:basedOn w:val="HeadingBase"/>
    <w:next w:val="Normal"/>
    <w:link w:val="Heading6Char"/>
    <w:qFormat/>
    <w:rsid w:val="003211EC"/>
    <w:pPr>
      <w:spacing w:before="60"/>
      <w:outlineLvl w:val="5"/>
    </w:pPr>
    <w:rPr>
      <w:color w:val="918585"/>
      <w:sz w:val="20"/>
    </w:rPr>
  </w:style>
  <w:style w:type="paragraph" w:styleId="Heading7">
    <w:name w:val="heading 7"/>
    <w:basedOn w:val="Normal"/>
    <w:next w:val="Normal"/>
    <w:link w:val="Heading7Char"/>
    <w:qFormat/>
    <w:rsid w:val="003211EC"/>
    <w:pPr>
      <w:ind w:left="720"/>
      <w:outlineLvl w:val="6"/>
    </w:pPr>
    <w:rPr>
      <w:i/>
    </w:rPr>
  </w:style>
  <w:style w:type="paragraph" w:styleId="Heading8">
    <w:name w:val="heading 8"/>
    <w:basedOn w:val="Normal"/>
    <w:next w:val="Normal"/>
    <w:link w:val="Heading8Char"/>
    <w:qFormat/>
    <w:rsid w:val="003211EC"/>
    <w:pPr>
      <w:ind w:left="720"/>
      <w:outlineLvl w:val="7"/>
    </w:pPr>
    <w:rPr>
      <w:i/>
    </w:rPr>
  </w:style>
  <w:style w:type="paragraph" w:styleId="Heading9">
    <w:name w:val="heading 9"/>
    <w:basedOn w:val="Normal"/>
    <w:next w:val="Normal"/>
    <w:link w:val="Heading9Char"/>
    <w:qFormat/>
    <w:rsid w:val="003211EC"/>
    <w:pPr>
      <w:ind w:left="720"/>
      <w:outlineLvl w:val="8"/>
    </w:pPr>
    <w:rPr>
      <w:i/>
    </w:rPr>
  </w:style>
  <w:style w:type="character" w:default="1" w:styleId="DefaultParagraphFont">
    <w:name w:val="Default Paragraph Font"/>
    <w:uiPriority w:val="1"/>
    <w:unhideWhenUsed/>
    <w:rsid w:val="00321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1EC"/>
  </w:style>
  <w:style w:type="character" w:customStyle="1" w:styleId="Heading1Char">
    <w:name w:val="Heading 1 Char"/>
    <w:basedOn w:val="DefaultParagraphFont"/>
    <w:link w:val="Heading1"/>
    <w:rsid w:val="003211EC"/>
    <w:rPr>
      <w:rFonts w:ascii="Times New Roman" w:eastAsia="Times New Roman" w:hAnsi="Times New Roman" w:cs="Times New Roman"/>
      <w:b/>
      <w:sz w:val="32"/>
      <w:szCs w:val="20"/>
      <w:lang w:eastAsia="en-US"/>
    </w:rPr>
  </w:style>
  <w:style w:type="paragraph" w:styleId="BodyText">
    <w:name w:val="Body Text"/>
    <w:basedOn w:val="Normal"/>
    <w:link w:val="BodyTextChar"/>
    <w:rsid w:val="003211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1EC"/>
    <w:rPr>
      <w:rFonts w:ascii="Times New Roman" w:eastAsia="Times New Roman" w:hAnsi="Times New Roman" w:cs="Times New Roman"/>
      <w:sz w:val="24"/>
      <w:lang w:val="en-US" w:eastAsia="en-US"/>
    </w:rPr>
  </w:style>
  <w:style w:type="paragraph" w:styleId="Footer">
    <w:name w:val="footer"/>
    <w:basedOn w:val="Normal"/>
    <w:link w:val="FooterChar"/>
    <w:rsid w:val="00321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1EC"/>
    <w:rPr>
      <w:rFonts w:ascii="Times New Roman" w:eastAsia="Times New Roman" w:hAnsi="Times New Roman" w:cs="Times New Roman"/>
      <w:sz w:val="16"/>
      <w:lang w:val="en-US" w:eastAsia="en-US"/>
    </w:rPr>
  </w:style>
  <w:style w:type="paragraph" w:styleId="List">
    <w:name w:val="List"/>
    <w:basedOn w:val="BodyText"/>
    <w:next w:val="BodyText"/>
    <w:rsid w:val="003211EC"/>
    <w:pPr>
      <w:tabs>
        <w:tab w:val="left" w:pos="340"/>
      </w:tabs>
      <w:spacing w:before="60" w:after="60"/>
      <w:ind w:left="340" w:hanging="340"/>
    </w:pPr>
  </w:style>
  <w:style w:type="paragraph" w:styleId="ListBullet">
    <w:name w:val="List Bullet"/>
    <w:basedOn w:val="List"/>
    <w:rsid w:val="003211EC"/>
    <w:pPr>
      <w:numPr>
        <w:numId w:val="12"/>
      </w:numPr>
      <w:tabs>
        <w:tab w:val="clear" w:pos="340"/>
      </w:tabs>
      <w:spacing w:before="40" w:after="40"/>
    </w:pPr>
  </w:style>
  <w:style w:type="character" w:customStyle="1" w:styleId="SpecialBold">
    <w:name w:val="Special Bold"/>
    <w:basedOn w:val="DefaultParagraphFont"/>
    <w:rsid w:val="003211EC"/>
    <w:rPr>
      <w:b/>
      <w:spacing w:val="0"/>
    </w:rPr>
  </w:style>
  <w:style w:type="paragraph" w:styleId="Header">
    <w:name w:val="header"/>
    <w:basedOn w:val="Normal"/>
    <w:link w:val="HeaderChar"/>
    <w:rsid w:val="00321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1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11EC"/>
    <w:pPr>
      <w:spacing w:before="240" w:after="120"/>
      <w:outlineLvl w:val="0"/>
    </w:pPr>
    <w:rPr>
      <w:rFonts w:ascii="Times New Roman" w:hAnsi="Times New Roman"/>
      <w:b/>
      <w:sz w:val="28"/>
    </w:rPr>
  </w:style>
  <w:style w:type="paragraph" w:customStyle="1" w:styleId="AllowPageBreak">
    <w:name w:val="AllowPageBreak"/>
    <w:rsid w:val="003211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11EC"/>
    <w:pPr>
      <w:tabs>
        <w:tab w:val="left" w:pos="680"/>
      </w:tabs>
      <w:spacing w:before="60" w:after="60"/>
      <w:ind w:left="680" w:hanging="340"/>
    </w:pPr>
  </w:style>
  <w:style w:type="character" w:customStyle="1" w:styleId="Heading2Char">
    <w:name w:val="Heading 2 Char"/>
    <w:basedOn w:val="DefaultParagraphFont"/>
    <w:link w:val="Heading2"/>
    <w:rsid w:val="003211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1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1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1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1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11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11EC"/>
    <w:rPr>
      <w:rFonts w:ascii="Courier New" w:eastAsia="Times New Roman" w:hAnsi="Courier New" w:cs="Times New Roman"/>
      <w:i/>
      <w:szCs w:val="20"/>
      <w:lang w:val="en-US" w:eastAsia="en-US"/>
    </w:rPr>
  </w:style>
  <w:style w:type="paragraph" w:customStyle="1" w:styleId="HeadingBase">
    <w:name w:val="Heading Base"/>
    <w:rsid w:val="00321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1EC"/>
    <w:pPr>
      <w:tabs>
        <w:tab w:val="right" w:leader="dot" w:pos="9072"/>
      </w:tabs>
      <w:ind w:left="567"/>
    </w:pPr>
    <w:rPr>
      <w:szCs w:val="22"/>
    </w:rPr>
  </w:style>
  <w:style w:type="paragraph" w:customStyle="1" w:styleId="TOCBase">
    <w:name w:val="TOC Base"/>
    <w:rsid w:val="00321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1EC"/>
    <w:pPr>
      <w:tabs>
        <w:tab w:val="right" w:leader="dot" w:pos="9072"/>
      </w:tabs>
      <w:spacing w:before="40" w:after="40"/>
      <w:ind w:left="284"/>
    </w:pPr>
    <w:rPr>
      <w:rFonts w:ascii="Times New Roman" w:hAnsi="Times New Roman"/>
    </w:rPr>
  </w:style>
  <w:style w:type="paragraph" w:styleId="TOC1">
    <w:name w:val="toc 1"/>
    <w:basedOn w:val="TOCBase"/>
    <w:next w:val="Normal"/>
    <w:rsid w:val="003211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1EC"/>
    <w:pPr>
      <w:spacing w:before="5040"/>
      <w:jc w:val="center"/>
    </w:pPr>
    <w:rPr>
      <w:sz w:val="48"/>
      <w:szCs w:val="72"/>
      <w:lang w:val="en-US"/>
    </w:rPr>
  </w:style>
  <w:style w:type="character" w:customStyle="1" w:styleId="TitleChar">
    <w:name w:val="Title Char"/>
    <w:basedOn w:val="DefaultParagraphFont"/>
    <w:link w:val="Title"/>
    <w:rsid w:val="00321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1EC"/>
    <w:pPr>
      <w:tabs>
        <w:tab w:val="left" w:pos="3600"/>
        <w:tab w:val="left" w:pos="3958"/>
      </w:tabs>
    </w:pPr>
  </w:style>
  <w:style w:type="paragraph" w:customStyle="1" w:styleId="Note">
    <w:name w:val="Note"/>
    <w:basedOn w:val="BodyText"/>
    <w:rsid w:val="003211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1EC"/>
    <w:pPr>
      <w:framePr w:wrap="auto" w:hAnchor="text" w:y="6049"/>
    </w:pPr>
    <w:rPr>
      <w:color w:val="000000"/>
      <w:sz w:val="40"/>
    </w:rPr>
  </w:style>
  <w:style w:type="paragraph" w:customStyle="1" w:styleId="TOCTitle">
    <w:name w:val="TOCTitle"/>
    <w:basedOn w:val="Heading1"/>
    <w:rsid w:val="003211EC"/>
    <w:pPr>
      <w:spacing w:after="240"/>
      <w:jc w:val="center"/>
      <w:outlineLvl w:val="9"/>
    </w:pPr>
    <w:rPr>
      <w:caps/>
    </w:rPr>
  </w:style>
  <w:style w:type="paragraph" w:customStyle="1" w:styleId="Version">
    <w:name w:val="Version"/>
    <w:rsid w:val="003211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11EC"/>
    <w:pPr>
      <w:numPr>
        <w:numId w:val="13"/>
      </w:numPr>
      <w:tabs>
        <w:tab w:val="clear" w:pos="680"/>
      </w:tabs>
    </w:pPr>
  </w:style>
  <w:style w:type="paragraph" w:styleId="Index1">
    <w:name w:val="index 1"/>
    <w:basedOn w:val="Normal"/>
    <w:next w:val="Normal"/>
    <w:semiHidden/>
    <w:rsid w:val="003211EC"/>
    <w:pPr>
      <w:keepNext w:val="0"/>
      <w:tabs>
        <w:tab w:val="right" w:pos="4176"/>
      </w:tabs>
      <w:ind w:left="198" w:hanging="198"/>
    </w:pPr>
    <w:rPr>
      <w:rFonts w:ascii="Garamond" w:hAnsi="Garamond"/>
    </w:rPr>
  </w:style>
  <w:style w:type="paragraph" w:styleId="IndexHeading">
    <w:name w:val="index heading"/>
    <w:basedOn w:val="Normal"/>
    <w:next w:val="Index1"/>
    <w:semiHidden/>
    <w:rsid w:val="003211EC"/>
    <w:pPr>
      <w:spacing w:before="120" w:after="120"/>
    </w:pPr>
    <w:rPr>
      <w:rFonts w:ascii="Arial" w:hAnsi="Arial"/>
      <w:b/>
      <w:color w:val="918585"/>
      <w:sz w:val="24"/>
    </w:rPr>
  </w:style>
  <w:style w:type="paragraph" w:customStyle="1" w:styleId="Chapter">
    <w:name w:val="Chapter"/>
    <w:basedOn w:val="Normal"/>
    <w:rsid w:val="003211EC"/>
    <w:pPr>
      <w:spacing w:before="240"/>
    </w:pPr>
    <w:rPr>
      <w:rFonts w:ascii="Times New Roman" w:hAnsi="Times New Roman"/>
      <w:smallCaps/>
      <w:spacing w:val="80"/>
      <w:sz w:val="28"/>
    </w:rPr>
  </w:style>
  <w:style w:type="paragraph" w:customStyle="1" w:styleId="InChapter">
    <w:name w:val="InChapter"/>
    <w:basedOn w:val="Heading3"/>
    <w:rsid w:val="003211EC"/>
    <w:pPr>
      <w:spacing w:after="240"/>
      <w:outlineLvl w:val="9"/>
    </w:pPr>
    <w:rPr>
      <w:noProof/>
    </w:rPr>
  </w:style>
  <w:style w:type="paragraph" w:styleId="Index2">
    <w:name w:val="index 2"/>
    <w:basedOn w:val="Normal"/>
    <w:next w:val="Normal"/>
    <w:semiHidden/>
    <w:rsid w:val="003211EC"/>
    <w:pPr>
      <w:tabs>
        <w:tab w:val="right" w:pos="4176"/>
      </w:tabs>
      <w:ind w:left="568" w:hanging="284"/>
    </w:pPr>
    <w:rPr>
      <w:rFonts w:ascii="Garamond" w:hAnsi="Garamond"/>
    </w:rPr>
  </w:style>
  <w:style w:type="paragraph" w:customStyle="1" w:styleId="Byline">
    <w:name w:val="Byline"/>
    <w:rsid w:val="00321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1EC"/>
    <w:pPr>
      <w:tabs>
        <w:tab w:val="clear" w:pos="3600"/>
        <w:tab w:val="clear" w:pos="3958"/>
      </w:tabs>
      <w:jc w:val="right"/>
    </w:pPr>
  </w:style>
  <w:style w:type="character" w:styleId="Emphasis">
    <w:name w:val="Emphasis"/>
    <w:basedOn w:val="DefaultParagraphFont"/>
    <w:qFormat/>
    <w:rsid w:val="003211EC"/>
    <w:rPr>
      <w:i/>
    </w:rPr>
  </w:style>
  <w:style w:type="paragraph" w:styleId="Caption">
    <w:name w:val="caption"/>
    <w:basedOn w:val="BodyText"/>
    <w:next w:val="Normal"/>
    <w:qFormat/>
    <w:rsid w:val="003211EC"/>
    <w:pPr>
      <w:framePr w:w="2268" w:hSpace="181" w:vSpace="181" w:wrap="around" w:vAnchor="text" w:hAnchor="page" w:x="1135" w:y="285" w:anchorLock="1"/>
    </w:pPr>
    <w:rPr>
      <w:i/>
    </w:rPr>
  </w:style>
  <w:style w:type="paragraph" w:customStyle="1" w:styleId="MiniTOCTitle">
    <w:name w:val="MiniTOCTitle"/>
    <w:basedOn w:val="Heading4"/>
    <w:rsid w:val="003211EC"/>
    <w:pPr>
      <w:spacing w:before="240"/>
      <w:outlineLvl w:val="9"/>
    </w:pPr>
    <w:rPr>
      <w:noProof/>
      <w:sz w:val="24"/>
    </w:rPr>
  </w:style>
  <w:style w:type="paragraph" w:customStyle="1" w:styleId="MiniTOCItem">
    <w:name w:val="MiniTOCItem"/>
    <w:basedOn w:val="ListBullet"/>
    <w:rsid w:val="003211EC"/>
    <w:pPr>
      <w:numPr>
        <w:numId w:val="0"/>
      </w:numPr>
      <w:tabs>
        <w:tab w:val="right" w:leader="dot" w:pos="6521"/>
      </w:tabs>
      <w:spacing w:before="0" w:after="0"/>
    </w:pPr>
  </w:style>
  <w:style w:type="paragraph" w:customStyle="1" w:styleId="TOFTitle">
    <w:name w:val="TOFTitle"/>
    <w:basedOn w:val="TOCTitle"/>
    <w:rsid w:val="003211EC"/>
  </w:style>
  <w:style w:type="paragraph" w:styleId="TableofFigures">
    <w:name w:val="table of figures"/>
    <w:basedOn w:val="Normal"/>
    <w:next w:val="Normal"/>
    <w:semiHidden/>
    <w:rsid w:val="003211EC"/>
    <w:pPr>
      <w:tabs>
        <w:tab w:val="right" w:leader="dot" w:pos="9072"/>
      </w:tabs>
      <w:ind w:left="970" w:hanging="403"/>
    </w:pPr>
    <w:rPr>
      <w:rFonts w:ascii="Times New Roman" w:hAnsi="Times New Roman"/>
      <w:b/>
    </w:rPr>
  </w:style>
  <w:style w:type="paragraph" w:styleId="ListNumber">
    <w:name w:val="List Number"/>
    <w:basedOn w:val="List"/>
    <w:rsid w:val="003211EC"/>
    <w:pPr>
      <w:numPr>
        <w:numId w:val="10"/>
      </w:numPr>
    </w:pPr>
  </w:style>
  <w:style w:type="character" w:customStyle="1" w:styleId="WingdingSymbols">
    <w:name w:val="Wingding Symbols"/>
    <w:rsid w:val="003211EC"/>
    <w:rPr>
      <w:rFonts w:ascii="Wingdings" w:hAnsi="Wingdings"/>
    </w:rPr>
  </w:style>
  <w:style w:type="paragraph" w:customStyle="1" w:styleId="TableHeading">
    <w:name w:val="Table Heading"/>
    <w:basedOn w:val="HeadingBase"/>
    <w:rsid w:val="003211EC"/>
    <w:pPr>
      <w:keepLines/>
      <w:pBdr>
        <w:bottom w:val="single" w:sz="6" w:space="1" w:color="918585"/>
      </w:pBdr>
      <w:spacing w:before="240"/>
    </w:pPr>
  </w:style>
  <w:style w:type="character" w:customStyle="1" w:styleId="HotSpot">
    <w:name w:val="HotSpot"/>
    <w:rsid w:val="003211EC"/>
    <w:rPr>
      <w:color w:val="0033CC"/>
      <w:u w:val="none"/>
    </w:rPr>
  </w:style>
  <w:style w:type="paragraph" w:customStyle="1" w:styleId="BodyTextRight">
    <w:name w:val="Body Text Right"/>
    <w:basedOn w:val="BodyText"/>
    <w:rsid w:val="003211EC"/>
    <w:pPr>
      <w:spacing w:before="0" w:after="0"/>
      <w:jc w:val="right"/>
    </w:pPr>
  </w:style>
  <w:style w:type="paragraph" w:styleId="Index3">
    <w:name w:val="index 3"/>
    <w:basedOn w:val="ListNumber2"/>
    <w:next w:val="Normal"/>
    <w:semiHidden/>
    <w:rsid w:val="003211EC"/>
    <w:pPr>
      <w:numPr>
        <w:numId w:val="0"/>
      </w:numPr>
      <w:tabs>
        <w:tab w:val="right" w:leader="dot" w:pos="4176"/>
      </w:tabs>
    </w:pPr>
  </w:style>
  <w:style w:type="paragraph" w:styleId="ListNumber2">
    <w:name w:val="List Number 2"/>
    <w:basedOn w:val="List2"/>
    <w:rsid w:val="003211EC"/>
    <w:pPr>
      <w:numPr>
        <w:numId w:val="9"/>
      </w:numPr>
      <w:tabs>
        <w:tab w:val="clear" w:pos="1060"/>
      </w:tabs>
    </w:pPr>
  </w:style>
  <w:style w:type="paragraph" w:customStyle="1" w:styleId="MarginNote">
    <w:name w:val="Margin Note"/>
    <w:basedOn w:val="BodyText"/>
    <w:rsid w:val="00321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1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11EC"/>
    <w:rPr>
      <w:sz w:val="32"/>
    </w:rPr>
  </w:style>
  <w:style w:type="paragraph" w:customStyle="1" w:styleId="HeadingProcedure">
    <w:name w:val="Heading Procedure"/>
    <w:basedOn w:val="HeadingBase"/>
    <w:next w:val="Normal"/>
    <w:rsid w:val="003211EC"/>
    <w:pPr>
      <w:tabs>
        <w:tab w:val="left" w:pos="0"/>
      </w:tabs>
      <w:spacing w:before="120" w:after="60"/>
    </w:pPr>
    <w:rPr>
      <w:i/>
      <w:color w:val="918585"/>
      <w:sz w:val="22"/>
    </w:rPr>
  </w:style>
  <w:style w:type="paragraph" w:customStyle="1" w:styleId="TableBodyText">
    <w:name w:val="Table Body Text"/>
    <w:basedOn w:val="BodyText"/>
    <w:rsid w:val="003211EC"/>
    <w:pPr>
      <w:spacing w:before="60" w:after="60"/>
    </w:pPr>
  </w:style>
  <w:style w:type="paragraph" w:styleId="ListContinue">
    <w:name w:val="List Continue"/>
    <w:basedOn w:val="List"/>
    <w:rsid w:val="003211EC"/>
    <w:pPr>
      <w:ind w:firstLine="0"/>
    </w:pPr>
  </w:style>
  <w:style w:type="paragraph" w:customStyle="1" w:styleId="ListNote">
    <w:name w:val="List Note"/>
    <w:basedOn w:val="List"/>
    <w:rsid w:val="003211EC"/>
    <w:pPr>
      <w:pBdr>
        <w:top w:val="single" w:sz="6" w:space="2" w:color="918585"/>
        <w:bottom w:val="single" w:sz="6" w:space="2" w:color="918585"/>
      </w:pBdr>
      <w:tabs>
        <w:tab w:val="left" w:pos="1021"/>
      </w:tabs>
      <w:ind w:firstLine="0"/>
    </w:pPr>
  </w:style>
  <w:style w:type="paragraph" w:customStyle="1" w:styleId="Warning">
    <w:name w:val="Warning"/>
    <w:basedOn w:val="BodyText"/>
    <w:rsid w:val="003211EC"/>
    <w:pPr>
      <w:shd w:val="clear" w:color="auto" w:fill="D9D9D9"/>
      <w:tabs>
        <w:tab w:val="left" w:pos="992"/>
      </w:tabs>
      <w:ind w:left="119" w:right="119"/>
    </w:pPr>
    <w:rPr>
      <w:sz w:val="20"/>
    </w:rPr>
  </w:style>
  <w:style w:type="paragraph" w:customStyle="1" w:styleId="MarginIcons">
    <w:name w:val="Margin Icons"/>
    <w:basedOn w:val="BodyText"/>
    <w:rsid w:val="003211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1EC"/>
    <w:rPr>
      <w:rFonts w:ascii="Courier New" w:hAnsi="Courier New"/>
    </w:rPr>
  </w:style>
  <w:style w:type="paragraph" w:customStyle="1" w:styleId="NoteBullet">
    <w:name w:val="Note Bullet"/>
    <w:basedOn w:val="Note"/>
    <w:rsid w:val="003211EC"/>
    <w:pPr>
      <w:tabs>
        <w:tab w:val="clear" w:pos="680"/>
      </w:tabs>
      <w:spacing w:before="60" w:after="60"/>
    </w:pPr>
  </w:style>
  <w:style w:type="paragraph" w:customStyle="1" w:styleId="SubHeading2">
    <w:name w:val="SubHeading2"/>
    <w:basedOn w:val="HeadingBase"/>
    <w:rsid w:val="003211EC"/>
    <w:pPr>
      <w:spacing w:before="240" w:after="60"/>
    </w:pPr>
    <w:rPr>
      <w:sz w:val="20"/>
    </w:rPr>
  </w:style>
  <w:style w:type="paragraph" w:customStyle="1" w:styleId="SubHeading1">
    <w:name w:val="SubHeading1"/>
    <w:basedOn w:val="HeadingBase"/>
    <w:rsid w:val="003211EC"/>
    <w:pPr>
      <w:spacing w:before="240" w:after="60"/>
    </w:pPr>
    <w:rPr>
      <w:color w:val="918585"/>
      <w:sz w:val="22"/>
    </w:rPr>
  </w:style>
  <w:style w:type="paragraph" w:customStyle="1" w:styleId="SideHeading">
    <w:name w:val="Side Heading"/>
    <w:basedOn w:val="HeadingBase"/>
    <w:rsid w:val="00321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1EC"/>
    <w:pPr>
      <w:tabs>
        <w:tab w:val="num" w:pos="360"/>
      </w:tabs>
    </w:pPr>
  </w:style>
  <w:style w:type="paragraph" w:styleId="PlainText">
    <w:name w:val="Plain Text"/>
    <w:basedOn w:val="Normal"/>
    <w:link w:val="PlainTextChar"/>
    <w:rsid w:val="003211EC"/>
    <w:rPr>
      <w:sz w:val="20"/>
    </w:rPr>
  </w:style>
  <w:style w:type="character" w:customStyle="1" w:styleId="PlainTextChar">
    <w:name w:val="Plain Text Char"/>
    <w:basedOn w:val="DefaultParagraphFont"/>
    <w:link w:val="PlainText"/>
    <w:rsid w:val="003211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11EC"/>
    <w:rPr>
      <w:b/>
      <w:smallCaps/>
    </w:rPr>
  </w:style>
  <w:style w:type="paragraph" w:customStyle="1" w:styleId="TableListNumber">
    <w:name w:val="Table List Number"/>
    <w:basedOn w:val="ListNumber"/>
    <w:rsid w:val="003211EC"/>
    <w:pPr>
      <w:numPr>
        <w:numId w:val="0"/>
      </w:numPr>
    </w:pPr>
  </w:style>
  <w:style w:type="paragraph" w:styleId="TOC4">
    <w:name w:val="toc 4"/>
    <w:basedOn w:val="TOCBase"/>
    <w:next w:val="Normal"/>
    <w:semiHidden/>
    <w:rsid w:val="003211EC"/>
    <w:pPr>
      <w:tabs>
        <w:tab w:val="right" w:leader="dot" w:pos="9071"/>
      </w:tabs>
      <w:ind w:left="1701"/>
    </w:pPr>
  </w:style>
  <w:style w:type="paragraph" w:customStyle="1" w:styleId="ListAlpha">
    <w:name w:val="List Alpha"/>
    <w:basedOn w:val="List"/>
    <w:rsid w:val="003211EC"/>
    <w:pPr>
      <w:numPr>
        <w:numId w:val="8"/>
      </w:numPr>
    </w:pPr>
  </w:style>
  <w:style w:type="paragraph" w:customStyle="1" w:styleId="ListAlpha2">
    <w:name w:val="List Alpha 2"/>
    <w:basedOn w:val="List2"/>
    <w:rsid w:val="003211EC"/>
    <w:pPr>
      <w:numPr>
        <w:numId w:val="7"/>
      </w:numPr>
    </w:pPr>
  </w:style>
  <w:style w:type="paragraph" w:styleId="List3">
    <w:name w:val="List 3"/>
    <w:basedOn w:val="BodyText"/>
    <w:rsid w:val="003211EC"/>
    <w:pPr>
      <w:tabs>
        <w:tab w:val="left" w:pos="1021"/>
      </w:tabs>
      <w:spacing w:before="60" w:after="60"/>
      <w:ind w:left="1020" w:hanging="340"/>
    </w:pPr>
  </w:style>
  <w:style w:type="paragraph" w:styleId="List4">
    <w:name w:val="List 4"/>
    <w:basedOn w:val="BodyText"/>
    <w:rsid w:val="003211EC"/>
    <w:pPr>
      <w:tabs>
        <w:tab w:val="left" w:pos="1361"/>
      </w:tabs>
      <w:spacing w:before="60" w:after="60"/>
      <w:ind w:left="1361" w:hanging="340"/>
    </w:pPr>
  </w:style>
  <w:style w:type="paragraph" w:styleId="List5">
    <w:name w:val="List 5"/>
    <w:basedOn w:val="BodyText"/>
    <w:rsid w:val="003211EC"/>
    <w:pPr>
      <w:tabs>
        <w:tab w:val="left" w:pos="1701"/>
      </w:tabs>
      <w:spacing w:before="60" w:after="60"/>
      <w:ind w:left="1701" w:hanging="340"/>
    </w:pPr>
  </w:style>
  <w:style w:type="paragraph" w:styleId="ListBullet3">
    <w:name w:val="List Bullet 3"/>
    <w:basedOn w:val="List3"/>
    <w:rsid w:val="003211EC"/>
    <w:pPr>
      <w:numPr>
        <w:numId w:val="14"/>
      </w:numPr>
      <w:tabs>
        <w:tab w:val="clear" w:pos="1021"/>
      </w:tabs>
      <w:ind w:left="1037" w:hanging="357"/>
    </w:pPr>
  </w:style>
  <w:style w:type="paragraph" w:styleId="ListBullet4">
    <w:name w:val="List Bullet 4"/>
    <w:basedOn w:val="List4"/>
    <w:rsid w:val="003211EC"/>
    <w:pPr>
      <w:numPr>
        <w:numId w:val="2"/>
      </w:numPr>
    </w:pPr>
  </w:style>
  <w:style w:type="paragraph" w:styleId="ListBullet5">
    <w:name w:val="List Bullet 5"/>
    <w:basedOn w:val="List5"/>
    <w:rsid w:val="003211EC"/>
    <w:pPr>
      <w:numPr>
        <w:numId w:val="3"/>
      </w:numPr>
    </w:pPr>
  </w:style>
  <w:style w:type="paragraph" w:styleId="ListContinue2">
    <w:name w:val="List Continue 2"/>
    <w:basedOn w:val="List2"/>
    <w:rsid w:val="003211EC"/>
    <w:pPr>
      <w:ind w:firstLine="0"/>
    </w:pPr>
  </w:style>
  <w:style w:type="paragraph" w:styleId="ListContinue3">
    <w:name w:val="List Continue 3"/>
    <w:basedOn w:val="List3"/>
    <w:rsid w:val="003211EC"/>
    <w:pPr>
      <w:ind w:left="1021" w:firstLine="0"/>
    </w:pPr>
  </w:style>
  <w:style w:type="paragraph" w:styleId="ListContinue4">
    <w:name w:val="List Continue 4"/>
    <w:basedOn w:val="List4"/>
    <w:rsid w:val="003211EC"/>
    <w:pPr>
      <w:ind w:firstLine="0"/>
    </w:pPr>
  </w:style>
  <w:style w:type="paragraph" w:styleId="ListContinue5">
    <w:name w:val="List Continue 5"/>
    <w:basedOn w:val="List5"/>
    <w:rsid w:val="003211EC"/>
    <w:pPr>
      <w:ind w:firstLine="0"/>
    </w:pPr>
  </w:style>
  <w:style w:type="paragraph" w:styleId="ListNumber3">
    <w:name w:val="List Number 3"/>
    <w:basedOn w:val="List3"/>
    <w:rsid w:val="003211EC"/>
    <w:pPr>
      <w:numPr>
        <w:numId w:val="4"/>
      </w:numPr>
    </w:pPr>
  </w:style>
  <w:style w:type="paragraph" w:styleId="ListNumber4">
    <w:name w:val="List Number 4"/>
    <w:basedOn w:val="List4"/>
    <w:rsid w:val="003211EC"/>
    <w:pPr>
      <w:numPr>
        <w:numId w:val="5"/>
      </w:numPr>
    </w:pPr>
  </w:style>
  <w:style w:type="paragraph" w:styleId="ListNumber5">
    <w:name w:val="List Number 5"/>
    <w:basedOn w:val="List5"/>
    <w:rsid w:val="003211EC"/>
    <w:pPr>
      <w:numPr>
        <w:numId w:val="6"/>
      </w:numPr>
    </w:pPr>
  </w:style>
  <w:style w:type="paragraph" w:styleId="BlockText">
    <w:name w:val="Block Text"/>
    <w:basedOn w:val="Normal"/>
    <w:rsid w:val="003211EC"/>
    <w:pPr>
      <w:spacing w:after="120"/>
      <w:ind w:left="1440" w:right="1440"/>
    </w:pPr>
  </w:style>
  <w:style w:type="character" w:customStyle="1" w:styleId="Subscript">
    <w:name w:val="Subscript"/>
    <w:basedOn w:val="DefaultParagraphFont"/>
    <w:rsid w:val="003211EC"/>
    <w:rPr>
      <w:sz w:val="16"/>
      <w:vertAlign w:val="subscript"/>
    </w:rPr>
  </w:style>
  <w:style w:type="character" w:customStyle="1" w:styleId="Superscript">
    <w:name w:val="Superscript"/>
    <w:basedOn w:val="DefaultParagraphFont"/>
    <w:rsid w:val="003211EC"/>
    <w:rPr>
      <w:sz w:val="16"/>
      <w:vertAlign w:val="superscript"/>
    </w:rPr>
  </w:style>
  <w:style w:type="character" w:customStyle="1" w:styleId="Symbols">
    <w:name w:val="Symbols"/>
    <w:basedOn w:val="DefaultParagraphFont"/>
    <w:rsid w:val="003211EC"/>
    <w:rPr>
      <w:rFonts w:ascii="Symbol" w:hAnsi="Symbol"/>
    </w:rPr>
  </w:style>
  <w:style w:type="character" w:customStyle="1" w:styleId="MenuOptions">
    <w:name w:val="Menu Options"/>
    <w:basedOn w:val="DefaultParagraphFont"/>
    <w:rsid w:val="003211EC"/>
    <w:rPr>
      <w:rFonts w:ascii="Arial Narrow" w:hAnsi="Arial Narrow"/>
      <w:smallCaps/>
    </w:rPr>
  </w:style>
  <w:style w:type="character" w:customStyle="1" w:styleId="Buttons">
    <w:name w:val="Buttons"/>
    <w:basedOn w:val="DefaultParagraphFont"/>
    <w:rsid w:val="003211EC"/>
    <w:rPr>
      <w:b/>
    </w:rPr>
  </w:style>
  <w:style w:type="character" w:customStyle="1" w:styleId="Underlined">
    <w:name w:val="Underlined"/>
    <w:basedOn w:val="DefaultParagraphFont"/>
    <w:rsid w:val="003211EC"/>
    <w:rPr>
      <w:u w:val="single"/>
    </w:rPr>
  </w:style>
  <w:style w:type="paragraph" w:customStyle="1" w:styleId="TableBodyTextRight">
    <w:name w:val="Table Body Text Right"/>
    <w:basedOn w:val="TableBodyText"/>
    <w:rsid w:val="003211EC"/>
    <w:pPr>
      <w:widowControl w:val="0"/>
      <w:autoSpaceDE w:val="0"/>
      <w:autoSpaceDN w:val="0"/>
      <w:adjustRightInd w:val="0"/>
      <w:jc w:val="right"/>
    </w:pPr>
    <w:rPr>
      <w:rFonts w:cs="Arial"/>
      <w:szCs w:val="18"/>
    </w:rPr>
  </w:style>
  <w:style w:type="paragraph" w:customStyle="1" w:styleId="CopyrightText">
    <w:name w:val="Copyright Text"/>
    <w:basedOn w:val="BodyText"/>
    <w:rsid w:val="003211EC"/>
    <w:rPr>
      <w:sz w:val="18"/>
    </w:rPr>
  </w:style>
  <w:style w:type="paragraph" w:customStyle="1" w:styleId="BodySmallRight">
    <w:name w:val="Body Small Right"/>
    <w:basedOn w:val="BodyTextRight"/>
    <w:rsid w:val="003211EC"/>
    <w:rPr>
      <w:sz w:val="18"/>
      <w:szCs w:val="18"/>
    </w:rPr>
  </w:style>
  <w:style w:type="paragraph" w:customStyle="1" w:styleId="MarginEdition">
    <w:name w:val="Margin Edition"/>
    <w:basedOn w:val="MarginNote"/>
    <w:rsid w:val="003211EC"/>
    <w:pPr>
      <w:spacing w:before="0" w:after="0"/>
    </w:pPr>
    <w:rPr>
      <w:rFonts w:ascii="Times New Roman" w:hAnsi="Times New Roman"/>
      <w:color w:val="999999"/>
    </w:rPr>
  </w:style>
  <w:style w:type="paragraph" w:customStyle="1" w:styleId="Spacer">
    <w:name w:val="Spacer"/>
    <w:basedOn w:val="Normal"/>
    <w:rsid w:val="003211EC"/>
    <w:rPr>
      <w:sz w:val="2"/>
      <w:szCs w:val="2"/>
    </w:rPr>
  </w:style>
  <w:style w:type="character" w:customStyle="1" w:styleId="Small">
    <w:name w:val="Small"/>
    <w:basedOn w:val="DefaultParagraphFont"/>
    <w:rsid w:val="003211EC"/>
    <w:rPr>
      <w:sz w:val="16"/>
    </w:rPr>
  </w:style>
  <w:style w:type="paragraph" w:customStyle="1" w:styleId="WideTable">
    <w:name w:val="Wide Table"/>
    <w:basedOn w:val="Normal"/>
    <w:rsid w:val="003211EC"/>
    <w:pPr>
      <w:ind w:left="-1418"/>
    </w:pPr>
    <w:rPr>
      <w:sz w:val="2"/>
      <w:szCs w:val="2"/>
    </w:rPr>
  </w:style>
  <w:style w:type="character" w:styleId="PageNumber">
    <w:name w:val="page number"/>
    <w:basedOn w:val="DefaultParagraphFont"/>
    <w:rsid w:val="003211EC"/>
  </w:style>
  <w:style w:type="paragraph" w:styleId="Quote">
    <w:name w:val="Quote"/>
    <w:basedOn w:val="Heading1"/>
    <w:link w:val="QuoteChar"/>
    <w:qFormat/>
    <w:rsid w:val="003211EC"/>
    <w:rPr>
      <w:b w:val="0"/>
      <w:sz w:val="72"/>
      <w:szCs w:val="72"/>
      <w:lang w:val="en-NZ"/>
    </w:rPr>
  </w:style>
  <w:style w:type="character" w:customStyle="1" w:styleId="QuoteChar">
    <w:name w:val="Quote Char"/>
    <w:basedOn w:val="DefaultParagraphFont"/>
    <w:link w:val="Quote"/>
    <w:rsid w:val="00321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1EC"/>
    <w:pPr>
      <w:pageBreakBefore/>
    </w:pPr>
  </w:style>
  <w:style w:type="paragraph" w:customStyle="1" w:styleId="Border">
    <w:name w:val="Border"/>
    <w:basedOn w:val="Normal"/>
    <w:qFormat/>
    <w:rsid w:val="003211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1EC"/>
    <w:rPr>
      <w:b/>
      <w:bCs/>
      <w:i/>
      <w:iCs/>
      <w:color w:val="auto"/>
    </w:rPr>
  </w:style>
  <w:style w:type="paragraph" w:styleId="IntenseQuote">
    <w:name w:val="Intense Quote"/>
    <w:basedOn w:val="Normal"/>
    <w:next w:val="Normal"/>
    <w:link w:val="IntenseQuoteChar"/>
    <w:uiPriority w:val="30"/>
    <w:qFormat/>
    <w:rsid w:val="003211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1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11EC"/>
    <w:rPr>
      <w:smallCaps/>
      <w:color w:val="auto"/>
      <w:u w:val="single"/>
    </w:rPr>
  </w:style>
  <w:style w:type="character" w:styleId="IntenseReference">
    <w:name w:val="Intense Reference"/>
    <w:basedOn w:val="DefaultParagraphFont"/>
    <w:uiPriority w:val="32"/>
    <w:qFormat/>
    <w:rsid w:val="003211EC"/>
    <w:rPr>
      <w:b/>
      <w:bCs/>
      <w:smallCaps/>
      <w:color w:val="auto"/>
      <w:spacing w:val="5"/>
      <w:u w:val="single"/>
    </w:rPr>
  </w:style>
  <w:style w:type="paragraph" w:customStyle="1" w:styleId="2ColumnHeading">
    <w:name w:val="2Column Heading"/>
    <w:basedOn w:val="BodyText"/>
    <w:qFormat/>
    <w:rsid w:val="003211EC"/>
    <w:pPr>
      <w:spacing w:after="60"/>
      <w:ind w:left="-2268"/>
    </w:pPr>
    <w:rPr>
      <w:b/>
    </w:rPr>
  </w:style>
  <w:style w:type="paragraph" w:customStyle="1" w:styleId="Heading1TOC">
    <w:name w:val="Heading1 TOC"/>
    <w:basedOn w:val="Normal"/>
    <w:qFormat/>
    <w:rsid w:val="003211EC"/>
    <w:pPr>
      <w:spacing w:before="240" w:after="120"/>
    </w:pPr>
    <w:rPr>
      <w:rFonts w:ascii="Times New Roman" w:hAnsi="Times New Roman"/>
      <w:b/>
      <w:sz w:val="32"/>
    </w:rPr>
  </w:style>
  <w:style w:type="paragraph" w:customStyle="1" w:styleId="Heading2TOC">
    <w:name w:val="Heading2 TOC"/>
    <w:basedOn w:val="Normal"/>
    <w:qFormat/>
    <w:rsid w:val="003211EC"/>
    <w:pPr>
      <w:spacing w:before="240" w:after="60"/>
    </w:pPr>
    <w:rPr>
      <w:rFonts w:ascii="Times New Roman" w:hAnsi="Times New Roman"/>
      <w:b/>
      <w:sz w:val="28"/>
    </w:rPr>
  </w:style>
  <w:style w:type="character" w:customStyle="1" w:styleId="Underline">
    <w:name w:val="Underline"/>
    <w:basedOn w:val="DefaultParagraphFont"/>
    <w:qFormat/>
    <w:rsid w:val="003211EC"/>
    <w:rPr>
      <w:u w:val="single"/>
    </w:rPr>
  </w:style>
  <w:style w:type="character" w:customStyle="1" w:styleId="BoldandItalics">
    <w:name w:val="Bold and Italics"/>
    <w:qFormat/>
    <w:rsid w:val="003211EC"/>
    <w:rPr>
      <w:b/>
      <w:i/>
      <w:u w:val="none"/>
    </w:rPr>
  </w:style>
  <w:style w:type="paragraph" w:styleId="BalloonText">
    <w:name w:val="Balloon Text"/>
    <w:basedOn w:val="Normal"/>
    <w:link w:val="BalloonTextChar"/>
    <w:rsid w:val="003211EC"/>
    <w:rPr>
      <w:rFonts w:ascii="Tahoma" w:hAnsi="Tahoma" w:cs="Tahoma"/>
      <w:sz w:val="16"/>
      <w:szCs w:val="16"/>
    </w:rPr>
  </w:style>
  <w:style w:type="character" w:customStyle="1" w:styleId="BalloonTextChar">
    <w:name w:val="Balloon Text Char"/>
    <w:basedOn w:val="DefaultParagraphFont"/>
    <w:link w:val="BalloonText"/>
    <w:rsid w:val="003211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11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1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983</Words>
  <Characters>5958</Characters>
  <Application>Microsoft Office Word</Application>
  <DocSecurity>0</DocSecurity>
  <Lines>186</Lines>
  <Paragraphs>87</Paragraphs>
  <ScaleCrop>false</ScaleCrop>
  <Company>Author-it Software Corporation Ltd.</Company>
  <LinksUpToDate>false</LinksUpToDate>
  <CharactersWithSpaces>6885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PMASUP345A Monitor vibration</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2012-05-26T19:05:00Z</dcterms:created>
  <dcterms:modified xsi:type="dcterms:W3CDTF">2012-05-26T19:05:00Z</dcterms:modified>
</cp:coreProperties>
</file>