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75E2" w:rsidP="00B975E2">
      <w:pPr>
        <w:pStyle w:val="Title"/>
      </w:pPr>
      <w:r>
        <w:fldChar w:fldCharType="begin"/>
      </w:r>
      <w:r>
        <w:instrText xml:space="preserve"> TITLE   \* MERGEFORMAT </w:instrText>
      </w:r>
      <w:r>
        <w:fldChar w:fldCharType="separate"/>
      </w:r>
      <w:r>
        <w:t>PMASUP305A Operate offshore cranes</w:t>
      </w:r>
      <w:r>
        <w:fldChar w:fldCharType="end"/>
      </w:r>
    </w:p>
    <w:p w:rsidR="00B975E2" w:rsidP="00B975E2">
      <w:pPr>
        <w:pStyle w:val="Version"/>
        <w:sectPr w:rsidSect="00EB6D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B6DCB" w:rsidP="00EB6DCB">
      <w:pPr>
        <w:pStyle w:val="SuperHeading"/>
      </w:pPr>
      <w:r w:rsidRPr="00EB6DCB">
        <w:t>PMASUP305A Operate offshore cranes</w:t>
      </w:r>
    </w:p>
    <w:p w:rsidR="00000000" w:rsidRPr="00EB6DCB" w:rsidP="00EB6DCB">
      <w:pPr>
        <w:pStyle w:val="SuperHeading"/>
      </w:pPr>
    </w:p>
    <w:p w:rsidR="00000000" w:rsidRPr="00EB6DCB" w:rsidP="00EB6DCB">
      <w:pPr>
        <w:pStyle w:val="Heading1"/>
      </w:pPr>
      <w:bookmarkStart w:id="1" w:name="O_107619"/>
      <w:bookmarkEnd w:id="1"/>
      <w:r w:rsidRPr="00EB6DCB">
        <w:t>Modification History</w:t>
      </w:r>
    </w:p>
    <w:p w:rsidR="00000000" w:rsidRPr="00EB6DCB" w:rsidP="00EB6DCB">
      <w:pPr>
        <w:pStyle w:val="BodyText"/>
      </w:pPr>
      <w:r w:rsidRPr="00EB6DCB">
        <w:t>Not applicable.</w:t>
      </w:r>
    </w:p>
    <w:p w:rsidR="00000000" w:rsidRPr="00EB6DCB" w:rsidP="00EB6DCB">
      <w:pPr>
        <w:pStyle w:val="AllowPageBreak"/>
      </w:pPr>
    </w:p>
    <w:p w:rsidR="00000000" w:rsidRPr="00EB6DCB" w:rsidP="00EB6DCB">
      <w:pPr>
        <w:pStyle w:val="Heading1"/>
      </w:pPr>
      <w:bookmarkStart w:id="2" w:name="O_107620"/>
      <w:bookmarkEnd w:id="2"/>
      <w:r w:rsidRPr="00EB6DCB">
        <w:t>Unit Descriptor</w:t>
      </w:r>
    </w:p>
    <w:tbl>
      <w:tblPr>
        <w:tblW w:w="0" w:type="auto"/>
        <w:tblCellMar>
          <w:left w:w="62" w:type="dxa"/>
          <w:right w:w="62" w:type="dxa"/>
        </w:tblCellMar>
        <w:tblLook w:val="0000"/>
      </w:tblPr>
      <w:tblGrid>
        <w:gridCol w:w="2649"/>
        <w:gridCol w:w="6547"/>
      </w:tblGrid>
      <w:tr w:rsidTr="00B975E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DCB">
            <w:pPr>
              <w:pStyle w:val="BodyText"/>
              <w:rPr>
                <w:lang w:val="en-NZ"/>
              </w:rPr>
            </w:pPr>
            <w:r w:rsidRPr="00EB6DCB">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DCB" w:rsidP="00EB6DCB">
            <w:pPr>
              <w:pStyle w:val="BodyText"/>
            </w:pPr>
            <w:r w:rsidRPr="00EB6DCB">
              <w:t>This unit of competence applies to a person who is required to operate a crane on an offshore facility and capture</w:t>
            </w:r>
            <w:r w:rsidRPr="00EB6DCB">
              <w:t>s the competency needed to do that.</w:t>
            </w:r>
          </w:p>
        </w:tc>
      </w:tr>
    </w:tbl>
    <w:p w:rsidR="00000000" w:rsidRPr="00EB6DCB" w:rsidP="00EB6DCB">
      <w:pPr>
        <w:pStyle w:val="BodyText"/>
      </w:pPr>
    </w:p>
    <w:p w:rsidR="00000000" w:rsidRPr="00EB6DCB" w:rsidP="00EB6DCB">
      <w:pPr>
        <w:pStyle w:val="AllowPageBreak"/>
      </w:pPr>
    </w:p>
    <w:p w:rsidR="00000000" w:rsidRPr="00EB6DCB" w:rsidP="00EB6DCB">
      <w:pPr>
        <w:pStyle w:val="Heading1"/>
      </w:pPr>
      <w:bookmarkStart w:id="3" w:name="O_107621"/>
      <w:bookmarkEnd w:id="3"/>
      <w:r w:rsidRPr="00EB6DCB">
        <w:t>Application of the Unit</w:t>
      </w:r>
    </w:p>
    <w:tbl>
      <w:tblPr>
        <w:tblW w:w="0" w:type="auto"/>
        <w:tblCellMar>
          <w:left w:w="62" w:type="dxa"/>
          <w:right w:w="62" w:type="dxa"/>
        </w:tblCellMar>
        <w:tblLook w:val="0000"/>
      </w:tblPr>
      <w:tblGrid>
        <w:gridCol w:w="2649"/>
        <w:gridCol w:w="6547"/>
      </w:tblGrid>
      <w:tr w:rsidTr="00B975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DCB">
            <w:pPr>
              <w:pStyle w:val="BodyText"/>
              <w:rPr>
                <w:lang w:val="en-NZ"/>
              </w:rPr>
            </w:pPr>
            <w:r w:rsidRPr="00EB6DCB">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DCB" w:rsidP="00EB6DCB">
            <w:pPr>
              <w:pStyle w:val="BodyText"/>
            </w:pPr>
            <w:r w:rsidRPr="00EB6DCB">
              <w:t xml:space="preserve">Generally the crane operator would liaise and cooperate with other members of the facility onboard team and would also respond to information </w:t>
            </w:r>
            <w:r w:rsidRPr="00EB6DCB">
              <w:t>from crew on a support vessel.  Actions may include transfer of equipment to and from the support vessel; transfer of personnel between the facility and another vessel using appropriate approved equipment; and safe management of loads during diving operati</w:t>
            </w:r>
            <w:r w:rsidRPr="00EB6DCB">
              <w:t>ons.  The individual would:</w:t>
            </w:r>
          </w:p>
          <w:p w:rsidR="00000000" w:rsidRPr="00EB6DCB" w:rsidP="00EB6DCB">
            <w:pPr>
              <w:pStyle w:val="ListBullet"/>
            </w:pPr>
            <w:r w:rsidRPr="00EB6DCB">
              <w:t>follow occupational health and safety workplace procedures</w:t>
            </w:r>
          </w:p>
          <w:p w:rsidR="00000000" w:rsidRPr="00EB6DCB" w:rsidP="00EB6DCB">
            <w:pPr>
              <w:pStyle w:val="ListBullet"/>
            </w:pPr>
            <w:r w:rsidRPr="00EB6DCB">
              <w:t>ensure that lifts are conducted within operational/environmental limits</w:t>
            </w:r>
          </w:p>
          <w:p w:rsidR="00000000" w:rsidRPr="00EB6DCB" w:rsidP="00EB6DCB">
            <w:pPr>
              <w:pStyle w:val="ListBullet"/>
            </w:pPr>
            <w:r w:rsidRPr="00EB6DCB">
              <w:t>verify the integrity of the crane prior to use</w:t>
            </w:r>
          </w:p>
          <w:p w:rsidR="00000000" w:rsidRPr="00EB6DCB" w:rsidP="00EB6DCB">
            <w:pPr>
              <w:pStyle w:val="ListBullet"/>
            </w:pPr>
            <w:r w:rsidRPr="00EB6DCB">
              <w:t>check communications</w:t>
            </w:r>
          </w:p>
          <w:p w:rsidR="00000000" w:rsidRPr="00EB6DCB" w:rsidP="00EB6DCB">
            <w:pPr>
              <w:pStyle w:val="ListBullet"/>
            </w:pPr>
            <w:r w:rsidRPr="00EB6DCB">
              <w:t>verify that cargo meets comp</w:t>
            </w:r>
            <w:r w:rsidRPr="00EB6DCB">
              <w:t>any lifting standards</w:t>
            </w:r>
          </w:p>
          <w:p w:rsidR="00000000" w:rsidRPr="00EB6DCB" w:rsidP="00EB6DCB">
            <w:pPr>
              <w:pStyle w:val="ListBullet"/>
            </w:pPr>
            <w:r w:rsidRPr="00EB6DCB">
              <w:t>establish lifting/discharge sequence</w:t>
            </w:r>
          </w:p>
          <w:p w:rsidR="00000000" w:rsidRPr="00EB6DCB" w:rsidP="00EB6DCB">
            <w:pPr>
              <w:pStyle w:val="ListBullet"/>
            </w:pPr>
            <w:r w:rsidRPr="00EB6DCB">
              <w:t>conduct the lift safely.</w:t>
            </w:r>
          </w:p>
          <w:p w:rsidR="00000000" w:rsidRPr="00EB6DCB" w:rsidP="00EB6DCB">
            <w:pPr>
              <w:pStyle w:val="BodyText"/>
            </w:pPr>
            <w:r w:rsidRPr="00EB6DCB">
              <w:t xml:space="preserve">A license may be required, please check the appropriate regulations. </w:t>
            </w:r>
          </w:p>
        </w:tc>
      </w:tr>
    </w:tbl>
    <w:p w:rsidR="00000000" w:rsidRPr="00EB6DCB" w:rsidP="00EB6DCB">
      <w:pPr>
        <w:pStyle w:val="BodyText"/>
      </w:pPr>
    </w:p>
    <w:p w:rsidR="00000000" w:rsidRPr="00EB6DCB" w:rsidP="00EB6DCB">
      <w:pPr>
        <w:pStyle w:val="AllowPageBreak"/>
      </w:pPr>
    </w:p>
    <w:p w:rsidR="00000000" w:rsidRPr="00EB6DCB" w:rsidP="00EB6DCB">
      <w:pPr>
        <w:pStyle w:val="Heading1"/>
      </w:pPr>
      <w:bookmarkStart w:id="4" w:name="O_107622"/>
      <w:bookmarkEnd w:id="4"/>
      <w:r w:rsidRPr="00EB6DCB">
        <w:t>Licensing/Regulatory Information</w:t>
      </w:r>
    </w:p>
    <w:p w:rsidR="00000000" w:rsidRPr="00EB6DCB" w:rsidP="00EB6DCB">
      <w:pPr>
        <w:pStyle w:val="BodyText"/>
      </w:pPr>
      <w:r w:rsidRPr="00EB6DCB">
        <w:t>Not applicable.</w:t>
      </w:r>
    </w:p>
    <w:p w:rsidR="00000000" w:rsidRPr="00EB6DCB" w:rsidP="00EB6DCB">
      <w:pPr>
        <w:pStyle w:val="AllowPageBreak"/>
      </w:pPr>
    </w:p>
    <w:p w:rsidR="00000000" w:rsidRPr="00EB6DCB" w:rsidP="00EB6DCB">
      <w:pPr>
        <w:pStyle w:val="Heading1"/>
      </w:pPr>
      <w:bookmarkStart w:id="5" w:name="O_107623"/>
      <w:bookmarkEnd w:id="5"/>
      <w:r w:rsidRPr="00EB6DCB">
        <w:t>Pre-Requisites</w:t>
      </w:r>
    </w:p>
    <w:tbl>
      <w:tblPr>
        <w:tblW w:w="0" w:type="auto"/>
        <w:tblCellMar>
          <w:left w:w="62" w:type="dxa"/>
          <w:right w:w="62" w:type="dxa"/>
        </w:tblCellMar>
        <w:tblLook w:val="0000"/>
      </w:tblPr>
      <w:tblGrid>
        <w:gridCol w:w="2649"/>
        <w:gridCol w:w="3273"/>
        <w:gridCol w:w="3274"/>
      </w:tblGrid>
      <w:tr w:rsidTr="00B975E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DCB">
            <w:pPr>
              <w:pStyle w:val="BodyText"/>
              <w:rPr>
                <w:lang w:val="en-NZ"/>
              </w:rPr>
            </w:pPr>
            <w:r w:rsidRPr="00EB6DCB">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DCB" w:rsidP="00EB6DCB">
            <w:pPr>
              <w:pStyle w:val="BodyText"/>
            </w:pPr>
          </w:p>
        </w:tc>
      </w:tr>
    </w:tbl>
    <w:p w:rsidR="00000000" w:rsidRPr="00EB6DCB" w:rsidP="00EB6DCB">
      <w:pPr>
        <w:pStyle w:val="BodyText"/>
      </w:pPr>
    </w:p>
    <w:p w:rsidR="00000000" w:rsidRPr="00EB6DCB" w:rsidP="00EB6DCB">
      <w:pPr>
        <w:pStyle w:val="AllowPageBreak"/>
      </w:pPr>
    </w:p>
    <w:p w:rsidR="00000000" w:rsidRPr="00EB6DCB" w:rsidP="00EB6DCB">
      <w:pPr>
        <w:pStyle w:val="Heading1"/>
      </w:pPr>
      <w:bookmarkStart w:id="6" w:name="O_107624"/>
      <w:bookmarkEnd w:id="6"/>
      <w:r w:rsidRPr="00EB6DCB">
        <w:t>Employability Skills Information</w:t>
      </w:r>
    </w:p>
    <w:tbl>
      <w:tblPr>
        <w:tblW w:w="0" w:type="auto"/>
        <w:tblCellMar>
          <w:left w:w="62" w:type="dxa"/>
          <w:right w:w="62" w:type="dxa"/>
        </w:tblCellMar>
        <w:tblLook w:val="0000"/>
      </w:tblPr>
      <w:tblGrid>
        <w:gridCol w:w="2649"/>
        <w:gridCol w:w="6547"/>
      </w:tblGrid>
      <w:tr w:rsidTr="00B975E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DCB">
            <w:pPr>
              <w:pStyle w:val="BodyText"/>
              <w:rPr>
                <w:lang w:val="en-NZ"/>
              </w:rPr>
            </w:pPr>
            <w:r w:rsidRPr="00EB6DCB">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DCB" w:rsidP="00EB6DCB">
            <w:pPr>
              <w:pStyle w:val="BodyText"/>
            </w:pPr>
            <w:r w:rsidRPr="00EB6DCB">
              <w:t xml:space="preserve">This unit contains employability skills. </w:t>
            </w:r>
          </w:p>
        </w:tc>
      </w:tr>
    </w:tbl>
    <w:p w:rsidR="00000000" w:rsidRPr="00EB6DCB" w:rsidP="00EB6DCB">
      <w:pPr>
        <w:pStyle w:val="BodyText"/>
      </w:pPr>
    </w:p>
    <w:p w:rsidR="00000000" w:rsidRPr="00EB6DCB" w:rsidP="00EB6DCB">
      <w:pPr>
        <w:pStyle w:val="AllowPageBreak"/>
      </w:pPr>
    </w:p>
    <w:p w:rsidR="00000000" w:rsidRPr="00EB6DCB" w:rsidP="00EB6DCB">
      <w:pPr>
        <w:pStyle w:val="Heading1"/>
      </w:pPr>
      <w:bookmarkStart w:id="7" w:name="O_107625"/>
      <w:bookmarkEnd w:id="7"/>
      <w:r w:rsidRPr="00EB6DCB">
        <w:t>Elements and Performance Criteria Pre-Content</w:t>
      </w:r>
    </w:p>
    <w:tbl>
      <w:tblPr>
        <w:tblW w:w="0" w:type="auto"/>
        <w:tblCellMar>
          <w:left w:w="62" w:type="dxa"/>
          <w:right w:w="62" w:type="dxa"/>
        </w:tblCellMar>
        <w:tblLook w:val="0000"/>
      </w:tblPr>
      <w:tblGrid>
        <w:gridCol w:w="2644"/>
        <w:gridCol w:w="6552"/>
      </w:tblGrid>
      <w:tr w:rsidTr="00B975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DCB">
            <w:pPr>
              <w:pStyle w:val="BodyText"/>
              <w:rPr>
                <w:lang w:val="en-NZ"/>
              </w:rPr>
            </w:pPr>
            <w:r w:rsidRPr="00EB6DCB">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DCB" w:rsidP="00EB6DCB">
            <w:pPr>
              <w:pStyle w:val="BodyText"/>
            </w:pPr>
            <w:r w:rsidRPr="00EB6DCB">
              <w:t>Performance criteria describe the performance needed to demonstrate achievement of the element.  Where bold italicised text is used, further information is detailed in the required skills an</w:t>
            </w:r>
            <w:r w:rsidRPr="00EB6DCB">
              <w:t>d knowledge section and the range statement.  Assessment of performance is to be consistent with the evidence guide.</w:t>
            </w:r>
          </w:p>
        </w:tc>
      </w:tr>
    </w:tbl>
    <w:p w:rsidR="00000000" w:rsidRPr="00EB6DCB" w:rsidP="00EB6DCB">
      <w:pPr>
        <w:pStyle w:val="BodyText"/>
      </w:pPr>
    </w:p>
    <w:p w:rsidR="00000000" w:rsidRPr="00EB6DCB" w:rsidP="00EB6DCB">
      <w:pPr>
        <w:pStyle w:val="AllowPageBreak"/>
      </w:pPr>
    </w:p>
    <w:p w:rsidR="00000000" w:rsidRPr="00EB6DCB" w:rsidP="00EB6DCB">
      <w:pPr>
        <w:pStyle w:val="Heading1"/>
      </w:pPr>
      <w:bookmarkStart w:id="8" w:name="O_107626"/>
      <w:bookmarkEnd w:id="8"/>
      <w:r w:rsidRPr="00EB6DCB">
        <w:t>Elements and Performance Criteria</w:t>
      </w:r>
    </w:p>
    <w:tbl>
      <w:tblPr>
        <w:tblW w:w="0" w:type="auto"/>
        <w:tblCellMar>
          <w:left w:w="62" w:type="dxa"/>
          <w:right w:w="62" w:type="dxa"/>
        </w:tblCellMar>
        <w:tblLook w:val="0000"/>
      </w:tblPr>
      <w:tblGrid>
        <w:gridCol w:w="2644"/>
        <w:gridCol w:w="6552"/>
      </w:tblGrid>
      <w:tr w:rsidTr="00B975E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DCB" w:rsidP="00EB6DCB">
            <w:pPr>
              <w:pStyle w:val="BodyText"/>
            </w:pPr>
            <w:r w:rsidRPr="00EB6DCB">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DCB">
            <w:pPr>
              <w:pStyle w:val="BodyText"/>
              <w:rPr>
                <w:lang w:val="en-NZ"/>
              </w:rPr>
            </w:pPr>
            <w:r w:rsidRPr="00EB6DCB">
              <w:rPr>
                <w:rStyle w:val="SpecialBold"/>
              </w:rPr>
              <w:t>PERFORMANCE CRITERIA</w:t>
            </w:r>
          </w:p>
        </w:tc>
      </w:tr>
      <w:tr w:rsidTr="00B975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DCB">
            <w:pPr>
              <w:pStyle w:val="List"/>
              <w:rPr>
                <w:lang w:val="en-NZ"/>
              </w:rPr>
            </w:pPr>
            <w:r w:rsidRPr="00EB6DCB">
              <w:t>1.</w:t>
            </w:r>
            <w:r w:rsidRPr="00EB6DCB">
              <w:tab/>
              <w:t>Plan and prepare for lift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DCB" w:rsidP="00EB6DCB">
            <w:pPr>
              <w:pStyle w:val="List2"/>
            </w:pPr>
            <w:r w:rsidRPr="00EB6DCB">
              <w:t>1.1.</w:t>
            </w:r>
            <w:r w:rsidRPr="00EB6DCB">
              <w:tab/>
            </w:r>
            <w:r w:rsidRPr="00EB6DCB">
              <w:t>Determine job requirements including potential hazards</w:t>
            </w:r>
          </w:p>
          <w:p w:rsidR="00000000" w:rsidRPr="00EB6DCB" w:rsidP="00EB6DCB">
            <w:pPr>
              <w:pStyle w:val="List2"/>
            </w:pPr>
            <w:r w:rsidRPr="00EB6DCB">
              <w:t>1.2.</w:t>
            </w:r>
            <w:r w:rsidRPr="00EB6DCB">
              <w:tab/>
              <w:t xml:space="preserve">Identify and apply environmental requirements for the lift in accordance with company procedures and crane limitations </w:t>
            </w:r>
          </w:p>
          <w:p w:rsidR="00000000" w:rsidRPr="00EB6DCB" w:rsidP="00EB6DCB">
            <w:pPr>
              <w:pStyle w:val="List2"/>
            </w:pPr>
            <w:r w:rsidRPr="00EB6DCB">
              <w:t>1.3.</w:t>
            </w:r>
            <w:r w:rsidRPr="00EB6DCB">
              <w:tab/>
              <w:t xml:space="preserve">Check suitability of load to be lifted </w:t>
            </w:r>
          </w:p>
          <w:p w:rsidR="00000000" w:rsidRPr="00EB6DCB" w:rsidP="00EB6DCB">
            <w:pPr>
              <w:pStyle w:val="List2"/>
            </w:pPr>
            <w:r w:rsidRPr="00EB6DCB">
              <w:t>1.4.</w:t>
            </w:r>
            <w:r w:rsidRPr="00EB6DCB">
              <w:tab/>
              <w:t>Identify, obtain and inspe</w:t>
            </w:r>
            <w:r w:rsidRPr="00EB6DCB">
              <w:t xml:space="preserve">ct materials, equipment and resources to satisfy the job requirements </w:t>
            </w:r>
          </w:p>
          <w:p w:rsidR="00000000" w:rsidRPr="00EB6DCB" w:rsidP="00EB6DCB">
            <w:pPr>
              <w:pStyle w:val="List2"/>
            </w:pPr>
            <w:r w:rsidRPr="00EB6DCB">
              <w:t>1.5.</w:t>
            </w:r>
            <w:r w:rsidRPr="00EB6DCB">
              <w:tab/>
              <w:t>Follow safety and environmental requirements in accordance with site specific procedures</w:t>
            </w:r>
          </w:p>
          <w:p w:rsidR="00000000" w:rsidRPr="00EB6DCB" w:rsidP="00EB6DCB">
            <w:pPr>
              <w:pStyle w:val="List2"/>
            </w:pPr>
            <w:r w:rsidRPr="00EB6DCB">
              <w:t>1.6.</w:t>
            </w:r>
            <w:r w:rsidRPr="00EB6DCB">
              <w:tab/>
              <w:t>Discuss contingency plans with lifting team members, including supply vessel crew</w:t>
            </w:r>
          </w:p>
          <w:p w:rsidR="00000000" w:rsidP="00EB6DCB">
            <w:pPr>
              <w:pStyle w:val="List2"/>
              <w:rPr>
                <w:lang w:val="en-NZ"/>
              </w:rPr>
            </w:pPr>
            <w:r w:rsidRPr="00EB6DCB">
              <w:t>1.7.</w:t>
            </w:r>
            <w:r w:rsidRPr="00EB6DCB">
              <w:tab/>
              <w:t xml:space="preserve">Check work location for safe working area requirements </w:t>
            </w:r>
          </w:p>
        </w:tc>
      </w:tr>
      <w:tr w:rsidTr="00B975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DCB">
            <w:pPr>
              <w:pStyle w:val="List"/>
              <w:rPr>
                <w:lang w:val="en-NZ"/>
              </w:rPr>
            </w:pPr>
            <w:r w:rsidRPr="00EB6DCB">
              <w:t>2.</w:t>
            </w:r>
            <w:r w:rsidRPr="00EB6DCB">
              <w:tab/>
              <w:t>Conduct routine checks of the crane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DCB" w:rsidP="00EB6DCB">
            <w:pPr>
              <w:pStyle w:val="List2"/>
            </w:pPr>
            <w:r w:rsidRPr="00EB6DCB">
              <w:t>2.1.</w:t>
            </w:r>
            <w:r w:rsidRPr="00EB6DCB">
              <w:tab/>
              <w:t xml:space="preserve">Carry out routine pre-operational equipment checks in accordance with company procedures </w:t>
            </w:r>
          </w:p>
          <w:p w:rsidR="00000000" w:rsidRPr="00EB6DCB" w:rsidP="00EB6DCB">
            <w:pPr>
              <w:pStyle w:val="List2"/>
            </w:pPr>
            <w:r w:rsidRPr="00EB6DCB">
              <w:t>2.2.</w:t>
            </w:r>
            <w:r w:rsidRPr="00EB6DCB">
              <w:tab/>
              <w:t>Commence start up procedures and check crane controls for c</w:t>
            </w:r>
            <w:r w:rsidRPr="00EB6DCB">
              <w:t>orrect operation and ease of movement</w:t>
            </w:r>
          </w:p>
          <w:p w:rsidR="00000000" w:rsidRPr="00EB6DCB" w:rsidP="00EB6DCB">
            <w:pPr>
              <w:pStyle w:val="List2"/>
            </w:pPr>
            <w:r w:rsidRPr="00EB6DCB">
              <w:t>2.3.</w:t>
            </w:r>
            <w:r w:rsidRPr="00EB6DCB">
              <w:tab/>
              <w:t>Check communication systems are fully operational</w:t>
            </w:r>
          </w:p>
          <w:p w:rsidR="00000000" w:rsidP="00EB6DCB">
            <w:pPr>
              <w:pStyle w:val="List2"/>
              <w:rPr>
                <w:lang w:val="en-NZ"/>
              </w:rPr>
            </w:pPr>
            <w:r w:rsidRPr="00EB6DCB">
              <w:t>2.4.</w:t>
            </w:r>
            <w:r w:rsidRPr="00EB6DCB">
              <w:tab/>
              <w:t>Check emergency safety devices are fully operational</w:t>
            </w:r>
          </w:p>
        </w:tc>
      </w:tr>
      <w:tr w:rsidTr="00B975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DCB">
            <w:pPr>
              <w:pStyle w:val="List"/>
              <w:rPr>
                <w:lang w:val="en-NZ"/>
              </w:rPr>
            </w:pPr>
            <w:r w:rsidRPr="00EB6DCB">
              <w:t>3.</w:t>
            </w:r>
            <w:r w:rsidRPr="00EB6DCB">
              <w:tab/>
              <w:t>Communicate with work group</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DCB" w:rsidP="00EB6DCB">
            <w:pPr>
              <w:pStyle w:val="List2"/>
            </w:pPr>
            <w:r w:rsidRPr="00EB6DCB">
              <w:t>3.1.</w:t>
            </w:r>
            <w:r w:rsidRPr="00EB6DCB">
              <w:tab/>
              <w:t>Communicate job sequencing schedule with team and/o</w:t>
            </w:r>
            <w:r w:rsidRPr="00EB6DCB">
              <w:t>r crew members to ensure an appropriate level of coordination</w:t>
            </w:r>
          </w:p>
          <w:p w:rsidR="00000000" w:rsidRPr="00EB6DCB" w:rsidP="00EB6DCB">
            <w:pPr>
              <w:pStyle w:val="List2"/>
            </w:pPr>
            <w:r w:rsidRPr="00EB6DCB">
              <w:t>3.2.</w:t>
            </w:r>
            <w:r w:rsidRPr="00EB6DCB">
              <w:tab/>
              <w:t xml:space="preserve">Advise team members of changes to lifting schedule as required </w:t>
            </w:r>
          </w:p>
          <w:p w:rsidR="00000000" w:rsidP="00EB6DCB">
            <w:pPr>
              <w:pStyle w:val="List2"/>
              <w:rPr>
                <w:lang w:val="en-NZ"/>
              </w:rPr>
            </w:pPr>
            <w:r w:rsidRPr="00EB6DCB">
              <w:t>3.3.</w:t>
            </w:r>
            <w:r w:rsidRPr="00EB6DCB">
              <w:tab/>
              <w:t xml:space="preserve">Identify and use communication methods in accordance with company procedures </w:t>
            </w:r>
          </w:p>
        </w:tc>
      </w:tr>
      <w:tr w:rsidTr="00B975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DCB">
            <w:pPr>
              <w:pStyle w:val="List"/>
              <w:rPr>
                <w:lang w:val="en-NZ"/>
              </w:rPr>
            </w:pPr>
            <w:r w:rsidRPr="00EB6DCB">
              <w:t>4.</w:t>
            </w:r>
            <w:r w:rsidRPr="00EB6DCB">
              <w:tab/>
              <w:t>Operate crane offshore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DCB" w:rsidP="00EB6DCB">
            <w:pPr>
              <w:pStyle w:val="List2"/>
            </w:pPr>
            <w:r w:rsidRPr="00EB6DCB">
              <w:t>4.1.</w:t>
            </w:r>
            <w:r w:rsidRPr="00EB6DCB">
              <w:tab/>
              <w:t xml:space="preserve">Determine </w:t>
            </w:r>
            <w:r w:rsidRPr="00EB6DCB">
              <w:t>the load destination and check integrity of the landing area</w:t>
            </w:r>
          </w:p>
          <w:p w:rsidR="00000000" w:rsidRPr="00EB6DCB" w:rsidP="00EB6DCB">
            <w:pPr>
              <w:pStyle w:val="List2"/>
            </w:pPr>
            <w:r w:rsidRPr="00EB6DCB">
              <w:t>4.2.</w:t>
            </w:r>
            <w:r w:rsidRPr="00EB6DCB">
              <w:tab/>
              <w:t xml:space="preserve">Conduct a trial lift </w:t>
            </w:r>
          </w:p>
          <w:p w:rsidR="00000000" w:rsidRPr="00EB6DCB" w:rsidP="00EB6DCB">
            <w:pPr>
              <w:pStyle w:val="List2"/>
            </w:pPr>
            <w:r w:rsidRPr="00EB6DCB">
              <w:t>4.3.</w:t>
            </w:r>
            <w:r w:rsidRPr="00EB6DCB">
              <w:tab/>
              <w:t xml:space="preserve">Lift, move and place load safely to required destination </w:t>
            </w:r>
          </w:p>
          <w:p w:rsidR="00000000" w:rsidRPr="00EB6DCB" w:rsidP="00EB6DCB">
            <w:pPr>
              <w:pStyle w:val="List2"/>
            </w:pPr>
            <w:r w:rsidRPr="00EB6DCB">
              <w:t>4.4.</w:t>
            </w:r>
            <w:r w:rsidRPr="00EB6DCB">
              <w:tab/>
              <w:t xml:space="preserve">Respond to changes to lifting schedule when warranted </w:t>
            </w:r>
          </w:p>
          <w:p w:rsidR="00000000" w:rsidP="00EB6DCB">
            <w:pPr>
              <w:pStyle w:val="List2"/>
              <w:rPr>
                <w:lang w:val="en-NZ"/>
              </w:rPr>
            </w:pPr>
            <w:r w:rsidRPr="00EB6DCB">
              <w:t>4.5.</w:t>
            </w:r>
            <w:r w:rsidRPr="00EB6DCB">
              <w:tab/>
              <w:t>Use appropriate communication methods to</w:t>
            </w:r>
            <w:r w:rsidRPr="00EB6DCB">
              <w:t xml:space="preserve"> coordinate safe movement of the load</w:t>
            </w:r>
          </w:p>
        </w:tc>
      </w:tr>
      <w:tr w:rsidTr="00B975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DCB">
            <w:pPr>
              <w:pStyle w:val="List"/>
              <w:rPr>
                <w:lang w:val="en-NZ"/>
              </w:rPr>
            </w:pPr>
            <w:r w:rsidRPr="00EB6DCB">
              <w:t>5.</w:t>
            </w:r>
            <w:r w:rsidRPr="00EB6DCB">
              <w:tab/>
              <w:t>Shutdown crane and review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DCB" w:rsidP="00EB6DCB">
            <w:pPr>
              <w:pStyle w:val="List2"/>
            </w:pPr>
            <w:r w:rsidRPr="00EB6DCB">
              <w:t>5.1.</w:t>
            </w:r>
            <w:r w:rsidRPr="00EB6DCB">
              <w:tab/>
              <w:t>Clear work area and dispose of or deal with materials in accordance with procedures and job specification</w:t>
            </w:r>
          </w:p>
          <w:p w:rsidR="00000000" w:rsidRPr="00EB6DCB" w:rsidP="00EB6DCB">
            <w:pPr>
              <w:pStyle w:val="List2"/>
            </w:pPr>
            <w:r w:rsidRPr="00EB6DCB">
              <w:t>5.2.</w:t>
            </w:r>
            <w:r w:rsidRPr="00EB6DCB">
              <w:tab/>
              <w:t xml:space="preserve">Shutdown crane in accordance with company procedures </w:t>
            </w:r>
          </w:p>
          <w:p w:rsidR="00000000" w:rsidRPr="00EB6DCB" w:rsidP="00EB6DCB">
            <w:pPr>
              <w:pStyle w:val="List2"/>
            </w:pPr>
            <w:r w:rsidRPr="00EB6DCB">
              <w:t>5.3.</w:t>
            </w:r>
            <w:r w:rsidRPr="00EB6DCB">
              <w:tab/>
              <w:t>Ap</w:t>
            </w:r>
            <w:r w:rsidRPr="00EB6DCB">
              <w:t>ply work completion procedures and notify relevant personnel that work is finished</w:t>
            </w:r>
          </w:p>
          <w:p w:rsidR="00000000" w:rsidRPr="00EB6DCB" w:rsidP="00EB6DCB">
            <w:pPr>
              <w:pStyle w:val="List2"/>
            </w:pPr>
            <w:r w:rsidRPr="00EB6DCB">
              <w:t>5.4.</w:t>
            </w:r>
            <w:r w:rsidRPr="00EB6DCB">
              <w:tab/>
              <w:t>Review operations, report and record learnings and significant findings</w:t>
            </w:r>
          </w:p>
        </w:tc>
      </w:tr>
    </w:tbl>
    <w:p w:rsidR="00000000" w:rsidRPr="00EB6DCB" w:rsidP="00EB6DCB">
      <w:pPr>
        <w:pStyle w:val="BodyText"/>
      </w:pPr>
    </w:p>
    <w:p w:rsidR="00000000" w:rsidRPr="00EB6DCB" w:rsidP="00EB6DCB">
      <w:pPr>
        <w:pStyle w:val="AllowPageBreak"/>
      </w:pPr>
    </w:p>
    <w:p w:rsidR="00000000" w:rsidRPr="00EB6DCB" w:rsidP="00EB6DCB">
      <w:pPr>
        <w:pStyle w:val="Heading1"/>
      </w:pPr>
      <w:bookmarkStart w:id="9" w:name="O_107627"/>
      <w:bookmarkEnd w:id="9"/>
      <w:r w:rsidRPr="00EB6DCB">
        <w:t>Required Skills and Knowledge</w:t>
      </w:r>
    </w:p>
    <w:tbl>
      <w:tblPr>
        <w:tblW w:w="0" w:type="auto"/>
        <w:tblCellMar>
          <w:left w:w="62" w:type="dxa"/>
          <w:right w:w="62" w:type="dxa"/>
        </w:tblCellMar>
        <w:tblLook w:val="0000"/>
      </w:tblPr>
      <w:tblGrid>
        <w:gridCol w:w="9196"/>
      </w:tblGrid>
      <w:tr w:rsidTr="00B975E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DCB">
            <w:pPr>
              <w:pStyle w:val="BodyText"/>
              <w:rPr>
                <w:lang w:val="en-NZ"/>
              </w:rPr>
            </w:pPr>
            <w:r w:rsidRPr="00EB6DCB">
              <w:rPr>
                <w:rStyle w:val="SpecialBold"/>
              </w:rPr>
              <w:t>REQUIRED SKILLS AND KNOWLEDGE</w:t>
            </w:r>
          </w:p>
        </w:tc>
      </w:tr>
      <w:tr w:rsidTr="00B975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DCB">
            <w:pPr>
              <w:pStyle w:val="BodyText"/>
              <w:rPr>
                <w:lang w:val="en-NZ"/>
              </w:rPr>
            </w:pPr>
            <w:r w:rsidRPr="00EB6DCB">
              <w:t>This describes the essential skills and knowledge and their level, required for this unit.</w:t>
            </w:r>
          </w:p>
        </w:tc>
      </w:tr>
      <w:tr w:rsidTr="00B975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DCB">
            <w:pPr>
              <w:pStyle w:val="BodyText"/>
              <w:rPr>
                <w:lang w:val="en-NZ"/>
              </w:rPr>
            </w:pPr>
            <w:r w:rsidRPr="00EB6DCB">
              <w:rPr>
                <w:rStyle w:val="SpecialBold"/>
              </w:rPr>
              <w:t>Required skills</w:t>
            </w:r>
          </w:p>
        </w:tc>
      </w:tr>
      <w:tr w:rsidTr="00B975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DCB" w:rsidP="00EB6DCB">
            <w:pPr>
              <w:pStyle w:val="BodyText"/>
            </w:pPr>
            <w:r w:rsidRPr="00EB6DCB">
              <w:t>Competence may include the ability to:</w:t>
            </w:r>
          </w:p>
          <w:p w:rsidR="00000000" w:rsidRPr="00EB6DCB" w:rsidP="00EB6DCB">
            <w:pPr>
              <w:pStyle w:val="ListBullet"/>
            </w:pPr>
            <w:r w:rsidRPr="00EB6DCB">
              <w:t>use radio equipment to send and receive information</w:t>
            </w:r>
          </w:p>
          <w:p w:rsidR="00000000" w:rsidRPr="00EB6DCB" w:rsidP="00EB6DCB">
            <w:pPr>
              <w:pStyle w:val="ListBullet"/>
            </w:pPr>
            <w:r w:rsidRPr="00EB6DCB">
              <w:t>manoeuvre and position load shifting equipment</w:t>
            </w:r>
          </w:p>
          <w:p w:rsidR="00000000" w:rsidRPr="00EB6DCB" w:rsidP="00EB6DCB">
            <w:pPr>
              <w:pStyle w:val="ListBullet"/>
            </w:pPr>
            <w:r w:rsidRPr="00EB6DCB">
              <w:t>conduct operator maintenance according to procedures</w:t>
            </w:r>
          </w:p>
          <w:p w:rsidR="00000000" w:rsidRPr="00EB6DCB" w:rsidP="00EB6DCB">
            <w:pPr>
              <w:pStyle w:val="ListBullet"/>
            </w:pPr>
            <w:r w:rsidRPr="00EB6DCB">
              <w:t>maintain crane logs</w:t>
            </w:r>
          </w:p>
          <w:p w:rsidR="00000000" w:rsidRPr="00EB6DCB" w:rsidP="00EB6DCB">
            <w:pPr>
              <w:pStyle w:val="ListBullet"/>
            </w:pPr>
            <w:r w:rsidRPr="00EB6DCB">
              <w:t>conduct visual checks of crane operating systems and cables</w:t>
            </w:r>
          </w:p>
          <w:p w:rsidR="00000000" w:rsidRPr="00EB6DCB" w:rsidP="00EB6DCB">
            <w:pPr>
              <w:pStyle w:val="ListBullet"/>
            </w:pPr>
            <w:r w:rsidRPr="00EB6DCB">
              <w:t>identify faults, defects or abnormalities and correctly report and record these</w:t>
            </w:r>
          </w:p>
          <w:p w:rsidR="00000000" w:rsidP="00EB6DCB">
            <w:pPr>
              <w:pStyle w:val="ListBullet"/>
              <w:rPr>
                <w:lang w:val="en-NZ"/>
              </w:rPr>
            </w:pPr>
            <w:r w:rsidRPr="00EB6DCB">
              <w:t>recognise abnormal lifting circumstances an</w:t>
            </w:r>
            <w:r w:rsidRPr="00EB6DCB">
              <w:t>d safely abort the lift.</w:t>
            </w:r>
          </w:p>
        </w:tc>
      </w:tr>
      <w:tr w:rsidTr="00B975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DCB">
            <w:pPr>
              <w:pStyle w:val="BodyText"/>
              <w:rPr>
                <w:lang w:val="en-NZ"/>
              </w:rPr>
            </w:pPr>
            <w:r w:rsidRPr="00EB6DCB">
              <w:rPr>
                <w:rStyle w:val="SpecialBold"/>
              </w:rPr>
              <w:t>Required knowledge</w:t>
            </w:r>
          </w:p>
        </w:tc>
      </w:tr>
      <w:tr w:rsidTr="00B975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DCB" w:rsidP="00EB6DCB">
            <w:pPr>
              <w:pStyle w:val="BodyText"/>
            </w:pPr>
            <w:r w:rsidRPr="00EB6DCB">
              <w:t>The knowledge referred to in the evidence guide for this unit includes:</w:t>
            </w:r>
          </w:p>
          <w:p w:rsidR="00000000" w:rsidRPr="00EB6DCB" w:rsidP="00EB6DCB">
            <w:pPr>
              <w:pStyle w:val="BodyText"/>
            </w:pPr>
            <w:r w:rsidRPr="00EB6DCB">
              <w:t>company procedures</w:t>
            </w:r>
          </w:p>
          <w:p w:rsidR="00000000" w:rsidRPr="00EB6DCB" w:rsidP="00EB6DCB">
            <w:pPr>
              <w:pStyle w:val="ListBullet"/>
            </w:pPr>
            <w:r w:rsidRPr="00EB6DCB">
              <w:t>relevant statutory requirements and codes of practice</w:t>
            </w:r>
          </w:p>
          <w:p w:rsidR="00000000" w:rsidRPr="00EB6DCB" w:rsidP="00EB6DCB">
            <w:pPr>
              <w:pStyle w:val="ListBullet"/>
            </w:pPr>
            <w:r w:rsidRPr="00EB6DCB">
              <w:t>equipment operation, limitation and procedures</w:t>
            </w:r>
          </w:p>
          <w:p w:rsidR="00000000" w:rsidRPr="00EB6DCB" w:rsidP="00EB6DCB">
            <w:pPr>
              <w:pStyle w:val="ListBullet"/>
            </w:pPr>
            <w:r w:rsidRPr="00EB6DCB">
              <w:t>crane safety syst</w:t>
            </w:r>
            <w:r w:rsidRPr="00EB6DCB">
              <w:t xml:space="preserve">ems </w:t>
            </w:r>
          </w:p>
          <w:p w:rsidR="00000000" w:rsidRPr="00EB6DCB" w:rsidP="00EB6DCB">
            <w:pPr>
              <w:pStyle w:val="ListBullet"/>
            </w:pPr>
            <w:r w:rsidRPr="00EB6DCB">
              <w:t>safe operating principles</w:t>
            </w:r>
          </w:p>
          <w:p w:rsidR="00000000" w:rsidRPr="00EB6DCB" w:rsidP="00EB6DCB">
            <w:pPr>
              <w:pStyle w:val="ListBullet"/>
            </w:pPr>
            <w:r w:rsidRPr="00EB6DCB">
              <w:t>safe working loads</w:t>
            </w:r>
          </w:p>
          <w:p w:rsidR="00000000" w:rsidRPr="00EB6DCB" w:rsidP="00EB6DCB">
            <w:pPr>
              <w:pStyle w:val="ListBullet"/>
            </w:pPr>
            <w:r w:rsidRPr="00EB6DCB">
              <w:t>the impact of weather or climatic conditions on lifting practices</w:t>
            </w:r>
          </w:p>
          <w:p w:rsidR="00000000" w:rsidRPr="00EB6DCB" w:rsidP="00EB6DCB">
            <w:pPr>
              <w:pStyle w:val="ListBullet"/>
            </w:pPr>
            <w:r w:rsidRPr="00EB6DCB">
              <w:t>cargo planning</w:t>
            </w:r>
          </w:p>
          <w:p w:rsidR="00000000" w:rsidRPr="00EB6DCB" w:rsidP="00EB6DCB">
            <w:pPr>
              <w:pStyle w:val="ListBullet"/>
            </w:pPr>
            <w:r w:rsidRPr="00EB6DCB">
              <w:t>operator maintenance.</w:t>
            </w:r>
          </w:p>
        </w:tc>
      </w:tr>
    </w:tbl>
    <w:p w:rsidR="00000000" w:rsidRPr="00EB6DCB" w:rsidP="00EB6DCB">
      <w:pPr>
        <w:pStyle w:val="BodyText"/>
      </w:pPr>
    </w:p>
    <w:p w:rsidR="00000000" w:rsidRPr="00EB6DCB" w:rsidP="00EB6DCB">
      <w:pPr>
        <w:pStyle w:val="AllowPageBreak"/>
      </w:pPr>
    </w:p>
    <w:p w:rsidR="00000000" w:rsidRPr="00EB6DCB" w:rsidP="00EB6DCB">
      <w:pPr>
        <w:pStyle w:val="Heading1"/>
      </w:pPr>
      <w:bookmarkStart w:id="10" w:name="O_107628"/>
      <w:bookmarkEnd w:id="10"/>
      <w:r w:rsidRPr="00EB6DCB">
        <w:t>Evidence Guide</w:t>
      </w:r>
    </w:p>
    <w:tbl>
      <w:tblPr>
        <w:tblW w:w="0" w:type="auto"/>
        <w:tblCellMar>
          <w:left w:w="62" w:type="dxa"/>
          <w:right w:w="62" w:type="dxa"/>
        </w:tblCellMar>
        <w:tblLook w:val="0000"/>
      </w:tblPr>
      <w:tblGrid>
        <w:gridCol w:w="2515"/>
        <w:gridCol w:w="6681"/>
      </w:tblGrid>
      <w:tr w:rsidTr="00B975E2">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DCB">
            <w:pPr>
              <w:pStyle w:val="BodyText"/>
              <w:rPr>
                <w:lang w:val="en-NZ"/>
              </w:rPr>
            </w:pPr>
            <w:r w:rsidRPr="00EB6DCB">
              <w:rPr>
                <w:rStyle w:val="SpecialBold"/>
              </w:rPr>
              <w:t>EVIDENCE GUIDE</w:t>
            </w:r>
          </w:p>
        </w:tc>
      </w:tr>
      <w:tr w:rsidTr="00B975E2">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DCB">
            <w:pPr>
              <w:pStyle w:val="BodyText"/>
              <w:rPr>
                <w:lang w:val="en-NZ"/>
              </w:rPr>
            </w:pPr>
            <w:r w:rsidRPr="00EB6DCB">
              <w:t>The Evidence Guide provides advice on assessment and must be read in conjunction with the Performance Criteria, Required Skills and Knowledge, the Range Statement and the Assessment Guidelines for the Training Package.</w:t>
            </w:r>
          </w:p>
        </w:tc>
      </w:tr>
      <w:tr w:rsidTr="00B975E2">
        <w:tblPrEx>
          <w:tblW w:w="0" w:type="auto"/>
          <w:tblCellMar>
            <w:left w:w="62" w:type="dxa"/>
            <w:right w:w="62" w:type="dxa"/>
          </w:tblCellMar>
          <w:tblLook w:val="0000"/>
        </w:tblPrEx>
        <w:tc>
          <w:tcPr>
            <w:tcW w:w="0" w:type="auto"/>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6DCB">
            <w:pPr>
              <w:pStyle w:val="BodyText"/>
              <w:rPr>
                <w:lang w:val="en-NZ"/>
              </w:rPr>
            </w:pPr>
            <w:r w:rsidRPr="00EB6DCB">
              <w:rPr>
                <w:rStyle w:val="SpecialBold"/>
              </w:rPr>
              <w:t>Overview of assessment</w:t>
            </w:r>
          </w:p>
        </w:tc>
        <w:tc>
          <w:tcPr>
            <w:tcW w:w="0" w:type="auto"/>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EB6DCB" w:rsidP="00EB6DCB">
            <w:pPr>
              <w:pStyle w:val="BodyText"/>
            </w:pPr>
            <w:r w:rsidRPr="00EB6DCB">
              <w:t>Assessment f</w:t>
            </w:r>
            <w:r w:rsidRPr="00EB6DCB">
              <w:t>or this unit of competency will be by way of demonstration under workplace conditions.  The unit will be assessed in as holistic a manner as is practical and may be integrated with the assessment of other relevant units of competency.  Assessment will occu</w:t>
            </w:r>
            <w:r w:rsidRPr="00EB6DCB">
              <w:t>r over a range of situations which can include a variety of operational circumstances.</w:t>
            </w:r>
          </w:p>
          <w:p w:rsidR="00000000" w:rsidRPr="00EB6DCB" w:rsidP="00EB6DCB">
            <w:pPr>
              <w:pStyle w:val="BodyText"/>
            </w:pPr>
            <w:r w:rsidRPr="00EB6DCB">
              <w:t>Initial knowledge and skill may be assessed through appropriate simulations which must, as closely as possible, approximate actual workplace conditions and circumstances</w:t>
            </w:r>
            <w:r w:rsidRPr="00EB6DCB">
              <w:t>, and should be based on the actual facility.  Assessments should include explanatory 'walk- throughs' of the relevant competency components.</w:t>
            </w:r>
          </w:p>
          <w:p w:rsidR="00000000" w:rsidP="00EB6DCB">
            <w:pPr>
              <w:pStyle w:val="BodyText"/>
              <w:rPr>
                <w:lang w:val="en-NZ"/>
              </w:rPr>
            </w:pPr>
            <w:r w:rsidRPr="00EB6DCB">
              <w:t>This unit of competency requires a significant body of knowledge which will be assessed through questioning and th</w:t>
            </w:r>
            <w:r w:rsidRPr="00EB6DCB">
              <w:t>e use of 'what-if' scenarios both in the facility (during demonstration of normal operations and "walk-throughs" of abnormal operations) and off the site.</w:t>
            </w:r>
          </w:p>
        </w:tc>
      </w:tr>
      <w:tr w:rsidTr="00B975E2">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6DCB">
            <w:pPr>
              <w:pStyle w:val="BodyText"/>
              <w:rPr>
                <w:lang w:val="en-NZ"/>
              </w:rPr>
            </w:pPr>
            <w:r w:rsidRPr="00EB6DCB">
              <w:rPr>
                <w:rStyle w:val="SpecialBold"/>
              </w:rPr>
              <w:t>Critical aspects for assessment and evidence required to demonstrate competency in this unit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B6DCB" w:rsidP="00EB6DCB">
            <w:pPr>
              <w:pStyle w:val="BodyText"/>
            </w:pPr>
            <w:r w:rsidRPr="00EB6DCB">
              <w:t>Compete</w:t>
            </w:r>
            <w:r w:rsidRPr="00EB6DCB">
              <w:t>nce must be demonstrated in the ability to recognise and analyse potential situations requiring action and then in implementing appropriate corrective action.  The emphasis should be on the ability to stay out of trouble rather than on recovery from a disa</w:t>
            </w:r>
            <w:r w:rsidRPr="00EB6DCB">
              <w:t>ster.</w:t>
            </w:r>
          </w:p>
          <w:p w:rsidR="00000000" w:rsidRPr="00EB6DCB" w:rsidP="00EB6DCB">
            <w:pPr>
              <w:pStyle w:val="BodyText"/>
            </w:pPr>
            <w:r w:rsidRPr="00EB6DCB">
              <w:t>Consistent performance should be demonstrated.  In particular look to see that:</w:t>
            </w:r>
          </w:p>
          <w:p w:rsidR="00000000" w:rsidRPr="00EB6DCB" w:rsidP="00EB6DCB">
            <w:pPr>
              <w:pStyle w:val="ListBullet"/>
            </w:pPr>
            <w:r w:rsidRPr="00EB6DCB">
              <w:t>early warning signs of equipment/processes needing attention or with potential problems are recognised</w:t>
            </w:r>
          </w:p>
          <w:p w:rsidR="00000000" w:rsidRPr="00EB6DCB" w:rsidP="00EB6DCB">
            <w:pPr>
              <w:pStyle w:val="ListBullet"/>
            </w:pPr>
            <w:r w:rsidRPr="00EB6DCB">
              <w:t>the range of possible causes can be identified and analysed and the most likely cause determined</w:t>
            </w:r>
          </w:p>
          <w:p w:rsidR="00000000" w:rsidRPr="00EB6DCB" w:rsidP="00EB6DCB">
            <w:pPr>
              <w:pStyle w:val="ListBullet"/>
            </w:pPr>
            <w:r w:rsidRPr="00EB6DCB">
              <w:t>appropriate action is taken to ensure a timely return to full performance</w:t>
            </w:r>
          </w:p>
          <w:p w:rsidR="00000000" w:rsidRPr="00EB6DCB" w:rsidP="00EB6DCB">
            <w:pPr>
              <w:pStyle w:val="ListBullet"/>
            </w:pPr>
            <w:r w:rsidRPr="00EB6DCB">
              <w:t>obvious problems in related operating areas are recognised and an appropriate contrib</w:t>
            </w:r>
            <w:r w:rsidRPr="00EB6DCB">
              <w:t>ution made to their solution.</w:t>
            </w:r>
          </w:p>
          <w:p w:rsidR="00000000" w:rsidP="00EB6DCB">
            <w:pPr>
              <w:pStyle w:val="BodyText"/>
              <w:rPr>
                <w:lang w:val="en-NZ"/>
              </w:rPr>
            </w:pPr>
            <w:r w:rsidRPr="00EB6DCB">
              <w:t>These aspects may be best assessed using a range of scenarios/case studies/what-ifs as the stimulus with a walk-through forming part of the response.  These assessment activities should include a range of problems, including n</w:t>
            </w:r>
            <w:r w:rsidRPr="00EB6DCB">
              <w:t>ew, unusual and improbable situations, which may have been generated from the past incident history of the crane, incidents on similar cranes around the world, hazard analysis activities and similar sources.</w:t>
            </w:r>
          </w:p>
        </w:tc>
      </w:tr>
      <w:tr w:rsidTr="00B975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DCB">
            <w:pPr>
              <w:pStyle w:val="BodyText"/>
              <w:rPr>
                <w:lang w:val="en-NZ"/>
              </w:rPr>
            </w:pPr>
            <w:r w:rsidRPr="00EB6DCB">
              <w:rPr>
                <w:rStyle w:val="SpecialBold"/>
              </w:rPr>
              <w:t>Context of and specific resources for assessmen</w:t>
            </w:r>
            <w:r w:rsidRPr="00EB6DCB">
              <w:rPr>
                <w:rStyle w:val="SpecialBold"/>
              </w:rPr>
              <w:t>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DCB" w:rsidP="00EB6DCB">
            <w:pPr>
              <w:pStyle w:val="BodyText"/>
            </w:pPr>
            <w:r w:rsidRPr="00EB6DCB">
              <w:t>Assessment will require:</w:t>
            </w:r>
          </w:p>
          <w:p w:rsidR="00000000" w:rsidRPr="00EB6DCB" w:rsidP="00EB6DCB">
            <w:pPr>
              <w:pStyle w:val="ListBullet"/>
            </w:pPr>
            <w:r w:rsidRPr="00EB6DCB">
              <w:t xml:space="preserve">access to a working offshore crane in an on-site environment over a range of situations </w:t>
            </w:r>
          </w:p>
          <w:p w:rsidR="00000000" w:rsidRPr="00EB6DCB" w:rsidP="00EB6DCB">
            <w:pPr>
              <w:pStyle w:val="ListBullet"/>
            </w:pPr>
            <w:r w:rsidRPr="00EB6DCB">
              <w:t>use of an accurately simulated environment where appropriate, to assess underpinning knowledge and skills</w:t>
            </w:r>
          </w:p>
          <w:p w:rsidR="00000000" w:rsidP="00EB6DCB">
            <w:pPr>
              <w:pStyle w:val="BodyText"/>
              <w:rPr>
                <w:lang w:val="en-NZ"/>
              </w:rPr>
            </w:pPr>
            <w:r w:rsidRPr="00EB6DCB">
              <w:t>A bank of scenarios/case studies/</w:t>
            </w:r>
            <w:r w:rsidRPr="00EB6DCB">
              <w:t>what-ifs will be required as will a bank of questions which will be used to probe the reasoning behind the observable actions.</w:t>
            </w:r>
          </w:p>
        </w:tc>
      </w:tr>
      <w:tr w:rsidTr="00B975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DCB">
            <w:pPr>
              <w:pStyle w:val="BodyText"/>
              <w:rPr>
                <w:lang w:val="en-NZ"/>
              </w:rPr>
            </w:pPr>
            <w:r w:rsidRPr="00EB6DCB">
              <w:rPr>
                <w:rStyle w:val="SpecialBold"/>
              </w:rPr>
              <w:t>Method of assessment</w:t>
            </w:r>
            <w:r w:rsidRPr="00EB6DCB">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DCB">
            <w:pPr>
              <w:pStyle w:val="BodyText"/>
              <w:rPr>
                <w:lang w:val="en-NZ"/>
              </w:rPr>
            </w:pPr>
            <w:r w:rsidRPr="00EB6DCB">
              <w:t xml:space="preserve">In all workplace environments it may be appropriate to assess this unit concurrently with other relevant units. </w:t>
            </w:r>
          </w:p>
        </w:tc>
      </w:tr>
      <w:tr w:rsidTr="00B975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DCB">
            <w:pPr>
              <w:pStyle w:val="BodyText"/>
              <w:rPr>
                <w:lang w:val="en-NZ"/>
              </w:rPr>
            </w:pPr>
            <w:r w:rsidRPr="00EB6DCB">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DCB" w:rsidP="00EB6DCB">
            <w:pPr>
              <w:pStyle w:val="BodyText"/>
            </w:pPr>
            <w:r w:rsidRPr="00EB6DCB">
              <w:t xml:space="preserve">Assessment processes and techniques must be culturally appropriate and appropriate to the oracy, language </w:t>
            </w:r>
            <w:r w:rsidRPr="00EB6DCB">
              <w:t xml:space="preserve">and literacy capacity of the assessee and the work being performed. </w:t>
            </w:r>
          </w:p>
        </w:tc>
      </w:tr>
    </w:tbl>
    <w:p w:rsidR="00000000" w:rsidRPr="00EB6DCB" w:rsidP="00EB6DCB">
      <w:pPr>
        <w:pStyle w:val="BodyText"/>
      </w:pPr>
    </w:p>
    <w:p w:rsidR="00000000" w:rsidRPr="00EB6DCB" w:rsidP="00EB6DCB">
      <w:pPr>
        <w:pStyle w:val="AllowPageBreak"/>
      </w:pPr>
    </w:p>
    <w:p w:rsidR="00000000" w:rsidRPr="00EB6DCB" w:rsidP="00EB6DCB">
      <w:pPr>
        <w:pStyle w:val="Heading1"/>
      </w:pPr>
      <w:bookmarkStart w:id="11" w:name="O_107629"/>
      <w:bookmarkEnd w:id="11"/>
      <w:r w:rsidRPr="00EB6DCB">
        <w:t>Range Statement</w:t>
      </w:r>
    </w:p>
    <w:tbl>
      <w:tblPr>
        <w:tblW w:w="0" w:type="auto"/>
        <w:tblCellMar>
          <w:left w:w="62" w:type="dxa"/>
          <w:right w:w="62" w:type="dxa"/>
        </w:tblCellMar>
        <w:tblLook w:val="0000"/>
      </w:tblPr>
      <w:tblGrid>
        <w:gridCol w:w="2510"/>
        <w:gridCol w:w="6686"/>
      </w:tblGrid>
      <w:tr w:rsidTr="00B975E2">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DCB">
            <w:pPr>
              <w:pStyle w:val="BodyText"/>
              <w:rPr>
                <w:lang w:val="en-NZ"/>
              </w:rPr>
            </w:pPr>
            <w:r w:rsidRPr="00EB6DCB">
              <w:rPr>
                <w:rStyle w:val="SpecialBold"/>
              </w:rPr>
              <w:t>RANGE STATEMENT</w:t>
            </w:r>
          </w:p>
        </w:tc>
      </w:tr>
      <w:tr w:rsidTr="00B975E2">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DCB">
            <w:pPr>
              <w:pStyle w:val="BodyText"/>
              <w:rPr>
                <w:lang w:val="en-NZ"/>
              </w:rPr>
            </w:pPr>
            <w:r w:rsidRPr="00EB6DCB">
              <w:t>The Range Statement relates to the unit of competency as a whole. It allows for different work environments and situations that may af</w:t>
            </w:r>
            <w:r w:rsidRPr="00EB6DCB">
              <w:t>fect performance. Bold italicized wording, if used in the Performance Criteria, is detailed below. Add any essential operating conditions that may be present with training and assessment depending on the work situation, needs if the candidate, accessibilit</w:t>
            </w:r>
            <w:r w:rsidRPr="00EB6DCB">
              <w:t>y of the item, and local industry and regional contexts.</w:t>
            </w:r>
          </w:p>
        </w:tc>
      </w:tr>
      <w:tr w:rsidTr="00B975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DCB">
            <w:pPr>
              <w:pStyle w:val="BodyText"/>
              <w:rPr>
                <w:lang w:val="en-NZ"/>
              </w:rPr>
            </w:pPr>
            <w:r w:rsidRPr="00EB6DCB">
              <w:rPr>
                <w:rStyle w:val="SpecialBold"/>
              </w:rPr>
              <w:t>Codes of practice</w:t>
            </w:r>
            <w:r w:rsidRPr="00EB6DCB">
              <w:t xml:space="preserve">/ </w:t>
            </w:r>
            <w:r w:rsidRPr="00EB6DCB">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DCB" w:rsidP="00EB6DCB">
            <w:pPr>
              <w:pStyle w:val="BodyText"/>
            </w:pPr>
            <w:r w:rsidRPr="00EB6DCB">
              <w:t>Where reference is made to industry codes of practice, and/or Australian/international standards, the latest version must be used.</w:t>
            </w:r>
          </w:p>
          <w:p w:rsidR="00000000" w:rsidRPr="00EB6DCB" w:rsidP="00EB6DCB">
            <w:pPr>
              <w:pStyle w:val="BodyText"/>
            </w:pPr>
            <w:r w:rsidRPr="00EB6DCB">
              <w:t>Types of legislation include:</w:t>
            </w:r>
          </w:p>
          <w:p w:rsidR="00000000" w:rsidRPr="00EB6DCB" w:rsidP="00EB6DCB">
            <w:pPr>
              <w:pStyle w:val="ListBullet"/>
            </w:pPr>
            <w:r w:rsidRPr="00EB6DCB">
              <w:t>AS 2550.1 Safe use of Cranes</w:t>
            </w:r>
          </w:p>
          <w:p w:rsidR="00000000" w:rsidRPr="00EB6DCB" w:rsidP="00EB6DCB">
            <w:pPr>
              <w:pStyle w:val="ListBullet"/>
            </w:pPr>
            <w:r w:rsidRPr="00EB6DCB">
              <w:t>Norsok Standard R-003 - Safe use of lifting equipment</w:t>
            </w:r>
          </w:p>
          <w:p w:rsidR="00000000" w:rsidRPr="00EB6DCB" w:rsidP="00EB6DCB">
            <w:pPr>
              <w:pStyle w:val="ListBullet"/>
            </w:pPr>
            <w:r w:rsidRPr="00EB6DCB">
              <w:t>Offshore Petroleum Act 2006</w:t>
            </w:r>
          </w:p>
          <w:p w:rsidR="00000000" w:rsidRPr="00EB6DCB" w:rsidP="00EB6DCB">
            <w:pPr>
              <w:pStyle w:val="ListBullet"/>
            </w:pPr>
            <w:r w:rsidRPr="00EB6DCB">
              <w:t>National Offshore Petroleum Safety Authority Safety Case Guidelines September 2004</w:t>
            </w:r>
          </w:p>
          <w:p w:rsidR="00000000" w:rsidRPr="00EB6DCB" w:rsidP="00EB6DCB">
            <w:pPr>
              <w:pStyle w:val="ListBullet"/>
            </w:pPr>
            <w:r w:rsidRPr="00EB6DCB">
              <w:t xml:space="preserve">Petroleum (Submerged Lands) (Management of Safety on Offshore </w:t>
            </w:r>
            <w:r w:rsidRPr="00EB6DCB">
              <w:t>Facilities) Regulations 1996</w:t>
            </w:r>
          </w:p>
          <w:p w:rsidR="00000000" w:rsidRPr="00EB6DCB" w:rsidP="00EB6DCB">
            <w:pPr>
              <w:pStyle w:val="ListBullet"/>
            </w:pPr>
            <w:r w:rsidRPr="00EB6DCB">
              <w:t>Statutory Rules 1996 No. 298 as amended</w:t>
            </w:r>
          </w:p>
          <w:p w:rsidR="00000000" w:rsidRPr="00EB6DCB" w:rsidP="00EB6DCB">
            <w:pPr>
              <w:pStyle w:val="BodyText"/>
            </w:pPr>
            <w:r w:rsidRPr="00EB6DCB">
              <w:t>Other:</w:t>
            </w:r>
          </w:p>
          <w:p w:rsidR="00000000" w:rsidRPr="00EB6DCB" w:rsidP="00EB6DCB">
            <w:pPr>
              <w:pStyle w:val="ListBullet"/>
            </w:pPr>
            <w:r w:rsidRPr="00EB6DCB">
              <w:t>OMHEC Training Standard (OHMEC TS 11 March 2003)</w:t>
            </w:r>
          </w:p>
          <w:p w:rsidR="00000000" w:rsidRPr="00EB6DCB" w:rsidP="00EB6DCB">
            <w:pPr>
              <w:pStyle w:val="ListBullet"/>
            </w:pPr>
            <w:r w:rsidRPr="00EB6DCB">
              <w:rPr>
                <w:rStyle w:val="Underline"/>
              </w:rPr>
              <w:t>http</w:t>
            </w:r>
            <w:r w:rsidRPr="00EB6DCB">
              <w:t>://</w:t>
            </w:r>
            <w:r w:rsidRPr="00EB6DCB">
              <w:rPr>
                <w:rStyle w:val="Underline"/>
              </w:rPr>
              <w:t>www</w:t>
            </w:r>
            <w:r w:rsidRPr="00EB6DCB">
              <w:t>.</w:t>
            </w:r>
            <w:r w:rsidRPr="00EB6DCB">
              <w:rPr>
                <w:rStyle w:val="Underline"/>
              </w:rPr>
              <w:t>mms</w:t>
            </w:r>
            <w:r w:rsidRPr="00EB6DCB">
              <w:t>.</w:t>
            </w:r>
            <w:r w:rsidRPr="00EB6DCB">
              <w:rPr>
                <w:rStyle w:val="Underline"/>
              </w:rPr>
              <w:t>gov</w:t>
            </w:r>
            <w:r w:rsidRPr="00EB6DCB">
              <w:t>/</w:t>
            </w:r>
            <w:r w:rsidRPr="00EB6DCB">
              <w:rPr>
                <w:rStyle w:val="Underline"/>
              </w:rPr>
              <w:t>regcompliance</w:t>
            </w:r>
            <w:r w:rsidRPr="00EB6DCB">
              <w:t>/</w:t>
            </w:r>
            <w:r w:rsidRPr="00EB6DCB">
              <w:rPr>
                <w:rStyle w:val="Underline"/>
              </w:rPr>
              <w:t>PDFs</w:t>
            </w:r>
            <w:r w:rsidRPr="00EB6DCB">
              <w:t>/</w:t>
            </w:r>
            <w:r w:rsidRPr="00EB6DCB">
              <w:rPr>
                <w:rStyle w:val="Underline"/>
              </w:rPr>
              <w:t>GL</w:t>
            </w:r>
            <w:r w:rsidRPr="00EB6DCB">
              <w:t>-</w:t>
            </w:r>
            <w:r w:rsidRPr="00EB6DCB">
              <w:rPr>
                <w:rStyle w:val="Underline"/>
              </w:rPr>
              <w:t>I</w:t>
            </w:r>
            <w:r w:rsidRPr="00EB6DCB">
              <w:t>_</w:t>
            </w:r>
            <w:r w:rsidRPr="00EB6DCB">
              <w:rPr>
                <w:rStyle w:val="Underline"/>
              </w:rPr>
              <w:t>2005</w:t>
            </w:r>
            <w:r w:rsidRPr="00EB6DCB">
              <w:t>.</w:t>
            </w:r>
            <w:r w:rsidRPr="00EB6DCB">
              <w:rPr>
                <w:rStyle w:val="Underline"/>
              </w:rPr>
              <w:t>pdf</w:t>
            </w:r>
          </w:p>
          <w:p w:rsidR="00000000" w:rsidRPr="00EB6DCB" w:rsidP="00EB6DCB">
            <w:pPr>
              <w:pStyle w:val="ListBullet"/>
            </w:pPr>
            <w:r w:rsidRPr="00EB6DCB">
              <w:rPr>
                <w:rStyle w:val="Underline"/>
              </w:rPr>
              <w:t>http</w:t>
            </w:r>
            <w:r w:rsidRPr="00EB6DCB">
              <w:t>://</w:t>
            </w:r>
            <w:r w:rsidRPr="00EB6DCB">
              <w:rPr>
                <w:rStyle w:val="Underline"/>
              </w:rPr>
              <w:t>www</w:t>
            </w:r>
            <w:r w:rsidRPr="00EB6DCB">
              <w:t>.</w:t>
            </w:r>
            <w:r w:rsidRPr="00EB6DCB">
              <w:rPr>
                <w:rStyle w:val="Underline"/>
              </w:rPr>
              <w:t>ogp</w:t>
            </w:r>
            <w:r w:rsidRPr="00EB6DCB">
              <w:t>.</w:t>
            </w:r>
            <w:r w:rsidRPr="00EB6DCB">
              <w:rPr>
                <w:rStyle w:val="Underline"/>
              </w:rPr>
              <w:t>org</w:t>
            </w:r>
            <w:r w:rsidRPr="00EB6DCB">
              <w:t>.</w:t>
            </w:r>
            <w:r w:rsidRPr="00EB6DCB">
              <w:rPr>
                <w:rStyle w:val="Underline"/>
              </w:rPr>
              <w:t>uk</w:t>
            </w:r>
            <w:r w:rsidRPr="00EB6DCB">
              <w:t>/</w:t>
            </w:r>
            <w:r w:rsidRPr="00EB6DCB">
              <w:rPr>
                <w:rStyle w:val="Underline"/>
              </w:rPr>
              <w:t>pubs</w:t>
            </w:r>
            <w:r w:rsidRPr="00EB6DCB">
              <w:t>/</w:t>
            </w:r>
            <w:r w:rsidRPr="00EB6DCB">
              <w:rPr>
                <w:rStyle w:val="Underline"/>
              </w:rPr>
              <w:t>376</w:t>
            </w:r>
            <w:r w:rsidRPr="00EB6DCB">
              <w:t>.</w:t>
            </w:r>
            <w:r w:rsidRPr="00EB6DCB">
              <w:rPr>
                <w:rStyle w:val="Underline"/>
              </w:rPr>
              <w:t>pdf</w:t>
            </w:r>
            <w:r w:rsidRPr="00EB6DCB">
              <w:t xml:space="preserve"> </w:t>
            </w:r>
          </w:p>
          <w:p w:rsidR="00000000" w:rsidRPr="00EB6DCB" w:rsidP="00EB6DCB">
            <w:pPr>
              <w:pStyle w:val="ListBullet"/>
            </w:pPr>
            <w:r w:rsidRPr="00EB6DCB">
              <w:t xml:space="preserve">EN12079 </w:t>
            </w:r>
          </w:p>
          <w:p w:rsidR="00000000" w:rsidRPr="00EB6DCB" w:rsidP="00EB6DCB">
            <w:pPr>
              <w:pStyle w:val="ListBullet"/>
            </w:pPr>
            <w:r w:rsidRPr="00EB6DCB">
              <w:t xml:space="preserve">IMO Circular 860 </w:t>
            </w:r>
          </w:p>
          <w:p w:rsidR="00000000" w:rsidP="00EB6DCB">
            <w:pPr>
              <w:pStyle w:val="ListBullet"/>
              <w:rPr>
                <w:lang w:val="en-NZ"/>
              </w:rPr>
            </w:pPr>
            <w:r w:rsidRPr="00EB6DCB">
              <w:t xml:space="preserve">DNV 2.7-1 &amp; 2.7-2 </w:t>
            </w:r>
          </w:p>
        </w:tc>
      </w:tr>
      <w:tr w:rsidTr="00B975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DCB">
            <w:pPr>
              <w:pStyle w:val="BodyText"/>
              <w:rPr>
                <w:lang w:val="en-NZ"/>
              </w:rPr>
            </w:pPr>
            <w:r w:rsidRPr="00EB6DCB">
              <w:rPr>
                <w:rStyle w:val="SpecialBold"/>
              </w:rPr>
              <w:t>Job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DCB" w:rsidP="00EB6DCB">
            <w:pPr>
              <w:pStyle w:val="BodyText"/>
            </w:pPr>
            <w:r w:rsidRPr="00EB6DCB">
              <w:t>Job requirements include:</w:t>
            </w:r>
          </w:p>
          <w:p w:rsidR="00000000" w:rsidRPr="00EB6DCB" w:rsidP="00EB6DCB">
            <w:pPr>
              <w:pStyle w:val="ListBullet"/>
            </w:pPr>
            <w:r w:rsidRPr="00EB6DCB">
              <w:t>work instructions</w:t>
            </w:r>
          </w:p>
          <w:p w:rsidR="00000000" w:rsidRPr="00EB6DCB" w:rsidP="00EB6DCB">
            <w:pPr>
              <w:pStyle w:val="ListBullet"/>
            </w:pPr>
            <w:r w:rsidRPr="00EB6DCB">
              <w:t>work plans</w:t>
            </w:r>
          </w:p>
          <w:p w:rsidR="00000000" w:rsidRPr="00EB6DCB" w:rsidP="00EB6DCB">
            <w:pPr>
              <w:pStyle w:val="ListBullet"/>
            </w:pPr>
            <w:r w:rsidRPr="00EB6DCB">
              <w:t>equipment specifications</w:t>
            </w:r>
          </w:p>
          <w:p w:rsidR="00000000" w:rsidP="00EB6DCB">
            <w:pPr>
              <w:pStyle w:val="ListBullet"/>
              <w:rPr>
                <w:lang w:val="en-NZ"/>
              </w:rPr>
            </w:pPr>
            <w:r w:rsidRPr="00EB6DCB">
              <w:t>company specific lifting standards and safe working procedures</w:t>
            </w:r>
          </w:p>
        </w:tc>
      </w:tr>
      <w:tr w:rsidTr="00B975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DCB">
            <w:pPr>
              <w:pStyle w:val="BodyText"/>
              <w:rPr>
                <w:lang w:val="en-NZ"/>
              </w:rPr>
            </w:pPr>
            <w:r w:rsidRPr="00EB6DCB">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DCB" w:rsidP="00EB6DCB">
            <w:pPr>
              <w:pStyle w:val="BodyText"/>
            </w:pPr>
            <w:r w:rsidRPr="00EB6DCB">
              <w:t>The facilities that may be utilised for assessment include but are</w:t>
            </w:r>
            <w:r w:rsidRPr="00EB6DCB">
              <w:t xml:space="preserve"> not limited to FPSOs, MODUs, Fixed Platforms, Dive Support Vessels, and FSUs but does not include Derrick Barges</w:t>
            </w:r>
          </w:p>
          <w:p w:rsidR="00000000" w:rsidRPr="00EB6DCB" w:rsidP="00EB6DCB">
            <w:pPr>
              <w:pStyle w:val="BodyText"/>
            </w:pPr>
            <w:r w:rsidRPr="00EB6DCB">
              <w:t>Types of cranes may include:</w:t>
            </w:r>
          </w:p>
          <w:p w:rsidR="00000000" w:rsidRPr="00EB6DCB" w:rsidP="00EB6DCB">
            <w:pPr>
              <w:pStyle w:val="ListBullet"/>
            </w:pPr>
            <w:r w:rsidRPr="00EB6DCB">
              <w:t>Derrick</w:t>
            </w:r>
          </w:p>
          <w:p w:rsidR="00000000" w:rsidRPr="00EB6DCB" w:rsidP="00EB6DCB">
            <w:pPr>
              <w:pStyle w:val="ListBullet"/>
            </w:pPr>
            <w:r w:rsidRPr="00EB6DCB">
              <w:t>Slewing Pedestal</w:t>
            </w:r>
          </w:p>
          <w:p w:rsidR="00000000" w:rsidRPr="00EB6DCB" w:rsidP="00EB6DCB">
            <w:pPr>
              <w:pStyle w:val="ListBullet"/>
            </w:pPr>
            <w:r w:rsidRPr="00EB6DCB">
              <w:t xml:space="preserve">Bridge and Gantry </w:t>
            </w:r>
          </w:p>
          <w:p w:rsidR="00000000" w:rsidRPr="00EB6DCB" w:rsidP="00EB6DCB">
            <w:pPr>
              <w:pStyle w:val="ListBullet"/>
            </w:pPr>
            <w:r w:rsidRPr="00EB6DCB">
              <w:t xml:space="preserve">Knuckleboom </w:t>
            </w:r>
          </w:p>
          <w:p w:rsidR="00000000" w:rsidP="00EB6DCB">
            <w:pPr>
              <w:pStyle w:val="ListBullet"/>
              <w:rPr>
                <w:lang w:val="en-NZ"/>
              </w:rPr>
            </w:pPr>
            <w:r w:rsidRPr="00EB6DCB">
              <w:t>Mobile Slewing Crane</w:t>
            </w:r>
          </w:p>
        </w:tc>
      </w:tr>
      <w:tr w:rsidTr="00B975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DCB">
            <w:pPr>
              <w:pStyle w:val="BodyText"/>
              <w:rPr>
                <w:lang w:val="en-NZ"/>
              </w:rPr>
            </w:pPr>
            <w:r w:rsidRPr="00EB6DCB">
              <w:rPr>
                <w:rStyle w:val="SpecialBold"/>
              </w:rPr>
              <w:t>Types of environments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DCB" w:rsidP="00EB6DCB">
            <w:pPr>
              <w:pStyle w:val="BodyText"/>
            </w:pPr>
            <w:r w:rsidRPr="00EB6DCB">
              <w:t xml:space="preserve">Types of environments may include: </w:t>
            </w:r>
          </w:p>
          <w:p w:rsidR="00000000" w:rsidRPr="00EB6DCB" w:rsidP="00EB6DCB">
            <w:pPr>
              <w:pStyle w:val="ListBullet"/>
            </w:pPr>
            <w:r w:rsidRPr="00EB6DCB">
              <w:t>day and night operations</w:t>
            </w:r>
          </w:p>
          <w:p w:rsidR="00000000" w:rsidRPr="00EB6DCB" w:rsidP="00EB6DCB">
            <w:pPr>
              <w:pStyle w:val="ListBullet"/>
            </w:pPr>
            <w:r w:rsidRPr="00EB6DCB">
              <w:t>facilities subject to helicopter operations</w:t>
            </w:r>
          </w:p>
          <w:p w:rsidR="00000000" w:rsidRPr="00EB6DCB" w:rsidP="00EB6DCB">
            <w:pPr>
              <w:pStyle w:val="ListBullet"/>
            </w:pPr>
            <w:r w:rsidRPr="00EB6DCB">
              <w:t>tropical and temperate climatic conditions</w:t>
            </w:r>
          </w:p>
          <w:p w:rsidR="00000000" w:rsidRPr="00EB6DCB" w:rsidP="00EB6DCB">
            <w:pPr>
              <w:pStyle w:val="ListBullet"/>
            </w:pPr>
            <w:r w:rsidRPr="00EB6DCB">
              <w:t>emergency lifts</w:t>
            </w:r>
          </w:p>
          <w:p w:rsidR="00000000" w:rsidRPr="00EB6DCB" w:rsidP="00EB6DCB">
            <w:pPr>
              <w:pStyle w:val="ListBullet"/>
            </w:pPr>
            <w:r w:rsidRPr="00EB6DCB">
              <w:t>multi-crane operations including intersecting radii</w:t>
            </w:r>
          </w:p>
          <w:p w:rsidR="00000000" w:rsidRPr="00EB6DCB" w:rsidP="00EB6DCB">
            <w:pPr>
              <w:pStyle w:val="ListBullet"/>
            </w:pPr>
            <w:r w:rsidRPr="00EB6DCB">
              <w:t>restricted radius</w:t>
            </w:r>
          </w:p>
          <w:p w:rsidR="00000000" w:rsidRPr="00EB6DCB" w:rsidP="00EB6DCB">
            <w:pPr>
              <w:pStyle w:val="ListBullet"/>
            </w:pPr>
            <w:r w:rsidRPr="00EB6DCB">
              <w:t>active hydrocarbon pr</w:t>
            </w:r>
            <w:r w:rsidRPr="00EB6DCB">
              <w:t>oduction</w:t>
            </w:r>
          </w:p>
          <w:p w:rsidR="00000000" w:rsidRPr="00EB6DCB" w:rsidP="00EB6DCB">
            <w:pPr>
              <w:pStyle w:val="ListBullet"/>
            </w:pPr>
            <w:r w:rsidRPr="00EB6DCB">
              <w:t>active drilling operations</w:t>
            </w:r>
          </w:p>
          <w:p w:rsidR="00000000" w:rsidRPr="00EB6DCB" w:rsidP="00EB6DCB">
            <w:pPr>
              <w:pStyle w:val="ListBullet"/>
            </w:pPr>
            <w:r w:rsidRPr="00EB6DCB">
              <w:t>exploration activities</w:t>
            </w:r>
          </w:p>
          <w:p w:rsidR="00000000" w:rsidRPr="00EB6DCB" w:rsidP="00EB6DCB">
            <w:pPr>
              <w:pStyle w:val="ListBullet"/>
            </w:pPr>
            <w:r w:rsidRPr="00EB6DCB">
              <w:t>diving support</w:t>
            </w:r>
          </w:p>
          <w:p w:rsidR="00000000" w:rsidRPr="00EB6DCB" w:rsidP="00EB6DCB">
            <w:pPr>
              <w:pStyle w:val="ListBullet"/>
            </w:pPr>
            <w:r w:rsidRPr="00EB6DCB">
              <w:t>blind lifts</w:t>
            </w:r>
          </w:p>
          <w:p w:rsidR="00000000" w:rsidRPr="00EB6DCB" w:rsidP="00EB6DCB">
            <w:pPr>
              <w:pStyle w:val="ListBullet"/>
            </w:pPr>
            <w:r w:rsidRPr="00EB6DCB">
              <w:t>personnel transfer</w:t>
            </w:r>
          </w:p>
          <w:p w:rsidR="00000000" w:rsidP="00EB6DCB">
            <w:pPr>
              <w:pStyle w:val="ListBullet"/>
              <w:rPr>
                <w:lang w:val="en-NZ"/>
              </w:rPr>
            </w:pPr>
            <w:r w:rsidRPr="00EB6DCB">
              <w:t>engineered lifts</w:t>
            </w:r>
          </w:p>
        </w:tc>
      </w:tr>
      <w:tr w:rsidTr="00B975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DCB">
            <w:pPr>
              <w:pStyle w:val="BodyText"/>
              <w:rPr>
                <w:lang w:val="en-NZ"/>
              </w:rPr>
            </w:pPr>
            <w:r w:rsidRPr="00EB6DCB">
              <w:rPr>
                <w:rStyle w:val="SpecialBold"/>
              </w:rPr>
              <w:t>Trial lift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DCB" w:rsidP="00EB6DCB">
            <w:pPr>
              <w:pStyle w:val="BodyText"/>
            </w:pPr>
            <w:r w:rsidRPr="00EB6DCB">
              <w:t>Trial lifts may be conducted to ensure:</w:t>
            </w:r>
          </w:p>
          <w:p w:rsidR="00000000" w:rsidRPr="00EB6DCB" w:rsidP="00EB6DCB">
            <w:pPr>
              <w:pStyle w:val="ListBullet"/>
            </w:pPr>
            <w:r w:rsidRPr="00EB6DCB">
              <w:t>stability of load is not compromised</w:t>
            </w:r>
          </w:p>
          <w:p w:rsidR="00000000" w:rsidRPr="00EB6DCB" w:rsidP="00EB6DCB">
            <w:pPr>
              <w:pStyle w:val="ListBullet"/>
            </w:pPr>
            <w:r w:rsidRPr="00EB6DCB">
              <w:t>load is not near capacity of crane</w:t>
            </w:r>
          </w:p>
          <w:p w:rsidR="00000000" w:rsidP="00EB6DCB">
            <w:pPr>
              <w:pStyle w:val="ListBullet"/>
              <w:rPr>
                <w:lang w:val="en-NZ"/>
              </w:rPr>
            </w:pPr>
            <w:r w:rsidRPr="00EB6DCB">
              <w:t>load is not of unusual proportions</w:t>
            </w:r>
          </w:p>
        </w:tc>
      </w:tr>
      <w:tr w:rsidTr="00B975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DCB">
            <w:pPr>
              <w:pStyle w:val="BodyText"/>
              <w:rPr>
                <w:lang w:val="en-NZ"/>
              </w:rPr>
            </w:pPr>
            <w:r w:rsidRPr="00EB6DCB">
              <w:rPr>
                <w:rStyle w:val="SpecialBold"/>
              </w:rPr>
              <w:t>Health</w:t>
            </w:r>
            <w:r w:rsidRPr="00EB6DCB">
              <w:t xml:space="preserve">, </w:t>
            </w:r>
            <w:r w:rsidRPr="00EB6DCB">
              <w:rPr>
                <w:rStyle w:val="SpecialBold"/>
              </w:rPr>
              <w:t>Safety and Environment</w:t>
            </w:r>
            <w:r w:rsidRPr="00EB6DCB">
              <w:t xml:space="preserve"> (</w:t>
            </w:r>
            <w:r w:rsidRPr="00EB6DCB">
              <w:rPr>
                <w:rStyle w:val="SpecialBold"/>
              </w:rPr>
              <w:t>HSE</w:t>
            </w:r>
            <w:r w:rsidRPr="00EB6DC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DCB" w:rsidP="00EB6DCB">
            <w:pPr>
              <w:pStyle w:val="BodyText"/>
            </w:pPr>
            <w:r w:rsidRPr="00EB6DCB">
              <w:t>All operations to which this unit applies are subject to stringent health, safety and environment requirements, which may be imposed through State or Federal Petroleum legislation and</w:t>
            </w:r>
            <w:r w:rsidRPr="00EB6DCB">
              <w:t xml:space="preserve"> Navigation Act legislation, and these must not be compromised at any time.  Where there is an apparent conflict between Performance Criteria and HSE requirements, the HSE requirements take precedence.</w:t>
            </w:r>
          </w:p>
          <w:p w:rsidR="00000000" w:rsidRPr="00EB6DCB" w:rsidP="00EB6DCB">
            <w:pPr>
              <w:pStyle w:val="BodyText"/>
            </w:pPr>
            <w:r w:rsidRPr="00EB6DCB">
              <w:t>Regulatory bodies which may serve to affect this stand</w:t>
            </w:r>
            <w:r w:rsidRPr="00EB6DCB">
              <w:t>ard include:</w:t>
            </w:r>
          </w:p>
          <w:p w:rsidR="00000000" w:rsidRPr="00EB6DCB" w:rsidP="00EB6DCB">
            <w:pPr>
              <w:pStyle w:val="ListBullet"/>
            </w:pPr>
            <w:r w:rsidRPr="00EB6DCB">
              <w:t>National Offshore Petroleum Safety Authority (NOPSA)</w:t>
            </w:r>
          </w:p>
          <w:p w:rsidR="00000000" w:rsidRPr="00EB6DCB" w:rsidP="00EB6DCB">
            <w:pPr>
              <w:pStyle w:val="ListBullet"/>
            </w:pPr>
            <w:r w:rsidRPr="00EB6DCB">
              <w:t>Australian Maritime Safety Authority (AMSA)</w:t>
            </w:r>
          </w:p>
          <w:p w:rsidR="00000000" w:rsidRPr="00EB6DCB" w:rsidP="00EB6DCB">
            <w:pPr>
              <w:pStyle w:val="ListBullet"/>
            </w:pPr>
            <w:r w:rsidRPr="00EB6DCB">
              <w:t>State/Territory OSH Regulatory bodies,</w:t>
            </w:r>
          </w:p>
          <w:p w:rsidR="00000000" w:rsidP="00EB6DCB">
            <w:pPr>
              <w:pStyle w:val="ListBullet"/>
              <w:rPr>
                <w:lang w:val="en-NZ"/>
              </w:rPr>
            </w:pPr>
            <w:r w:rsidRPr="00EB6DCB">
              <w:t>Department of Transport and Regional Services (DOTARS)</w:t>
            </w:r>
          </w:p>
        </w:tc>
      </w:tr>
      <w:tr w:rsidTr="00B975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DCB">
            <w:pPr>
              <w:pStyle w:val="BodyText"/>
              <w:rPr>
                <w:lang w:val="en-NZ"/>
              </w:rPr>
            </w:pPr>
            <w:r w:rsidRPr="00EB6DCB">
              <w:rPr>
                <w:rStyle w:val="SpecialBold"/>
              </w:rPr>
              <w:t>Relationship to Major Hazard Facility Legislation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DCB" w:rsidP="00EB6DCB">
            <w:pPr>
              <w:pStyle w:val="BodyText"/>
            </w:pPr>
            <w:r w:rsidRPr="00EB6DCB">
              <w:t>Organisations within the offshore petroleum industry may find themselves falling under the provisions of various Major Hazard Facilities legislation.  In developing this unit consideration has been given to the requirements of Sections 8 and 9 of the Natio</w:t>
            </w:r>
            <w:r w:rsidRPr="00EB6DCB">
              <w:t>nal Standard for the Control of Major Hazard Facilities [NOHSC:1014(2002)] and the National Code of Practice for the Control of Major Hazard Facilities [NOHSC:2016(1996)].</w:t>
            </w:r>
          </w:p>
          <w:p w:rsidR="00000000" w:rsidRPr="00EB6DCB" w:rsidP="00EB6DCB">
            <w:pPr>
              <w:pStyle w:val="BodyText"/>
            </w:pPr>
            <w:r w:rsidRPr="00EB6DCB">
              <w:t>This unit will assist individuals to meet some of their obligations under the releva</w:t>
            </w:r>
            <w:r w:rsidRPr="00EB6DCB">
              <w:t>nt State or Territory legislation.  Responsibility for appropriate contextualisation and application of the unit to ensure compliance however, remains with the individual organisation.</w:t>
            </w:r>
          </w:p>
        </w:tc>
      </w:tr>
    </w:tbl>
    <w:p w:rsidR="00B975E2" w:rsidP="00EB6DCB">
      <w:pPr>
        <w:pStyle w:val="BodyText"/>
      </w:pPr>
    </w:p>
    <w:p w:rsidR="00B975E2" w:rsidP="00EB6DCB">
      <w:pPr>
        <w:pStyle w:val="BodyText"/>
      </w:pPr>
    </w:p>
    <w:p w:rsidR="00000000" w:rsidRPr="00EB6DCB" w:rsidP="00EB6DCB">
      <w:pPr>
        <w:pStyle w:val="Heading1"/>
      </w:pPr>
      <w:bookmarkStart w:id="12" w:name="O_107630"/>
      <w:bookmarkEnd w:id="12"/>
      <w:r w:rsidRPr="00EB6DCB">
        <w:t>Unit Sector(s)</w:t>
      </w:r>
    </w:p>
    <w:tbl>
      <w:tblPr>
        <w:tblW w:w="0" w:type="auto"/>
        <w:tblCellMar>
          <w:left w:w="62" w:type="dxa"/>
          <w:right w:w="62" w:type="dxa"/>
        </w:tblCellMar>
        <w:tblLook w:val="0000"/>
      </w:tblPr>
      <w:tblGrid>
        <w:gridCol w:w="2649"/>
        <w:gridCol w:w="6547"/>
      </w:tblGrid>
      <w:tr w:rsidTr="00B975E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DCB">
            <w:pPr>
              <w:pStyle w:val="BodyText"/>
              <w:rPr>
                <w:lang w:val="en-NZ"/>
              </w:rPr>
            </w:pPr>
            <w:r w:rsidRPr="00EB6DCB">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DCB" w:rsidP="00EB6DCB">
            <w:pPr>
              <w:pStyle w:val="BodyText"/>
            </w:pPr>
            <w:r w:rsidRPr="00EB6DCB">
              <w:t>Support/generic</w:t>
            </w:r>
          </w:p>
        </w:tc>
      </w:tr>
    </w:tbl>
    <w:p w:rsidR="00000000" w:rsidRPr="00EB6DCB" w:rsidP="00EB6DCB">
      <w:pPr>
        <w:pStyle w:val="BodyText"/>
      </w:pPr>
    </w:p>
    <w:p w:rsidR="00000000" w:rsidRPr="00EB6DCB" w:rsidP="00EB6DCB">
      <w:pPr>
        <w:pStyle w:val="AllowPageBreak"/>
      </w:pPr>
    </w:p>
    <w:p w:rsidR="00000000" w:rsidRPr="00EB6DCB" w:rsidP="00EB6DCB">
      <w:pPr>
        <w:pStyle w:val="Heading1"/>
      </w:pPr>
      <w:bookmarkStart w:id="13" w:name="O_160059"/>
      <w:bookmarkEnd w:id="13"/>
      <w:r w:rsidRPr="00EB6DCB">
        <w:t>Competency field</w:t>
      </w:r>
    </w:p>
    <w:tbl>
      <w:tblPr>
        <w:tblW w:w="0" w:type="auto"/>
        <w:tblCellMar>
          <w:left w:w="62" w:type="dxa"/>
          <w:right w:w="62" w:type="dxa"/>
        </w:tblCellMar>
        <w:tblLook w:val="0000"/>
      </w:tblPr>
      <w:tblGrid>
        <w:gridCol w:w="2649"/>
        <w:gridCol w:w="6547"/>
      </w:tblGrid>
      <w:tr w:rsidTr="00B975E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DCB">
            <w:pPr>
              <w:pStyle w:val="BodyText"/>
              <w:rPr>
                <w:lang w:val="en-NZ"/>
              </w:rPr>
            </w:pPr>
            <w:r w:rsidRPr="00EB6DCB">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DCB" w:rsidP="00EB6DCB">
            <w:pPr>
              <w:pStyle w:val="BodyText"/>
            </w:pPr>
          </w:p>
        </w:tc>
      </w:tr>
    </w:tbl>
    <w:p w:rsidR="00000000" w:rsidRPr="00EB6DCB" w:rsidP="00EB6DCB">
      <w:pPr>
        <w:pStyle w:val="BodyText"/>
      </w:pPr>
    </w:p>
    <w:p w:rsidR="00000000" w:rsidRPr="00EB6DCB" w:rsidP="00EB6DCB">
      <w:pPr>
        <w:pStyle w:val="AllowPageBreak"/>
      </w:pPr>
    </w:p>
    <w:p w:rsidR="00000000" w:rsidRPr="00EB6DCB" w:rsidP="00EB6DCB">
      <w:pPr>
        <w:pStyle w:val="Heading1"/>
      </w:pPr>
      <w:bookmarkStart w:id="14" w:name="O_160058"/>
      <w:bookmarkEnd w:id="14"/>
      <w:r w:rsidRPr="00EB6DCB">
        <w:t>Co-requisite units</w:t>
      </w:r>
    </w:p>
    <w:tbl>
      <w:tblPr>
        <w:tblW w:w="0" w:type="auto"/>
        <w:tblCellMar>
          <w:left w:w="62" w:type="dxa"/>
          <w:right w:w="62" w:type="dxa"/>
        </w:tblCellMar>
        <w:tblLook w:val="0000"/>
      </w:tblPr>
      <w:tblGrid>
        <w:gridCol w:w="2649"/>
        <w:gridCol w:w="3273"/>
        <w:gridCol w:w="3274"/>
      </w:tblGrid>
      <w:tr w:rsidTr="00B975E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DCB">
            <w:pPr>
              <w:pStyle w:val="BodyText"/>
              <w:rPr>
                <w:lang w:val="en-NZ"/>
              </w:rPr>
            </w:pPr>
            <w:r w:rsidRPr="00EB6DCB">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DCB" w:rsidP="00EB6DCB">
            <w:pPr>
              <w:pStyle w:val="BodyText"/>
            </w:pPr>
          </w:p>
        </w:tc>
      </w:tr>
    </w:tbl>
    <w:p w:rsidR="00000000" w:rsidRPr="00EB6DCB" w:rsidP="00EB6DCB">
      <w:pPr>
        <w:pStyle w:val="BodyText"/>
      </w:pPr>
    </w:p>
    <w:p w:rsidR="00000000" w:rsidRPr="00EB6DCB" w:rsidP="00EB6DCB"/>
    <w:sectPr w:rsidSect="00EB6D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D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75E2" w:rsidP="00B975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D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5E2" w:rsidP="00EB6D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975E2" w:rsidP="00EB6D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975E2" w:rsidP="00EB6D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D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75E2" w:rsidP="00B975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D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5E2" w:rsidP="00EB6DCB">
    <w:pPr>
      <w:pStyle w:val="Header"/>
      <w:framePr w:wrap="around"/>
    </w:pPr>
    <w:r>
      <w:fldChar w:fldCharType="begin"/>
    </w:r>
    <w:r>
      <w:instrText xml:space="preserve"> TITLE   \* MERGEFORMAT </w:instrText>
    </w:r>
    <w:r>
      <w:fldChar w:fldCharType="separate"/>
    </w:r>
    <w:r>
      <w:t>PMASUP305A Operate offshore cranes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975E2" w:rsidP="00EB6D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186A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2C99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D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6DCB"/>
    <w:pPr>
      <w:spacing w:before="360" w:after="60"/>
      <w:outlineLvl w:val="0"/>
    </w:pPr>
    <w:rPr>
      <w:sz w:val="32"/>
    </w:rPr>
  </w:style>
  <w:style w:type="paragraph" w:styleId="Heading2">
    <w:name w:val="heading 2"/>
    <w:basedOn w:val="HeadingBase"/>
    <w:next w:val="BodyText"/>
    <w:link w:val="Heading2Char"/>
    <w:qFormat/>
    <w:rsid w:val="00EB6DCB"/>
    <w:pPr>
      <w:keepLines/>
      <w:spacing w:before="240" w:after="120"/>
      <w:outlineLvl w:val="1"/>
    </w:pPr>
    <w:rPr>
      <w:sz w:val="28"/>
      <w:szCs w:val="40"/>
    </w:rPr>
  </w:style>
  <w:style w:type="paragraph" w:styleId="Heading3">
    <w:name w:val="heading 3"/>
    <w:basedOn w:val="HeadingBase"/>
    <w:next w:val="BodyText"/>
    <w:link w:val="Heading3Char"/>
    <w:qFormat/>
    <w:rsid w:val="00EB6DCB"/>
    <w:pPr>
      <w:spacing w:before="180" w:after="120"/>
      <w:outlineLvl w:val="2"/>
    </w:pPr>
    <w:rPr>
      <w:spacing w:val="-10"/>
      <w:kern w:val="32"/>
    </w:rPr>
  </w:style>
  <w:style w:type="paragraph" w:styleId="Heading4">
    <w:name w:val="heading 4"/>
    <w:basedOn w:val="HeadingBase"/>
    <w:next w:val="BodyText"/>
    <w:link w:val="Heading4Char"/>
    <w:qFormat/>
    <w:rsid w:val="00EB6DCB"/>
    <w:pPr>
      <w:spacing w:before="160" w:after="120"/>
      <w:outlineLvl w:val="3"/>
    </w:pPr>
    <w:rPr>
      <w:sz w:val="22"/>
    </w:rPr>
  </w:style>
  <w:style w:type="paragraph" w:styleId="Heading5">
    <w:name w:val="heading 5"/>
    <w:basedOn w:val="HeadingBase"/>
    <w:next w:val="Normal"/>
    <w:link w:val="Heading5Char"/>
    <w:qFormat/>
    <w:rsid w:val="00EB6DCB"/>
    <w:pPr>
      <w:spacing w:before="80"/>
      <w:outlineLvl w:val="4"/>
    </w:pPr>
    <w:rPr>
      <w:color w:val="918585"/>
      <w:sz w:val="20"/>
    </w:rPr>
  </w:style>
  <w:style w:type="paragraph" w:styleId="Heading6">
    <w:name w:val="heading 6"/>
    <w:basedOn w:val="HeadingBase"/>
    <w:next w:val="Normal"/>
    <w:link w:val="Heading6Char"/>
    <w:qFormat/>
    <w:rsid w:val="00EB6DCB"/>
    <w:pPr>
      <w:spacing w:before="60"/>
      <w:outlineLvl w:val="5"/>
    </w:pPr>
    <w:rPr>
      <w:color w:val="918585"/>
      <w:sz w:val="20"/>
    </w:rPr>
  </w:style>
  <w:style w:type="paragraph" w:styleId="Heading7">
    <w:name w:val="heading 7"/>
    <w:basedOn w:val="Normal"/>
    <w:next w:val="Normal"/>
    <w:link w:val="Heading7Char"/>
    <w:qFormat/>
    <w:rsid w:val="00EB6DCB"/>
    <w:pPr>
      <w:ind w:left="720"/>
      <w:outlineLvl w:val="6"/>
    </w:pPr>
    <w:rPr>
      <w:i/>
    </w:rPr>
  </w:style>
  <w:style w:type="paragraph" w:styleId="Heading8">
    <w:name w:val="heading 8"/>
    <w:basedOn w:val="Normal"/>
    <w:next w:val="Normal"/>
    <w:link w:val="Heading8Char"/>
    <w:qFormat/>
    <w:rsid w:val="00EB6DCB"/>
    <w:pPr>
      <w:ind w:left="720"/>
      <w:outlineLvl w:val="7"/>
    </w:pPr>
    <w:rPr>
      <w:i/>
    </w:rPr>
  </w:style>
  <w:style w:type="paragraph" w:styleId="Heading9">
    <w:name w:val="heading 9"/>
    <w:basedOn w:val="Normal"/>
    <w:next w:val="Normal"/>
    <w:link w:val="Heading9Char"/>
    <w:qFormat/>
    <w:rsid w:val="00EB6DCB"/>
    <w:pPr>
      <w:ind w:left="720"/>
      <w:outlineLvl w:val="8"/>
    </w:pPr>
    <w:rPr>
      <w:i/>
    </w:rPr>
  </w:style>
  <w:style w:type="character" w:default="1" w:styleId="DefaultParagraphFont">
    <w:name w:val="Default Paragraph Font"/>
    <w:uiPriority w:val="1"/>
    <w:unhideWhenUsed/>
    <w:rsid w:val="00EB6D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6DCB"/>
  </w:style>
  <w:style w:type="character" w:customStyle="1" w:styleId="Heading1Char">
    <w:name w:val="Heading 1 Char"/>
    <w:basedOn w:val="DefaultParagraphFont"/>
    <w:link w:val="Heading1"/>
    <w:rsid w:val="00EB6DCB"/>
    <w:rPr>
      <w:rFonts w:ascii="Times New Roman" w:eastAsia="Times New Roman" w:hAnsi="Times New Roman" w:cs="Times New Roman"/>
      <w:b/>
      <w:sz w:val="32"/>
      <w:szCs w:val="20"/>
      <w:lang w:eastAsia="en-US"/>
    </w:rPr>
  </w:style>
  <w:style w:type="paragraph" w:styleId="BodyText">
    <w:name w:val="Body Text"/>
    <w:basedOn w:val="Normal"/>
    <w:link w:val="BodyTextChar"/>
    <w:rsid w:val="00EB6D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6DCB"/>
    <w:rPr>
      <w:rFonts w:ascii="Times New Roman" w:eastAsia="Times New Roman" w:hAnsi="Times New Roman" w:cs="Times New Roman"/>
      <w:sz w:val="24"/>
      <w:lang w:val="en-US" w:eastAsia="en-US"/>
    </w:rPr>
  </w:style>
  <w:style w:type="paragraph" w:styleId="Footer">
    <w:name w:val="footer"/>
    <w:basedOn w:val="Normal"/>
    <w:link w:val="FooterChar"/>
    <w:rsid w:val="00EB6D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6DCB"/>
    <w:rPr>
      <w:rFonts w:ascii="Times New Roman" w:eastAsia="Times New Roman" w:hAnsi="Times New Roman" w:cs="Times New Roman"/>
      <w:sz w:val="16"/>
      <w:lang w:val="en-US" w:eastAsia="en-US"/>
    </w:rPr>
  </w:style>
  <w:style w:type="paragraph" w:styleId="List">
    <w:name w:val="List"/>
    <w:basedOn w:val="BodyText"/>
    <w:next w:val="BodyText"/>
    <w:rsid w:val="00EB6DCB"/>
    <w:pPr>
      <w:tabs>
        <w:tab w:val="left" w:pos="340"/>
      </w:tabs>
      <w:spacing w:before="60" w:after="60"/>
      <w:ind w:left="340" w:hanging="340"/>
    </w:pPr>
  </w:style>
  <w:style w:type="paragraph" w:styleId="ListBullet">
    <w:name w:val="List Bullet"/>
    <w:basedOn w:val="List"/>
    <w:rsid w:val="00EB6DCB"/>
    <w:pPr>
      <w:numPr>
        <w:numId w:val="12"/>
      </w:numPr>
      <w:tabs>
        <w:tab w:val="clear" w:pos="340"/>
      </w:tabs>
      <w:spacing w:before="40" w:after="40"/>
    </w:pPr>
  </w:style>
  <w:style w:type="character" w:customStyle="1" w:styleId="SpecialBold">
    <w:name w:val="Special Bold"/>
    <w:basedOn w:val="DefaultParagraphFont"/>
    <w:rsid w:val="00EB6DCB"/>
    <w:rPr>
      <w:b/>
      <w:spacing w:val="0"/>
    </w:rPr>
  </w:style>
  <w:style w:type="paragraph" w:styleId="Header">
    <w:name w:val="header"/>
    <w:basedOn w:val="Normal"/>
    <w:link w:val="HeaderChar"/>
    <w:rsid w:val="00EB6D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6D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6DCB"/>
    <w:pPr>
      <w:spacing w:before="240" w:after="120"/>
      <w:outlineLvl w:val="0"/>
    </w:pPr>
    <w:rPr>
      <w:rFonts w:ascii="Times New Roman" w:hAnsi="Times New Roman"/>
      <w:b/>
      <w:sz w:val="28"/>
    </w:rPr>
  </w:style>
  <w:style w:type="paragraph" w:customStyle="1" w:styleId="AllowPageBreak">
    <w:name w:val="AllowPageBreak"/>
    <w:rsid w:val="00EB6D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6DCB"/>
    <w:pPr>
      <w:tabs>
        <w:tab w:val="left" w:pos="680"/>
      </w:tabs>
      <w:spacing w:before="60" w:after="60"/>
      <w:ind w:left="680" w:hanging="340"/>
    </w:pPr>
  </w:style>
  <w:style w:type="character" w:customStyle="1" w:styleId="Underline">
    <w:name w:val="Underline"/>
    <w:basedOn w:val="DefaultParagraphFont"/>
    <w:qFormat/>
    <w:rsid w:val="00EB6DCB"/>
    <w:rPr>
      <w:u w:val="single"/>
    </w:rPr>
  </w:style>
  <w:style w:type="character" w:customStyle="1" w:styleId="Heading2Char">
    <w:name w:val="Heading 2 Char"/>
    <w:basedOn w:val="DefaultParagraphFont"/>
    <w:link w:val="Heading2"/>
    <w:rsid w:val="00EB6D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6D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6D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6D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6D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6D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6D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6DCB"/>
    <w:rPr>
      <w:rFonts w:ascii="Courier New" w:eastAsia="Times New Roman" w:hAnsi="Courier New" w:cs="Times New Roman"/>
      <w:i/>
      <w:szCs w:val="20"/>
      <w:lang w:val="en-US" w:eastAsia="en-US"/>
    </w:rPr>
  </w:style>
  <w:style w:type="paragraph" w:customStyle="1" w:styleId="HeadingBase">
    <w:name w:val="Heading Base"/>
    <w:rsid w:val="00EB6D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6DCB"/>
    <w:pPr>
      <w:tabs>
        <w:tab w:val="right" w:leader="dot" w:pos="9072"/>
      </w:tabs>
      <w:ind w:left="567"/>
    </w:pPr>
    <w:rPr>
      <w:szCs w:val="22"/>
    </w:rPr>
  </w:style>
  <w:style w:type="paragraph" w:customStyle="1" w:styleId="TOCBase">
    <w:name w:val="TOC Base"/>
    <w:rsid w:val="00EB6D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6DCB"/>
    <w:pPr>
      <w:tabs>
        <w:tab w:val="right" w:leader="dot" w:pos="9072"/>
      </w:tabs>
      <w:spacing w:before="40" w:after="40"/>
      <w:ind w:left="284"/>
    </w:pPr>
    <w:rPr>
      <w:rFonts w:ascii="Times New Roman" w:hAnsi="Times New Roman"/>
    </w:rPr>
  </w:style>
  <w:style w:type="paragraph" w:styleId="TOC1">
    <w:name w:val="toc 1"/>
    <w:basedOn w:val="TOCBase"/>
    <w:next w:val="Normal"/>
    <w:rsid w:val="00EB6D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6DCB"/>
    <w:pPr>
      <w:spacing w:before="5040"/>
      <w:jc w:val="center"/>
    </w:pPr>
    <w:rPr>
      <w:sz w:val="48"/>
      <w:szCs w:val="72"/>
      <w:lang w:val="en-US"/>
    </w:rPr>
  </w:style>
  <w:style w:type="character" w:customStyle="1" w:styleId="TitleChar">
    <w:name w:val="Title Char"/>
    <w:basedOn w:val="DefaultParagraphFont"/>
    <w:link w:val="Title"/>
    <w:rsid w:val="00EB6D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6DCB"/>
    <w:pPr>
      <w:tabs>
        <w:tab w:val="left" w:pos="3600"/>
        <w:tab w:val="left" w:pos="3958"/>
      </w:tabs>
    </w:pPr>
  </w:style>
  <w:style w:type="paragraph" w:customStyle="1" w:styleId="Note">
    <w:name w:val="Note"/>
    <w:basedOn w:val="BodyText"/>
    <w:rsid w:val="00EB6D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6DCB"/>
    <w:pPr>
      <w:framePr w:wrap="auto" w:hAnchor="text" w:y="6049"/>
    </w:pPr>
    <w:rPr>
      <w:color w:val="000000"/>
      <w:sz w:val="40"/>
    </w:rPr>
  </w:style>
  <w:style w:type="paragraph" w:customStyle="1" w:styleId="TOCTitle">
    <w:name w:val="TOCTitle"/>
    <w:basedOn w:val="Heading1"/>
    <w:rsid w:val="00EB6DCB"/>
    <w:pPr>
      <w:spacing w:after="240"/>
      <w:jc w:val="center"/>
      <w:outlineLvl w:val="9"/>
    </w:pPr>
    <w:rPr>
      <w:caps/>
    </w:rPr>
  </w:style>
  <w:style w:type="paragraph" w:customStyle="1" w:styleId="Version">
    <w:name w:val="Version"/>
    <w:rsid w:val="00EB6D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6DCB"/>
    <w:pPr>
      <w:numPr>
        <w:numId w:val="13"/>
      </w:numPr>
      <w:tabs>
        <w:tab w:val="clear" w:pos="680"/>
      </w:tabs>
    </w:pPr>
  </w:style>
  <w:style w:type="paragraph" w:styleId="Index1">
    <w:name w:val="index 1"/>
    <w:basedOn w:val="Normal"/>
    <w:next w:val="Normal"/>
    <w:semiHidden/>
    <w:rsid w:val="00EB6DCB"/>
    <w:pPr>
      <w:keepNext w:val="0"/>
      <w:tabs>
        <w:tab w:val="right" w:pos="4176"/>
      </w:tabs>
      <w:ind w:left="198" w:hanging="198"/>
    </w:pPr>
    <w:rPr>
      <w:rFonts w:ascii="Garamond" w:hAnsi="Garamond"/>
    </w:rPr>
  </w:style>
  <w:style w:type="paragraph" w:styleId="IndexHeading">
    <w:name w:val="index heading"/>
    <w:basedOn w:val="Normal"/>
    <w:next w:val="Index1"/>
    <w:semiHidden/>
    <w:rsid w:val="00EB6DCB"/>
    <w:pPr>
      <w:spacing w:before="120" w:after="120"/>
    </w:pPr>
    <w:rPr>
      <w:rFonts w:ascii="Arial" w:hAnsi="Arial"/>
      <w:b/>
      <w:color w:val="918585"/>
      <w:sz w:val="24"/>
    </w:rPr>
  </w:style>
  <w:style w:type="paragraph" w:customStyle="1" w:styleId="Chapter">
    <w:name w:val="Chapter"/>
    <w:basedOn w:val="Normal"/>
    <w:rsid w:val="00EB6DCB"/>
    <w:pPr>
      <w:spacing w:before="240"/>
    </w:pPr>
    <w:rPr>
      <w:rFonts w:ascii="Times New Roman" w:hAnsi="Times New Roman"/>
      <w:smallCaps/>
      <w:spacing w:val="80"/>
      <w:sz w:val="28"/>
    </w:rPr>
  </w:style>
  <w:style w:type="paragraph" w:customStyle="1" w:styleId="InChapter">
    <w:name w:val="InChapter"/>
    <w:basedOn w:val="Heading3"/>
    <w:rsid w:val="00EB6DCB"/>
    <w:pPr>
      <w:spacing w:after="240"/>
      <w:outlineLvl w:val="9"/>
    </w:pPr>
    <w:rPr>
      <w:noProof/>
    </w:rPr>
  </w:style>
  <w:style w:type="paragraph" w:styleId="Index2">
    <w:name w:val="index 2"/>
    <w:basedOn w:val="Normal"/>
    <w:next w:val="Normal"/>
    <w:semiHidden/>
    <w:rsid w:val="00EB6DCB"/>
    <w:pPr>
      <w:tabs>
        <w:tab w:val="right" w:pos="4176"/>
      </w:tabs>
      <w:ind w:left="568" w:hanging="284"/>
    </w:pPr>
    <w:rPr>
      <w:rFonts w:ascii="Garamond" w:hAnsi="Garamond"/>
    </w:rPr>
  </w:style>
  <w:style w:type="paragraph" w:customStyle="1" w:styleId="Byline">
    <w:name w:val="Byline"/>
    <w:rsid w:val="00EB6D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6DCB"/>
    <w:pPr>
      <w:tabs>
        <w:tab w:val="clear" w:pos="3600"/>
        <w:tab w:val="clear" w:pos="3958"/>
      </w:tabs>
      <w:jc w:val="right"/>
    </w:pPr>
  </w:style>
  <w:style w:type="character" w:styleId="Emphasis">
    <w:name w:val="Emphasis"/>
    <w:basedOn w:val="DefaultParagraphFont"/>
    <w:qFormat/>
    <w:rsid w:val="00EB6DCB"/>
    <w:rPr>
      <w:i/>
    </w:rPr>
  </w:style>
  <w:style w:type="paragraph" w:styleId="Caption">
    <w:name w:val="caption"/>
    <w:basedOn w:val="BodyText"/>
    <w:next w:val="Normal"/>
    <w:qFormat/>
    <w:rsid w:val="00EB6DCB"/>
    <w:pPr>
      <w:framePr w:w="2268" w:hSpace="181" w:vSpace="181" w:wrap="around" w:vAnchor="text" w:hAnchor="page" w:x="1135" w:y="285" w:anchorLock="1"/>
    </w:pPr>
    <w:rPr>
      <w:i/>
    </w:rPr>
  </w:style>
  <w:style w:type="paragraph" w:customStyle="1" w:styleId="MiniTOCTitle">
    <w:name w:val="MiniTOCTitle"/>
    <w:basedOn w:val="Heading4"/>
    <w:rsid w:val="00EB6DCB"/>
    <w:pPr>
      <w:spacing w:before="240"/>
      <w:outlineLvl w:val="9"/>
    </w:pPr>
    <w:rPr>
      <w:noProof/>
      <w:sz w:val="24"/>
    </w:rPr>
  </w:style>
  <w:style w:type="paragraph" w:customStyle="1" w:styleId="MiniTOCItem">
    <w:name w:val="MiniTOCItem"/>
    <w:basedOn w:val="ListBullet"/>
    <w:rsid w:val="00EB6DCB"/>
    <w:pPr>
      <w:numPr>
        <w:numId w:val="0"/>
      </w:numPr>
      <w:tabs>
        <w:tab w:val="right" w:leader="dot" w:pos="6521"/>
      </w:tabs>
      <w:spacing w:before="0" w:after="0"/>
    </w:pPr>
  </w:style>
  <w:style w:type="paragraph" w:customStyle="1" w:styleId="TOFTitle">
    <w:name w:val="TOFTitle"/>
    <w:basedOn w:val="TOCTitle"/>
    <w:rsid w:val="00EB6DCB"/>
  </w:style>
  <w:style w:type="paragraph" w:styleId="TableofFigures">
    <w:name w:val="table of figures"/>
    <w:basedOn w:val="Normal"/>
    <w:next w:val="Normal"/>
    <w:semiHidden/>
    <w:rsid w:val="00EB6DCB"/>
    <w:pPr>
      <w:tabs>
        <w:tab w:val="right" w:leader="dot" w:pos="9072"/>
      </w:tabs>
      <w:ind w:left="970" w:hanging="403"/>
    </w:pPr>
    <w:rPr>
      <w:rFonts w:ascii="Times New Roman" w:hAnsi="Times New Roman"/>
      <w:b/>
    </w:rPr>
  </w:style>
  <w:style w:type="paragraph" w:styleId="ListNumber">
    <w:name w:val="List Number"/>
    <w:basedOn w:val="List"/>
    <w:rsid w:val="00EB6DCB"/>
    <w:pPr>
      <w:numPr>
        <w:numId w:val="10"/>
      </w:numPr>
    </w:pPr>
  </w:style>
  <w:style w:type="character" w:customStyle="1" w:styleId="WingdingSymbols">
    <w:name w:val="Wingding Symbols"/>
    <w:rsid w:val="00EB6DCB"/>
    <w:rPr>
      <w:rFonts w:ascii="Wingdings" w:hAnsi="Wingdings"/>
    </w:rPr>
  </w:style>
  <w:style w:type="paragraph" w:customStyle="1" w:styleId="TableHeading">
    <w:name w:val="Table Heading"/>
    <w:basedOn w:val="HeadingBase"/>
    <w:rsid w:val="00EB6DCB"/>
    <w:pPr>
      <w:keepLines/>
      <w:pBdr>
        <w:bottom w:val="single" w:sz="6" w:space="1" w:color="918585"/>
      </w:pBdr>
      <w:spacing w:before="240"/>
    </w:pPr>
  </w:style>
  <w:style w:type="character" w:customStyle="1" w:styleId="HotSpot">
    <w:name w:val="HotSpot"/>
    <w:rsid w:val="00EB6DCB"/>
    <w:rPr>
      <w:color w:val="0033CC"/>
      <w:u w:val="none"/>
    </w:rPr>
  </w:style>
  <w:style w:type="paragraph" w:customStyle="1" w:styleId="BodyTextRight">
    <w:name w:val="Body Text Right"/>
    <w:basedOn w:val="BodyText"/>
    <w:rsid w:val="00EB6DCB"/>
    <w:pPr>
      <w:spacing w:before="0" w:after="0"/>
      <w:jc w:val="right"/>
    </w:pPr>
  </w:style>
  <w:style w:type="paragraph" w:styleId="Index3">
    <w:name w:val="index 3"/>
    <w:basedOn w:val="ListNumber2"/>
    <w:next w:val="Normal"/>
    <w:semiHidden/>
    <w:rsid w:val="00EB6DCB"/>
    <w:pPr>
      <w:numPr>
        <w:numId w:val="0"/>
      </w:numPr>
      <w:tabs>
        <w:tab w:val="right" w:leader="dot" w:pos="4176"/>
      </w:tabs>
    </w:pPr>
  </w:style>
  <w:style w:type="paragraph" w:styleId="ListNumber2">
    <w:name w:val="List Number 2"/>
    <w:basedOn w:val="List2"/>
    <w:rsid w:val="00EB6DCB"/>
    <w:pPr>
      <w:numPr>
        <w:numId w:val="9"/>
      </w:numPr>
      <w:tabs>
        <w:tab w:val="clear" w:pos="1060"/>
      </w:tabs>
    </w:pPr>
  </w:style>
  <w:style w:type="paragraph" w:customStyle="1" w:styleId="MarginNote">
    <w:name w:val="Margin Note"/>
    <w:basedOn w:val="BodyText"/>
    <w:rsid w:val="00EB6D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6D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6D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6DCB"/>
    <w:rPr>
      <w:sz w:val="32"/>
    </w:rPr>
  </w:style>
  <w:style w:type="paragraph" w:customStyle="1" w:styleId="HeadingProcedure">
    <w:name w:val="Heading Procedure"/>
    <w:basedOn w:val="HeadingBase"/>
    <w:next w:val="Normal"/>
    <w:rsid w:val="00EB6DCB"/>
    <w:pPr>
      <w:tabs>
        <w:tab w:val="left" w:pos="0"/>
      </w:tabs>
      <w:spacing w:before="120" w:after="60"/>
    </w:pPr>
    <w:rPr>
      <w:i/>
      <w:color w:val="918585"/>
      <w:sz w:val="22"/>
    </w:rPr>
  </w:style>
  <w:style w:type="paragraph" w:customStyle="1" w:styleId="TableBodyText">
    <w:name w:val="Table Body Text"/>
    <w:basedOn w:val="BodyText"/>
    <w:rsid w:val="00EB6DCB"/>
    <w:pPr>
      <w:spacing w:before="60" w:after="60"/>
    </w:pPr>
  </w:style>
  <w:style w:type="paragraph" w:styleId="ListContinue">
    <w:name w:val="List Continue"/>
    <w:basedOn w:val="List"/>
    <w:rsid w:val="00EB6DCB"/>
    <w:pPr>
      <w:ind w:firstLine="0"/>
    </w:pPr>
  </w:style>
  <w:style w:type="paragraph" w:customStyle="1" w:styleId="ListNote">
    <w:name w:val="List Note"/>
    <w:basedOn w:val="List"/>
    <w:rsid w:val="00EB6DCB"/>
    <w:pPr>
      <w:pBdr>
        <w:top w:val="single" w:sz="6" w:space="2" w:color="918585"/>
        <w:bottom w:val="single" w:sz="6" w:space="2" w:color="918585"/>
      </w:pBdr>
      <w:tabs>
        <w:tab w:val="left" w:pos="1021"/>
      </w:tabs>
      <w:ind w:firstLine="0"/>
    </w:pPr>
  </w:style>
  <w:style w:type="paragraph" w:customStyle="1" w:styleId="Warning">
    <w:name w:val="Warning"/>
    <w:basedOn w:val="BodyText"/>
    <w:rsid w:val="00EB6DCB"/>
    <w:pPr>
      <w:shd w:val="clear" w:color="auto" w:fill="D9D9D9"/>
      <w:tabs>
        <w:tab w:val="left" w:pos="992"/>
      </w:tabs>
      <w:ind w:left="119" w:right="119"/>
    </w:pPr>
    <w:rPr>
      <w:sz w:val="20"/>
    </w:rPr>
  </w:style>
  <w:style w:type="paragraph" w:customStyle="1" w:styleId="MarginIcons">
    <w:name w:val="Margin Icons"/>
    <w:basedOn w:val="BodyText"/>
    <w:rsid w:val="00EB6D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6DCB"/>
    <w:rPr>
      <w:rFonts w:ascii="Courier New" w:hAnsi="Courier New"/>
    </w:rPr>
  </w:style>
  <w:style w:type="paragraph" w:customStyle="1" w:styleId="NoteBullet">
    <w:name w:val="Note Bullet"/>
    <w:basedOn w:val="Note"/>
    <w:rsid w:val="00EB6DCB"/>
    <w:pPr>
      <w:tabs>
        <w:tab w:val="clear" w:pos="680"/>
      </w:tabs>
      <w:spacing w:before="60" w:after="60"/>
    </w:pPr>
  </w:style>
  <w:style w:type="paragraph" w:customStyle="1" w:styleId="SubHeading2">
    <w:name w:val="SubHeading2"/>
    <w:basedOn w:val="HeadingBase"/>
    <w:rsid w:val="00EB6DCB"/>
    <w:pPr>
      <w:spacing w:before="240" w:after="60"/>
    </w:pPr>
    <w:rPr>
      <w:sz w:val="20"/>
    </w:rPr>
  </w:style>
  <w:style w:type="paragraph" w:customStyle="1" w:styleId="SubHeading1">
    <w:name w:val="SubHeading1"/>
    <w:basedOn w:val="HeadingBase"/>
    <w:rsid w:val="00EB6DCB"/>
    <w:pPr>
      <w:spacing w:before="240" w:after="60"/>
    </w:pPr>
    <w:rPr>
      <w:color w:val="918585"/>
      <w:sz w:val="22"/>
    </w:rPr>
  </w:style>
  <w:style w:type="paragraph" w:customStyle="1" w:styleId="SideHeading">
    <w:name w:val="Side Heading"/>
    <w:basedOn w:val="HeadingBase"/>
    <w:rsid w:val="00EB6D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6DCB"/>
    <w:pPr>
      <w:tabs>
        <w:tab w:val="num" w:pos="360"/>
      </w:tabs>
    </w:pPr>
  </w:style>
  <w:style w:type="paragraph" w:styleId="PlainText">
    <w:name w:val="Plain Text"/>
    <w:basedOn w:val="Normal"/>
    <w:link w:val="PlainTextChar"/>
    <w:rsid w:val="00EB6DCB"/>
    <w:rPr>
      <w:sz w:val="20"/>
    </w:rPr>
  </w:style>
  <w:style w:type="character" w:customStyle="1" w:styleId="PlainTextChar">
    <w:name w:val="Plain Text Char"/>
    <w:basedOn w:val="DefaultParagraphFont"/>
    <w:link w:val="PlainText"/>
    <w:rsid w:val="00EB6DC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6DCB"/>
    <w:rPr>
      <w:b/>
      <w:smallCaps/>
    </w:rPr>
  </w:style>
  <w:style w:type="paragraph" w:customStyle="1" w:styleId="TableListNumber">
    <w:name w:val="Table List Number"/>
    <w:basedOn w:val="ListNumber"/>
    <w:rsid w:val="00EB6DCB"/>
    <w:pPr>
      <w:numPr>
        <w:numId w:val="0"/>
      </w:numPr>
    </w:pPr>
  </w:style>
  <w:style w:type="paragraph" w:styleId="TOC4">
    <w:name w:val="toc 4"/>
    <w:basedOn w:val="TOCBase"/>
    <w:next w:val="Normal"/>
    <w:semiHidden/>
    <w:rsid w:val="00EB6DCB"/>
    <w:pPr>
      <w:tabs>
        <w:tab w:val="right" w:leader="dot" w:pos="9071"/>
      </w:tabs>
      <w:ind w:left="1701"/>
    </w:pPr>
  </w:style>
  <w:style w:type="paragraph" w:customStyle="1" w:styleId="ListAlpha">
    <w:name w:val="List Alpha"/>
    <w:basedOn w:val="List"/>
    <w:rsid w:val="00EB6DCB"/>
    <w:pPr>
      <w:numPr>
        <w:numId w:val="8"/>
      </w:numPr>
    </w:pPr>
  </w:style>
  <w:style w:type="paragraph" w:customStyle="1" w:styleId="ListAlpha2">
    <w:name w:val="List Alpha 2"/>
    <w:basedOn w:val="List2"/>
    <w:rsid w:val="00EB6DCB"/>
    <w:pPr>
      <w:numPr>
        <w:numId w:val="7"/>
      </w:numPr>
    </w:pPr>
  </w:style>
  <w:style w:type="paragraph" w:styleId="List3">
    <w:name w:val="List 3"/>
    <w:basedOn w:val="BodyText"/>
    <w:rsid w:val="00EB6DCB"/>
    <w:pPr>
      <w:tabs>
        <w:tab w:val="left" w:pos="1021"/>
      </w:tabs>
      <w:spacing w:before="60" w:after="60"/>
      <w:ind w:left="1020" w:hanging="340"/>
    </w:pPr>
  </w:style>
  <w:style w:type="paragraph" w:styleId="List4">
    <w:name w:val="List 4"/>
    <w:basedOn w:val="BodyText"/>
    <w:rsid w:val="00EB6DCB"/>
    <w:pPr>
      <w:tabs>
        <w:tab w:val="left" w:pos="1361"/>
      </w:tabs>
      <w:spacing w:before="60" w:after="60"/>
      <w:ind w:left="1361" w:hanging="340"/>
    </w:pPr>
  </w:style>
  <w:style w:type="paragraph" w:styleId="List5">
    <w:name w:val="List 5"/>
    <w:basedOn w:val="BodyText"/>
    <w:rsid w:val="00EB6DCB"/>
    <w:pPr>
      <w:tabs>
        <w:tab w:val="left" w:pos="1701"/>
      </w:tabs>
      <w:spacing w:before="60" w:after="60"/>
      <w:ind w:left="1701" w:hanging="340"/>
    </w:pPr>
  </w:style>
  <w:style w:type="paragraph" w:styleId="ListBullet3">
    <w:name w:val="List Bullet 3"/>
    <w:basedOn w:val="List3"/>
    <w:rsid w:val="00EB6DCB"/>
    <w:pPr>
      <w:numPr>
        <w:numId w:val="14"/>
      </w:numPr>
      <w:tabs>
        <w:tab w:val="clear" w:pos="1021"/>
      </w:tabs>
      <w:ind w:left="1037" w:hanging="357"/>
    </w:pPr>
  </w:style>
  <w:style w:type="paragraph" w:styleId="ListBullet4">
    <w:name w:val="List Bullet 4"/>
    <w:basedOn w:val="List4"/>
    <w:rsid w:val="00EB6DCB"/>
    <w:pPr>
      <w:numPr>
        <w:numId w:val="2"/>
      </w:numPr>
    </w:pPr>
  </w:style>
  <w:style w:type="paragraph" w:styleId="ListBullet5">
    <w:name w:val="List Bullet 5"/>
    <w:basedOn w:val="List5"/>
    <w:rsid w:val="00EB6DCB"/>
    <w:pPr>
      <w:numPr>
        <w:numId w:val="3"/>
      </w:numPr>
    </w:pPr>
  </w:style>
  <w:style w:type="paragraph" w:styleId="ListContinue2">
    <w:name w:val="List Continue 2"/>
    <w:basedOn w:val="List2"/>
    <w:rsid w:val="00EB6DCB"/>
    <w:pPr>
      <w:ind w:firstLine="0"/>
    </w:pPr>
  </w:style>
  <w:style w:type="paragraph" w:styleId="ListContinue3">
    <w:name w:val="List Continue 3"/>
    <w:basedOn w:val="List3"/>
    <w:rsid w:val="00EB6DCB"/>
    <w:pPr>
      <w:ind w:left="1021" w:firstLine="0"/>
    </w:pPr>
  </w:style>
  <w:style w:type="paragraph" w:styleId="ListContinue4">
    <w:name w:val="List Continue 4"/>
    <w:basedOn w:val="List4"/>
    <w:rsid w:val="00EB6DCB"/>
    <w:pPr>
      <w:ind w:firstLine="0"/>
    </w:pPr>
  </w:style>
  <w:style w:type="paragraph" w:styleId="ListContinue5">
    <w:name w:val="List Continue 5"/>
    <w:basedOn w:val="List5"/>
    <w:rsid w:val="00EB6DCB"/>
    <w:pPr>
      <w:ind w:firstLine="0"/>
    </w:pPr>
  </w:style>
  <w:style w:type="paragraph" w:styleId="ListNumber3">
    <w:name w:val="List Number 3"/>
    <w:basedOn w:val="List3"/>
    <w:rsid w:val="00EB6DCB"/>
    <w:pPr>
      <w:numPr>
        <w:numId w:val="4"/>
      </w:numPr>
    </w:pPr>
  </w:style>
  <w:style w:type="paragraph" w:styleId="ListNumber4">
    <w:name w:val="List Number 4"/>
    <w:basedOn w:val="List4"/>
    <w:rsid w:val="00EB6DCB"/>
    <w:pPr>
      <w:numPr>
        <w:numId w:val="5"/>
      </w:numPr>
    </w:pPr>
  </w:style>
  <w:style w:type="paragraph" w:styleId="ListNumber5">
    <w:name w:val="List Number 5"/>
    <w:basedOn w:val="List5"/>
    <w:rsid w:val="00EB6DCB"/>
    <w:pPr>
      <w:numPr>
        <w:numId w:val="6"/>
      </w:numPr>
    </w:pPr>
  </w:style>
  <w:style w:type="paragraph" w:styleId="BlockText">
    <w:name w:val="Block Text"/>
    <w:basedOn w:val="Normal"/>
    <w:rsid w:val="00EB6DCB"/>
    <w:pPr>
      <w:spacing w:after="120"/>
      <w:ind w:left="1440" w:right="1440"/>
    </w:pPr>
  </w:style>
  <w:style w:type="character" w:customStyle="1" w:styleId="Subscript">
    <w:name w:val="Subscript"/>
    <w:basedOn w:val="DefaultParagraphFont"/>
    <w:rsid w:val="00EB6DCB"/>
    <w:rPr>
      <w:sz w:val="16"/>
      <w:vertAlign w:val="subscript"/>
    </w:rPr>
  </w:style>
  <w:style w:type="character" w:customStyle="1" w:styleId="Superscript">
    <w:name w:val="Superscript"/>
    <w:basedOn w:val="DefaultParagraphFont"/>
    <w:rsid w:val="00EB6DCB"/>
    <w:rPr>
      <w:sz w:val="16"/>
      <w:vertAlign w:val="superscript"/>
    </w:rPr>
  </w:style>
  <w:style w:type="character" w:customStyle="1" w:styleId="Symbols">
    <w:name w:val="Symbols"/>
    <w:basedOn w:val="DefaultParagraphFont"/>
    <w:rsid w:val="00EB6DCB"/>
    <w:rPr>
      <w:rFonts w:ascii="Symbol" w:hAnsi="Symbol"/>
    </w:rPr>
  </w:style>
  <w:style w:type="character" w:customStyle="1" w:styleId="MenuOptions">
    <w:name w:val="Menu Options"/>
    <w:basedOn w:val="DefaultParagraphFont"/>
    <w:rsid w:val="00EB6DCB"/>
    <w:rPr>
      <w:rFonts w:ascii="Arial Narrow" w:hAnsi="Arial Narrow"/>
      <w:smallCaps/>
    </w:rPr>
  </w:style>
  <w:style w:type="character" w:customStyle="1" w:styleId="Buttons">
    <w:name w:val="Buttons"/>
    <w:basedOn w:val="DefaultParagraphFont"/>
    <w:rsid w:val="00EB6DCB"/>
    <w:rPr>
      <w:b/>
    </w:rPr>
  </w:style>
  <w:style w:type="character" w:customStyle="1" w:styleId="Underlined">
    <w:name w:val="Underlined"/>
    <w:basedOn w:val="DefaultParagraphFont"/>
    <w:rsid w:val="00EB6DCB"/>
    <w:rPr>
      <w:u w:val="single"/>
    </w:rPr>
  </w:style>
  <w:style w:type="paragraph" w:customStyle="1" w:styleId="TableBodyTextRight">
    <w:name w:val="Table Body Text Right"/>
    <w:basedOn w:val="TableBodyText"/>
    <w:rsid w:val="00EB6DCB"/>
    <w:pPr>
      <w:widowControl w:val="0"/>
      <w:autoSpaceDE w:val="0"/>
      <w:autoSpaceDN w:val="0"/>
      <w:adjustRightInd w:val="0"/>
      <w:jc w:val="right"/>
    </w:pPr>
    <w:rPr>
      <w:rFonts w:cs="Arial"/>
      <w:szCs w:val="18"/>
    </w:rPr>
  </w:style>
  <w:style w:type="paragraph" w:customStyle="1" w:styleId="CopyrightText">
    <w:name w:val="Copyright Text"/>
    <w:basedOn w:val="BodyText"/>
    <w:rsid w:val="00EB6DCB"/>
    <w:rPr>
      <w:sz w:val="18"/>
    </w:rPr>
  </w:style>
  <w:style w:type="paragraph" w:customStyle="1" w:styleId="BodySmallRight">
    <w:name w:val="Body Small Right"/>
    <w:basedOn w:val="BodyTextRight"/>
    <w:rsid w:val="00EB6DCB"/>
    <w:rPr>
      <w:sz w:val="18"/>
      <w:szCs w:val="18"/>
    </w:rPr>
  </w:style>
  <w:style w:type="paragraph" w:customStyle="1" w:styleId="MarginEdition">
    <w:name w:val="Margin Edition"/>
    <w:basedOn w:val="MarginNote"/>
    <w:rsid w:val="00EB6DCB"/>
    <w:pPr>
      <w:spacing w:before="0" w:after="0"/>
    </w:pPr>
    <w:rPr>
      <w:rFonts w:ascii="Times New Roman" w:hAnsi="Times New Roman"/>
      <w:color w:val="999999"/>
    </w:rPr>
  </w:style>
  <w:style w:type="paragraph" w:customStyle="1" w:styleId="Spacer">
    <w:name w:val="Spacer"/>
    <w:basedOn w:val="Normal"/>
    <w:rsid w:val="00EB6DCB"/>
    <w:rPr>
      <w:sz w:val="2"/>
      <w:szCs w:val="2"/>
    </w:rPr>
  </w:style>
  <w:style w:type="character" w:customStyle="1" w:styleId="Small">
    <w:name w:val="Small"/>
    <w:basedOn w:val="DefaultParagraphFont"/>
    <w:rsid w:val="00EB6DCB"/>
    <w:rPr>
      <w:sz w:val="16"/>
    </w:rPr>
  </w:style>
  <w:style w:type="paragraph" w:customStyle="1" w:styleId="WideTable">
    <w:name w:val="Wide Table"/>
    <w:basedOn w:val="Normal"/>
    <w:rsid w:val="00EB6DCB"/>
    <w:pPr>
      <w:ind w:left="-1418"/>
    </w:pPr>
    <w:rPr>
      <w:sz w:val="2"/>
      <w:szCs w:val="2"/>
    </w:rPr>
  </w:style>
  <w:style w:type="character" w:styleId="PageNumber">
    <w:name w:val="page number"/>
    <w:basedOn w:val="DefaultParagraphFont"/>
    <w:rsid w:val="00EB6DCB"/>
  </w:style>
  <w:style w:type="paragraph" w:styleId="Quote">
    <w:name w:val="Quote"/>
    <w:basedOn w:val="Heading1"/>
    <w:link w:val="QuoteChar"/>
    <w:qFormat/>
    <w:rsid w:val="00EB6DCB"/>
    <w:rPr>
      <w:b w:val="0"/>
      <w:sz w:val="72"/>
      <w:szCs w:val="72"/>
      <w:lang w:val="en-NZ"/>
    </w:rPr>
  </w:style>
  <w:style w:type="character" w:customStyle="1" w:styleId="QuoteChar">
    <w:name w:val="Quote Char"/>
    <w:basedOn w:val="DefaultParagraphFont"/>
    <w:link w:val="Quote"/>
    <w:rsid w:val="00EB6D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6DCB"/>
    <w:pPr>
      <w:pageBreakBefore/>
    </w:pPr>
  </w:style>
  <w:style w:type="paragraph" w:customStyle="1" w:styleId="Border">
    <w:name w:val="Border"/>
    <w:basedOn w:val="Normal"/>
    <w:qFormat/>
    <w:rsid w:val="00EB6D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6DCB"/>
    <w:rPr>
      <w:b/>
      <w:bCs/>
      <w:i/>
      <w:iCs/>
      <w:color w:val="auto"/>
    </w:rPr>
  </w:style>
  <w:style w:type="paragraph" w:styleId="IntenseQuote">
    <w:name w:val="Intense Quote"/>
    <w:basedOn w:val="Normal"/>
    <w:next w:val="Normal"/>
    <w:link w:val="IntenseQuoteChar"/>
    <w:uiPriority w:val="30"/>
    <w:qFormat/>
    <w:rsid w:val="00EB6D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6DC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6DCB"/>
    <w:rPr>
      <w:smallCaps/>
      <w:color w:val="auto"/>
      <w:u w:val="single"/>
    </w:rPr>
  </w:style>
  <w:style w:type="character" w:styleId="IntenseReference">
    <w:name w:val="Intense Reference"/>
    <w:basedOn w:val="DefaultParagraphFont"/>
    <w:uiPriority w:val="32"/>
    <w:qFormat/>
    <w:rsid w:val="00EB6DCB"/>
    <w:rPr>
      <w:b/>
      <w:bCs/>
      <w:smallCaps/>
      <w:color w:val="auto"/>
      <w:spacing w:val="5"/>
      <w:u w:val="single"/>
    </w:rPr>
  </w:style>
  <w:style w:type="paragraph" w:customStyle="1" w:styleId="2ColumnHeading">
    <w:name w:val="2Column Heading"/>
    <w:basedOn w:val="BodyText"/>
    <w:qFormat/>
    <w:rsid w:val="00EB6DCB"/>
    <w:pPr>
      <w:spacing w:after="60"/>
      <w:ind w:left="-2268"/>
    </w:pPr>
    <w:rPr>
      <w:b/>
    </w:rPr>
  </w:style>
  <w:style w:type="paragraph" w:customStyle="1" w:styleId="Heading1TOC">
    <w:name w:val="Heading1 TOC"/>
    <w:basedOn w:val="Normal"/>
    <w:qFormat/>
    <w:rsid w:val="00EB6DCB"/>
    <w:pPr>
      <w:spacing w:before="240" w:after="120"/>
    </w:pPr>
    <w:rPr>
      <w:rFonts w:ascii="Times New Roman" w:hAnsi="Times New Roman"/>
      <w:b/>
      <w:sz w:val="32"/>
    </w:rPr>
  </w:style>
  <w:style w:type="paragraph" w:customStyle="1" w:styleId="Heading2TOC">
    <w:name w:val="Heading2 TOC"/>
    <w:basedOn w:val="Normal"/>
    <w:qFormat/>
    <w:rsid w:val="00EB6DCB"/>
    <w:pPr>
      <w:spacing w:before="240" w:after="60"/>
    </w:pPr>
    <w:rPr>
      <w:rFonts w:ascii="Times New Roman" w:hAnsi="Times New Roman"/>
      <w:b/>
      <w:sz w:val="28"/>
    </w:rPr>
  </w:style>
  <w:style w:type="character" w:customStyle="1" w:styleId="BoldandItalics">
    <w:name w:val="Bold and Italics"/>
    <w:qFormat/>
    <w:rsid w:val="00EB6DCB"/>
    <w:rPr>
      <w:b/>
      <w:i/>
      <w:u w:val="none"/>
    </w:rPr>
  </w:style>
  <w:style w:type="paragraph" w:styleId="BalloonText">
    <w:name w:val="Balloon Text"/>
    <w:basedOn w:val="Normal"/>
    <w:link w:val="BalloonTextChar"/>
    <w:rsid w:val="00EB6DCB"/>
    <w:rPr>
      <w:rFonts w:ascii="Tahoma" w:hAnsi="Tahoma" w:cs="Tahoma"/>
      <w:sz w:val="16"/>
      <w:szCs w:val="16"/>
    </w:rPr>
  </w:style>
  <w:style w:type="character" w:customStyle="1" w:styleId="BalloonTextChar">
    <w:name w:val="Balloon Text Char"/>
    <w:basedOn w:val="DefaultParagraphFont"/>
    <w:link w:val="BalloonText"/>
    <w:rsid w:val="00EB6D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6D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6DC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1659</Words>
  <Characters>10113</Characters>
  <Application>Microsoft Office Word</Application>
  <DocSecurity>0</DocSecurity>
  <Lines>309</Lines>
  <Paragraphs>177</Paragraphs>
  <ScaleCrop>false</ScaleCrop>
  <Company>Author-it Software Corporation Ltd.</Company>
  <LinksUpToDate>false</LinksUpToDate>
  <CharactersWithSpaces>11701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PMASUP305A Operate offshore cranes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2012-05-26T19:05:00Z</dcterms:created>
  <dcterms:modified xsi:type="dcterms:W3CDTF">2012-05-26T19:05:00Z</dcterms:modified>
</cp:coreProperties>
</file>