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4153" w:rsidP="00094153">
      <w:pPr>
        <w:pStyle w:val="Title"/>
      </w:pPr>
      <w:r>
        <w:fldChar w:fldCharType="begin"/>
      </w:r>
      <w:r>
        <w:instrText xml:space="preserve"> TITLE   \* MERGEFORMAT </w:instrText>
      </w:r>
      <w:r>
        <w:fldChar w:fldCharType="separate"/>
      </w:r>
      <w:r>
        <w:t>PMASUP245A Break and make flanged joints using hand tools</w:t>
      </w:r>
      <w:r>
        <w:fldChar w:fldCharType="end"/>
      </w:r>
    </w:p>
    <w:p w:rsidR="00094153" w:rsidP="00094153">
      <w:pPr>
        <w:pStyle w:val="Version"/>
        <w:sectPr w:rsidSect="00FC1D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1D95" w:rsidP="00FC1D95">
      <w:pPr>
        <w:pStyle w:val="SuperHeading"/>
      </w:pPr>
      <w:r w:rsidRPr="00FC1D95">
        <w:t>PMASUP245A Break and make flanged joints using hand tools</w:t>
      </w:r>
    </w:p>
    <w:p w:rsidR="00000000" w:rsidRPr="00FC1D95" w:rsidP="00FC1D95">
      <w:pPr>
        <w:pStyle w:val="Heading1"/>
      </w:pPr>
      <w:bookmarkStart w:id="1" w:name="O_637363"/>
      <w:bookmarkEnd w:id="1"/>
      <w:r w:rsidRPr="00FC1D95">
        <w:t>Modification History</w:t>
      </w:r>
    </w:p>
    <w:p w:rsidR="00000000" w:rsidRPr="00FC1D95" w:rsidP="00FC1D95">
      <w:pPr>
        <w:pStyle w:val="BodyText"/>
      </w:pPr>
      <w:r w:rsidRPr="00FC1D95">
        <w:t>New unit - Release 1</w:t>
      </w:r>
    </w:p>
    <w:p w:rsidR="00000000" w:rsidRPr="00FC1D95" w:rsidP="00FC1D95">
      <w:pPr>
        <w:pStyle w:val="AllowPageBreak"/>
      </w:pPr>
    </w:p>
    <w:p w:rsidR="00000000" w:rsidRPr="00FC1D95" w:rsidP="00FC1D95">
      <w:pPr>
        <w:pStyle w:val="Heading1"/>
      </w:pPr>
      <w:bookmarkStart w:id="2" w:name="O_637364"/>
      <w:bookmarkEnd w:id="2"/>
      <w:r w:rsidRPr="00FC1D95">
        <w:t>Unit Descriptor</w:t>
      </w:r>
    </w:p>
    <w:p w:rsidR="00000000" w:rsidRPr="00FC1D95" w:rsidP="00FC1D95">
      <w:pPr>
        <w:pStyle w:val="BodyText"/>
      </w:pPr>
      <w:r w:rsidRPr="00FC1D95">
        <w:t>This unit of competency covers the skills and knowledge needed to break and make flanged joints using hand tools. It also includes solving problems with flanged pipe</w:t>
      </w:r>
      <w:r w:rsidRPr="00FC1D95">
        <w:t xml:space="preserve"> jointing processes and equipment.</w:t>
      </w:r>
    </w:p>
    <w:p w:rsidR="00000000" w:rsidRPr="00FC1D95" w:rsidP="00FC1D95">
      <w:pPr>
        <w:pStyle w:val="AllowPageBreak"/>
      </w:pPr>
    </w:p>
    <w:p w:rsidR="00000000" w:rsidRPr="00FC1D95" w:rsidP="00FC1D95">
      <w:pPr>
        <w:pStyle w:val="Heading1"/>
      </w:pPr>
      <w:bookmarkStart w:id="3" w:name="O_637365"/>
      <w:bookmarkEnd w:id="3"/>
      <w:r w:rsidRPr="00FC1D95">
        <w:t>Application of the Unit</w:t>
      </w:r>
    </w:p>
    <w:p w:rsidR="00000000" w:rsidRPr="00FC1D95" w:rsidP="00FC1D95">
      <w:pPr>
        <w:pStyle w:val="BodyText"/>
      </w:pPr>
      <w:r w:rsidRPr="00FC1D95">
        <w:t>This unit applies to an operator who has a responsibility for breaking and making flanged joints (e.g. for isolation purposes) in accordance with a site’s flange management procedu</w:t>
      </w:r>
      <w:r w:rsidRPr="00FC1D95">
        <w:t>res. The operator would further:</w:t>
      </w:r>
    </w:p>
    <w:p w:rsidR="00000000" w:rsidRPr="00FC1D95" w:rsidP="00FC1D95">
      <w:pPr>
        <w:pStyle w:val="ListBullet"/>
      </w:pPr>
      <w:r w:rsidRPr="00FC1D95">
        <w:t>ensure they were working within their skill level</w:t>
      </w:r>
    </w:p>
    <w:p w:rsidR="00000000" w:rsidRPr="00FC1D95" w:rsidP="00FC1D95">
      <w:pPr>
        <w:pStyle w:val="ListBullet"/>
      </w:pPr>
      <w:r w:rsidRPr="00FC1D95">
        <w:t>ensure the nature of the intervention was clearly understood before work commenced</w:t>
      </w:r>
    </w:p>
    <w:p w:rsidR="00000000" w:rsidRPr="00FC1D95" w:rsidP="00FC1D95">
      <w:pPr>
        <w:pStyle w:val="ListBullet"/>
      </w:pPr>
      <w:r w:rsidRPr="00FC1D95">
        <w:t>make certain the site was accessible and safe and that all necessary authorities had been</w:t>
      </w:r>
      <w:r w:rsidRPr="00FC1D95">
        <w:t xml:space="preserve"> obtained</w:t>
      </w:r>
    </w:p>
    <w:p w:rsidR="00000000" w:rsidRPr="00FC1D95" w:rsidP="00FC1D95">
      <w:pPr>
        <w:pStyle w:val="ListBullet"/>
      </w:pPr>
      <w:r w:rsidRPr="00FC1D95">
        <w:t>monitor the progress of the work and refer any escalation</w:t>
      </w:r>
    </w:p>
    <w:p w:rsidR="00000000" w:rsidRPr="00FC1D95" w:rsidP="00FC1D95">
      <w:pPr>
        <w:pStyle w:val="ListBullet"/>
      </w:pPr>
      <w:r w:rsidRPr="00FC1D95">
        <w:t>recommission the flange joint after the work and inspection is completed.</w:t>
      </w:r>
    </w:p>
    <w:p w:rsidR="00000000" w:rsidRPr="00FC1D95" w:rsidP="00FC1D95">
      <w:pPr>
        <w:pStyle w:val="BodyText"/>
      </w:pPr>
    </w:p>
    <w:p w:rsidR="00000000" w:rsidRPr="00FC1D95" w:rsidP="00FC1D95">
      <w:pPr>
        <w:pStyle w:val="BodyText"/>
      </w:pPr>
      <w:r w:rsidRPr="00FC1D95">
        <w:t xml:space="preserve">This unit applies to an individual working alone or as part of a team or group and working in liaison with other </w:t>
      </w:r>
      <w:r w:rsidRPr="00FC1D95">
        <w:t>shift team members and the control room operator as appropriate.</w:t>
      </w:r>
    </w:p>
    <w:p w:rsidR="00000000" w:rsidRPr="00FC1D95" w:rsidP="00FC1D95">
      <w:pPr>
        <w:pStyle w:val="BodyText"/>
      </w:pPr>
      <w:r w:rsidRPr="00FC1D95">
        <w:t>It may be appropriate to access other units with this unit, such as:</w:t>
      </w:r>
    </w:p>
    <w:p w:rsidR="00000000" w:rsidRPr="00FC1D95" w:rsidP="00FC1D95">
      <w:pPr>
        <w:pStyle w:val="ListBullet"/>
      </w:pPr>
      <w:r w:rsidRPr="00FC1D95">
        <w:t>PMASUP244A Prepare and isolate plant.</w:t>
      </w:r>
    </w:p>
    <w:p w:rsidR="00000000" w:rsidRPr="00FC1D95" w:rsidP="00FC1D95">
      <w:pPr>
        <w:pStyle w:val="BodyText"/>
      </w:pPr>
    </w:p>
    <w:p w:rsidR="00000000" w:rsidRPr="00FC1D95" w:rsidP="00FC1D95">
      <w:pPr>
        <w:pStyle w:val="BodyText"/>
      </w:pPr>
      <w:r w:rsidRPr="00FC1D95">
        <w:t>ASME PCC-1-2010 Guidelines for Pressure Boundary Bolted Flange Joint Assembly prov</w:t>
      </w:r>
      <w:r w:rsidRPr="00FC1D95">
        <w:t>ides technical information and guidance relevant to this unit.</w:t>
      </w:r>
    </w:p>
    <w:p w:rsidR="00000000" w:rsidRPr="00FC1D95" w:rsidP="00FC1D95">
      <w:pPr>
        <w:pStyle w:val="BodyText"/>
      </w:pPr>
    </w:p>
    <w:p w:rsidR="00000000" w:rsidRPr="00FC1D95" w:rsidP="00FC1D95">
      <w:pPr>
        <w:pStyle w:val="BodyText"/>
      </w:pPr>
      <w:r w:rsidRPr="00FC1D95">
        <w:t xml:space="preserve">This unit </w:t>
      </w:r>
      <w:r w:rsidRPr="00FC1D95">
        <w:rPr>
          <w:rStyle w:val="SpecialBold"/>
        </w:rPr>
        <w:t>does not</w:t>
      </w:r>
      <w:r w:rsidRPr="00FC1D95">
        <w:t xml:space="preserve"> cover the use of hydraulic torqueing and power tools.</w:t>
      </w:r>
    </w:p>
    <w:p w:rsidR="00000000" w:rsidRPr="00FC1D95" w:rsidP="00FC1D95">
      <w:pPr>
        <w:pStyle w:val="AllowPageBreak"/>
      </w:pPr>
    </w:p>
    <w:p w:rsidR="00000000" w:rsidRPr="00FC1D95" w:rsidP="00FC1D95">
      <w:pPr>
        <w:pStyle w:val="Heading1"/>
      </w:pPr>
      <w:bookmarkStart w:id="4" w:name="O_637366"/>
      <w:bookmarkEnd w:id="4"/>
      <w:r w:rsidRPr="00FC1D95">
        <w:t>Licensing/Regulatory Information</w:t>
      </w:r>
    </w:p>
    <w:p w:rsidR="00000000" w:rsidRPr="00FC1D95" w:rsidP="00FC1D95">
      <w:pPr>
        <w:pStyle w:val="BodyText"/>
      </w:pPr>
      <w:r w:rsidRPr="00FC1D95">
        <w:t>Not applicable.</w:t>
      </w:r>
    </w:p>
    <w:p w:rsidR="00000000" w:rsidRPr="00FC1D95" w:rsidP="00FC1D95">
      <w:pPr>
        <w:pStyle w:val="AllowPageBreak"/>
      </w:pPr>
    </w:p>
    <w:p w:rsidR="00000000" w:rsidRPr="00FC1D95" w:rsidP="00FC1D95">
      <w:pPr>
        <w:pStyle w:val="Heading1"/>
      </w:pPr>
      <w:bookmarkStart w:id="5" w:name="O_637367"/>
      <w:bookmarkEnd w:id="5"/>
      <w:r w:rsidRPr="00FC1D95">
        <w:t>Pre-Requisites</w:t>
      </w:r>
    </w:p>
    <w:p w:rsidR="00000000" w:rsidRPr="00FC1D95" w:rsidP="00FC1D95">
      <w:pPr>
        <w:pStyle w:val="BodyText"/>
      </w:pPr>
      <w:r w:rsidRPr="00FC1D95">
        <w:t>Not applicable.</w:t>
      </w:r>
    </w:p>
    <w:p w:rsidR="00000000" w:rsidRPr="00FC1D95" w:rsidP="00FC1D95">
      <w:pPr>
        <w:pStyle w:val="AllowPageBreak"/>
      </w:pPr>
    </w:p>
    <w:p w:rsidR="00000000" w:rsidRPr="00FC1D95" w:rsidP="00FC1D95">
      <w:pPr>
        <w:pStyle w:val="Heading1"/>
      </w:pPr>
      <w:bookmarkStart w:id="6" w:name="O_637368"/>
      <w:bookmarkEnd w:id="6"/>
      <w:r w:rsidRPr="00FC1D95">
        <w:t>Employability Skills Information</w:t>
      </w:r>
    </w:p>
    <w:p w:rsidR="00094153" w:rsidP="00FC1D95">
      <w:pPr>
        <w:pStyle w:val="BodyText"/>
      </w:pPr>
      <w:r w:rsidRPr="00FC1D95">
        <w:t>This unit contains employability skills.</w:t>
      </w:r>
    </w:p>
    <w:p w:rsidR="00094153" w:rsidP="00FC1D95">
      <w:pPr>
        <w:pStyle w:val="BodyText"/>
      </w:pPr>
    </w:p>
    <w:p w:rsidR="00000000" w:rsidRPr="00FC1D95" w:rsidP="00FC1D95">
      <w:pPr>
        <w:pStyle w:val="Heading1"/>
      </w:pPr>
      <w:bookmarkStart w:id="7" w:name="O_637369"/>
      <w:bookmarkEnd w:id="7"/>
      <w:r w:rsidRPr="00FC1D95">
        <w:t>Elements and Performance Criteria Pre-Content</w:t>
      </w:r>
    </w:p>
    <w:tbl>
      <w:tblPr>
        <w:tblW w:w="0" w:type="auto"/>
        <w:tblCellMar>
          <w:left w:w="62" w:type="dxa"/>
          <w:right w:w="62" w:type="dxa"/>
        </w:tblCellMar>
        <w:tblLook w:val="0000"/>
      </w:tblPr>
      <w:tblGrid>
        <w:gridCol w:w="2576"/>
        <w:gridCol w:w="6620"/>
      </w:tblGrid>
      <w:tr w:rsidTr="000941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FC1D95" w:rsidP="00FC1D95">
            <w:pPr>
              <w:pStyle w:val="BodyText"/>
            </w:pPr>
            <w:r w:rsidRPr="00FC1D95">
              <w:t>Performance criteria describe the pe</w:t>
            </w:r>
            <w:r w:rsidRPr="00FC1D95">
              <w:t>rformance needed to demonstrate achievement of the element. Assessment of performance is to be consistent with the evidence guide.</w:t>
            </w:r>
          </w:p>
        </w:tc>
      </w:tr>
    </w:tbl>
    <w:p w:rsidR="00094153" w:rsidP="00FC1D95">
      <w:pPr>
        <w:pStyle w:val="BodyText"/>
      </w:pPr>
    </w:p>
    <w:p w:rsidR="00094153" w:rsidP="00FC1D95">
      <w:pPr>
        <w:pStyle w:val="BodyText"/>
      </w:pPr>
    </w:p>
    <w:p w:rsidR="00000000" w:rsidRPr="00FC1D95" w:rsidP="00FC1D95">
      <w:pPr>
        <w:pStyle w:val="Heading1"/>
      </w:pPr>
      <w:bookmarkStart w:id="8" w:name="O_637370"/>
      <w:bookmarkEnd w:id="8"/>
      <w:r w:rsidRPr="00FC1D95">
        <w:t>Elements and Performance Criteria</w:t>
      </w:r>
    </w:p>
    <w:p w:rsidR="00000000" w:rsidRPr="00FC1D95" w:rsidP="00FC1D95">
      <w:pPr>
        <w:pStyle w:val="BodyText"/>
      </w:pPr>
    </w:p>
    <w:tbl>
      <w:tblPr>
        <w:tblW w:w="0" w:type="auto"/>
        <w:tblLayout w:type="fixed"/>
        <w:tblCellMar>
          <w:left w:w="62" w:type="dxa"/>
          <w:right w:w="62" w:type="dxa"/>
        </w:tblCellMar>
        <w:tblLook w:val="0000"/>
      </w:tblPr>
      <w:tblGrid>
        <w:gridCol w:w="678"/>
        <w:gridCol w:w="1962"/>
        <w:gridCol w:w="770"/>
        <w:gridCol w:w="5610"/>
      </w:tblGrid>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1</w:t>
            </w:r>
          </w:p>
        </w:tc>
        <w:tc>
          <w:tcPr>
            <w:tcW w:w="1962" w:type="dxa"/>
            <w:vMerge w:val="restart"/>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Plan and prepare for job</w:t>
            </w: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1.1</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Identify work requirements</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1.2</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 xml:space="preserve">Inspect job site </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1.3</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Confirm isolations have been completed to standard</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1.4</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Confirm hazard controls</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1.5</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Coordinate with appropriate personnel</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1.6</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Select appropriate tools</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1.7</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Check calibration and certification of tools as required</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1.8</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Re-check that work requirements fit within skill level</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1.9</w:t>
            </w:r>
          </w:p>
        </w:tc>
        <w:tc>
          <w:tcPr>
            <w:tcW w:w="5610" w:type="dxa"/>
            <w:tcBorders>
              <w:top w:val="nil"/>
              <w:left w:val="nil"/>
              <w:bottom w:val="nil"/>
              <w:right w:val="nil"/>
            </w:tcBorders>
            <w:tcMar>
              <w:top w:w="0" w:type="dxa"/>
              <w:left w:w="62" w:type="dxa"/>
              <w:bottom w:w="0" w:type="dxa"/>
              <w:right w:w="62" w:type="dxa"/>
            </w:tcMar>
          </w:tcPr>
          <w:p w:rsidR="00000000" w:rsidRPr="00FC1D95" w:rsidP="00FC1D95">
            <w:pPr>
              <w:pStyle w:val="BodyText"/>
            </w:pPr>
            <w:r w:rsidRPr="00FC1D95">
              <w:t>Complete checklists and records as required</w:t>
            </w:r>
          </w:p>
        </w:tc>
      </w:tr>
    </w:tbl>
    <w:p w:rsidR="00000000" w:rsidRPr="00FC1D95" w:rsidP="00FC1D95">
      <w:pPr>
        <w:pStyle w:val="BodyText"/>
      </w:pPr>
    </w:p>
    <w:tbl>
      <w:tblPr>
        <w:tblW w:w="0" w:type="auto"/>
        <w:tblLayout w:type="fixed"/>
        <w:tblCellMar>
          <w:left w:w="62" w:type="dxa"/>
          <w:right w:w="62" w:type="dxa"/>
        </w:tblCellMar>
        <w:tblLook w:val="0000"/>
      </w:tblPr>
      <w:tblGrid>
        <w:gridCol w:w="678"/>
        <w:gridCol w:w="1962"/>
        <w:gridCol w:w="770"/>
        <w:gridCol w:w="5610"/>
      </w:tblGrid>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2</w:t>
            </w:r>
          </w:p>
        </w:tc>
        <w:tc>
          <w:tcPr>
            <w:tcW w:w="1962" w:type="dxa"/>
            <w:vMerge w:val="restart"/>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Break flange in accordance with flange management procedure</w:t>
            </w: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2.1</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Implement hazard controls</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2.2</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Pr</w:t>
            </w:r>
            <w:r w:rsidRPr="00FC1D95">
              <w:t>epare tools, drip trays, and so on with appropriate care</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2.3</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Connect any required drain lines</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2.4</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Undo nuts in accordance with procedures</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2.5</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Split flange and drain pipe as required</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2.6</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Identify any skills escalation required</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2.7</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Manage open pipe</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2.8</w:t>
            </w:r>
          </w:p>
        </w:tc>
        <w:tc>
          <w:tcPr>
            <w:tcW w:w="5610" w:type="dxa"/>
            <w:tcBorders>
              <w:top w:val="nil"/>
              <w:left w:val="nil"/>
              <w:bottom w:val="nil"/>
              <w:right w:val="nil"/>
            </w:tcBorders>
            <w:tcMar>
              <w:top w:w="0" w:type="dxa"/>
              <w:left w:w="62" w:type="dxa"/>
              <w:bottom w:w="0" w:type="dxa"/>
              <w:right w:w="62" w:type="dxa"/>
            </w:tcMar>
          </w:tcPr>
          <w:p w:rsidR="00000000" w:rsidRPr="00FC1D95" w:rsidP="00FC1D95">
            <w:pPr>
              <w:pStyle w:val="BodyText"/>
            </w:pPr>
            <w:r w:rsidRPr="00FC1D95">
              <w:t>Complete checklists and records as required</w:t>
            </w:r>
          </w:p>
        </w:tc>
      </w:tr>
    </w:tbl>
    <w:p w:rsidR="00000000" w:rsidRPr="00FC1D95" w:rsidP="00FC1D95">
      <w:pPr>
        <w:pStyle w:val="BodyText"/>
      </w:pPr>
    </w:p>
    <w:tbl>
      <w:tblPr>
        <w:tblW w:w="0" w:type="auto"/>
        <w:tblLayout w:type="fixed"/>
        <w:tblCellMar>
          <w:left w:w="62" w:type="dxa"/>
          <w:right w:w="62" w:type="dxa"/>
        </w:tblCellMar>
        <w:tblLook w:val="0000"/>
      </w:tblPr>
      <w:tblGrid>
        <w:gridCol w:w="678"/>
        <w:gridCol w:w="1962"/>
        <w:gridCol w:w="770"/>
        <w:gridCol w:w="5610"/>
      </w:tblGrid>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3</w:t>
            </w:r>
          </w:p>
        </w:tc>
        <w:tc>
          <w:tcPr>
            <w:tcW w:w="1962" w:type="dxa"/>
            <w:vMerge w:val="restart"/>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Inspect flange and components</w:t>
            </w: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3.1</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Inspect removed gasket</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3.2</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Assess cold pull and refer if required</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3.3</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Assess degree of misalignment and refer if required</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3.4</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Clean and inspect flange surface both front and back</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3.5</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Check studs and nuts</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3.6</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Confirm compliance of components and refer as required</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3.7</w:t>
            </w:r>
          </w:p>
        </w:tc>
        <w:tc>
          <w:tcPr>
            <w:tcW w:w="5610" w:type="dxa"/>
            <w:tcBorders>
              <w:top w:val="nil"/>
              <w:left w:val="nil"/>
              <w:bottom w:val="nil"/>
              <w:right w:val="nil"/>
            </w:tcBorders>
            <w:tcMar>
              <w:top w:w="0" w:type="dxa"/>
              <w:left w:w="62" w:type="dxa"/>
              <w:bottom w:w="0" w:type="dxa"/>
              <w:right w:w="62" w:type="dxa"/>
            </w:tcMar>
          </w:tcPr>
          <w:p w:rsidR="00000000" w:rsidRPr="00FC1D95" w:rsidP="00FC1D95">
            <w:pPr>
              <w:pStyle w:val="BodyText"/>
            </w:pPr>
            <w:r w:rsidRPr="00FC1D95">
              <w:t>Identify any problems and take appropriate action</w:t>
            </w:r>
          </w:p>
        </w:tc>
      </w:tr>
    </w:tbl>
    <w:p w:rsidR="00000000" w:rsidRPr="00FC1D95" w:rsidP="00FC1D95">
      <w:pPr>
        <w:pStyle w:val="BodyText"/>
      </w:pPr>
    </w:p>
    <w:tbl>
      <w:tblPr>
        <w:tblW w:w="0" w:type="auto"/>
        <w:tblLayout w:type="fixed"/>
        <w:tblCellMar>
          <w:left w:w="62" w:type="dxa"/>
          <w:right w:w="62" w:type="dxa"/>
        </w:tblCellMar>
        <w:tblLook w:val="0000"/>
      </w:tblPr>
      <w:tblGrid>
        <w:gridCol w:w="678"/>
        <w:gridCol w:w="1962"/>
        <w:gridCol w:w="770"/>
        <w:gridCol w:w="5610"/>
      </w:tblGrid>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4</w:t>
            </w:r>
          </w:p>
        </w:tc>
        <w:tc>
          <w:tcPr>
            <w:tcW w:w="1962" w:type="dxa"/>
            <w:vMerge w:val="restart"/>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Make flange joint in accordance with flange management procedure</w:t>
            </w: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4.1</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Select appropriate gasket</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4.2</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Check all components are to specification</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4.3</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Apply lubricant as required</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4.4</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Complete initial assembly of joint</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4.5</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Insert blind as required</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4.6</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Attach drain if required</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4.7</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Re-check the gasket</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4.8</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Re-check alignment</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4.9</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Tighten using appropriate hand tools to procedure</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4.10</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Use torque calibration charts as required</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4.11</w:t>
            </w:r>
          </w:p>
        </w:tc>
        <w:tc>
          <w:tcPr>
            <w:tcW w:w="5610" w:type="dxa"/>
            <w:tcBorders>
              <w:top w:val="nil"/>
              <w:left w:val="nil"/>
              <w:bottom w:val="nil"/>
              <w:right w:val="nil"/>
            </w:tcBorders>
            <w:tcMar>
              <w:top w:w="0" w:type="dxa"/>
              <w:left w:w="62" w:type="dxa"/>
              <w:bottom w:w="0" w:type="dxa"/>
              <w:right w:w="62" w:type="dxa"/>
            </w:tcMar>
          </w:tcPr>
          <w:p w:rsidR="00000000" w:rsidRPr="00FC1D95" w:rsidP="00FC1D95">
            <w:pPr>
              <w:pStyle w:val="BodyText"/>
            </w:pPr>
            <w:r w:rsidRPr="00FC1D95">
              <w:t>Complete checklists and records as required</w:t>
            </w:r>
          </w:p>
        </w:tc>
      </w:tr>
    </w:tbl>
    <w:p w:rsidR="00000000" w:rsidRPr="00FC1D95" w:rsidP="00FC1D95">
      <w:pPr>
        <w:pStyle w:val="BodyText"/>
      </w:pPr>
    </w:p>
    <w:tbl>
      <w:tblPr>
        <w:tblW w:w="0" w:type="auto"/>
        <w:tblLayout w:type="fixed"/>
        <w:tblCellMar>
          <w:left w:w="62" w:type="dxa"/>
          <w:right w:w="62" w:type="dxa"/>
        </w:tblCellMar>
        <w:tblLook w:val="0000"/>
      </w:tblPr>
      <w:tblGrid>
        <w:gridCol w:w="678"/>
        <w:gridCol w:w="1962"/>
        <w:gridCol w:w="770"/>
        <w:gridCol w:w="5610"/>
      </w:tblGrid>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5</w:t>
            </w:r>
          </w:p>
        </w:tc>
        <w:tc>
          <w:tcPr>
            <w:tcW w:w="1962" w:type="dxa"/>
            <w:vMerge w:val="restart"/>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Finish the job</w:t>
            </w: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5.1</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Make a final check of joint alignment</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5.2</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Organise required checks</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5.3</w:t>
            </w:r>
          </w:p>
        </w:tc>
        <w:tc>
          <w:tcPr>
            <w:tcW w:w="561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Confirm joint integrity as required</w:t>
            </w:r>
          </w:p>
        </w:tc>
      </w:tr>
      <w:tr w:rsidTr="00FC1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5.4</w:t>
            </w:r>
          </w:p>
        </w:tc>
        <w:tc>
          <w:tcPr>
            <w:tcW w:w="5610" w:type="dxa"/>
            <w:tcBorders>
              <w:top w:val="nil"/>
              <w:left w:val="nil"/>
              <w:bottom w:val="nil"/>
              <w:right w:val="nil"/>
            </w:tcBorders>
            <w:tcMar>
              <w:top w:w="0" w:type="dxa"/>
              <w:left w:w="62" w:type="dxa"/>
              <w:bottom w:w="0" w:type="dxa"/>
              <w:right w:w="62" w:type="dxa"/>
            </w:tcMar>
          </w:tcPr>
          <w:p w:rsidR="00000000" w:rsidRPr="00FC1D95" w:rsidP="00FC1D95">
            <w:pPr>
              <w:pStyle w:val="BodyText"/>
            </w:pPr>
            <w:r w:rsidRPr="00FC1D95">
              <w:t>Complete checklists and records as required</w:t>
            </w:r>
          </w:p>
        </w:tc>
      </w:tr>
    </w:tbl>
    <w:p w:rsidR="00000000" w:rsidRPr="00FC1D95" w:rsidP="00FC1D95">
      <w:pPr>
        <w:pStyle w:val="BodyText"/>
      </w:pPr>
    </w:p>
    <w:p w:rsidR="00000000" w:rsidRPr="00FC1D95" w:rsidP="00FC1D95">
      <w:pPr>
        <w:pStyle w:val="AllowPageBreak"/>
      </w:pPr>
    </w:p>
    <w:p w:rsidR="00000000" w:rsidRPr="00FC1D95" w:rsidP="00FC1D95">
      <w:pPr>
        <w:pStyle w:val="Heading1"/>
      </w:pPr>
      <w:bookmarkStart w:id="9" w:name="O_637371"/>
      <w:bookmarkEnd w:id="9"/>
      <w:r w:rsidRPr="00FC1D95">
        <w:t>Required Skills and Knowledge</w:t>
      </w:r>
    </w:p>
    <w:tbl>
      <w:tblPr>
        <w:tblW w:w="0" w:type="auto"/>
        <w:tblLayout w:type="fixed"/>
        <w:tblCellMar>
          <w:left w:w="62" w:type="dxa"/>
          <w:right w:w="62" w:type="dxa"/>
        </w:tblCellMar>
        <w:tblLook w:val="0000"/>
      </w:tblPr>
      <w:tblGrid>
        <w:gridCol w:w="9072"/>
      </w:tblGrid>
      <w:tr w:rsidTr="00FC1D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This section describes the skills and knowledge required for this unit.</w:t>
            </w:r>
          </w:p>
        </w:tc>
      </w:tr>
      <w:tr w:rsidTr="00FC1D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p>
        </w:tc>
      </w:tr>
      <w:tr w:rsidTr="00FC1D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rPr>
                <w:rStyle w:val="SpecialBold"/>
              </w:rPr>
              <w:t xml:space="preserve">Required skills </w:t>
            </w:r>
          </w:p>
        </w:tc>
      </w:tr>
      <w:tr w:rsidTr="00FC1D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C1D95" w:rsidP="00FC1D95">
            <w:pPr>
              <w:pStyle w:val="BodyText"/>
            </w:pPr>
            <w:r w:rsidRPr="00FC1D95">
              <w:t>Required skills include:</w:t>
            </w:r>
          </w:p>
          <w:p w:rsidR="00000000" w:rsidRPr="00FC1D95" w:rsidP="00FC1D95">
            <w:pPr>
              <w:pStyle w:val="ListBullet"/>
            </w:pPr>
            <w:r w:rsidRPr="00FC1D95">
              <w:t>using a limited range of hand tools</w:t>
            </w:r>
          </w:p>
          <w:p w:rsidR="00000000" w:rsidRPr="00FC1D95" w:rsidP="00FC1D95">
            <w:pPr>
              <w:pStyle w:val="ListBullet"/>
            </w:pPr>
            <w:r w:rsidRPr="00FC1D95">
              <w:t>recognising conditions which will lead to a poor joint</w:t>
            </w:r>
          </w:p>
          <w:p w:rsidR="00000000" w:rsidRPr="00FC1D95" w:rsidP="00FC1D95">
            <w:pPr>
              <w:pStyle w:val="ListBullet"/>
            </w:pPr>
            <w:r w:rsidRPr="00FC1D95">
              <w:t>implementing enterprise procedures within time constraints and in a manner relevant to the correct use of the equipment</w:t>
            </w:r>
          </w:p>
          <w:p w:rsidR="00000000" w:rsidRPr="00FC1D95" w:rsidP="00FC1D95">
            <w:pPr>
              <w:pStyle w:val="ListBullet"/>
            </w:pPr>
            <w:r w:rsidRPr="00FC1D95">
              <w:t>conveying information relevant to the operation clearly and effectively</w:t>
            </w:r>
          </w:p>
          <w:p w:rsidR="00000000" w:rsidRPr="00FC1D95" w:rsidP="00FC1D95">
            <w:pPr>
              <w:pStyle w:val="ListBullet"/>
            </w:pPr>
            <w:r w:rsidRPr="00FC1D95">
              <w:t>maintaining appropriate levels of quality assurance</w:t>
            </w:r>
          </w:p>
          <w:p w:rsidR="00000000" w:rsidRPr="00FC1D95" w:rsidP="00FC1D95">
            <w:pPr>
              <w:pStyle w:val="ListBullet"/>
            </w:pPr>
            <w:r w:rsidRPr="00FC1D95">
              <w:t xml:space="preserve">reading and </w:t>
            </w:r>
            <w:r w:rsidRPr="00FC1D95">
              <w:t>numeracy to interpret/complete workplace documents and technical information</w:t>
            </w:r>
          </w:p>
          <w:p w:rsidR="00000000" w:rsidRPr="00FC1D95" w:rsidP="00FC1D95">
            <w:pPr>
              <w:pStyle w:val="ListBullet"/>
            </w:pPr>
            <w:r w:rsidRPr="00FC1D95">
              <w:t>applying mathematics required for the use of calibration charts</w:t>
            </w:r>
          </w:p>
          <w:p w:rsidR="00000000" w:rsidP="00FC1D95">
            <w:pPr>
              <w:pStyle w:val="BodyText"/>
              <w:rPr>
                <w:lang w:val="en-NZ"/>
              </w:rPr>
            </w:pPr>
          </w:p>
        </w:tc>
      </w:tr>
      <w:tr w:rsidTr="00FC1D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rPr>
                <w:rStyle w:val="SpecialBold"/>
              </w:rPr>
              <w:t xml:space="preserve">Required knowledge </w:t>
            </w:r>
          </w:p>
        </w:tc>
      </w:tr>
      <w:tr w:rsidTr="00FC1D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C1D95" w:rsidP="00FC1D95">
            <w:pPr>
              <w:pStyle w:val="BodyText"/>
            </w:pPr>
            <w:r w:rsidRPr="00FC1D95">
              <w:t>Required knowledge of flange jointing principles and typical problems to a level needed to break and make flanged joints using hand tools, includes:</w:t>
            </w:r>
          </w:p>
          <w:p w:rsidR="00000000" w:rsidRPr="00FC1D95" w:rsidP="00FC1D95">
            <w:pPr>
              <w:pStyle w:val="ListBullet"/>
            </w:pPr>
            <w:r w:rsidRPr="00FC1D95">
              <w:t>all flange and gasket types as applicable</w:t>
            </w:r>
          </w:p>
          <w:p w:rsidR="00000000" w:rsidRPr="00FC1D95" w:rsidP="00FC1D95">
            <w:pPr>
              <w:pStyle w:val="ListBullet"/>
            </w:pPr>
            <w:r w:rsidRPr="00FC1D95">
              <w:t>principles of how flanged joints seal</w:t>
            </w:r>
          </w:p>
          <w:p w:rsidR="00000000" w:rsidRPr="00FC1D95" w:rsidP="00FC1D95">
            <w:pPr>
              <w:pStyle w:val="ListBullet"/>
            </w:pPr>
            <w:r w:rsidRPr="00FC1D95">
              <w:t>tool types and application</w:t>
            </w:r>
            <w:r w:rsidRPr="00FC1D95">
              <w:t>s</w:t>
            </w:r>
          </w:p>
          <w:p w:rsidR="00000000" w:rsidRPr="00FC1D95" w:rsidP="00FC1D95">
            <w:pPr>
              <w:pStyle w:val="ListBullet"/>
            </w:pPr>
            <w:r w:rsidRPr="00FC1D95">
              <w:t>organisation’s flange management procedure</w:t>
            </w:r>
          </w:p>
          <w:p w:rsidR="00000000" w:rsidRPr="00FC1D95" w:rsidP="00FC1D95">
            <w:pPr>
              <w:pStyle w:val="ListBullet"/>
            </w:pPr>
            <w:r w:rsidRPr="00FC1D95">
              <w:t>duty of care obligations</w:t>
            </w:r>
          </w:p>
          <w:p w:rsidR="00000000" w:rsidRPr="00FC1D95" w:rsidP="00FC1D95">
            <w:pPr>
              <w:pStyle w:val="ListBullet"/>
            </w:pPr>
            <w:r w:rsidRPr="00FC1D95">
              <w:t>hierarchy of control</w:t>
            </w:r>
          </w:p>
          <w:p w:rsidR="00000000" w:rsidRPr="00FC1D95" w:rsidP="00FC1D95">
            <w:pPr>
              <w:pStyle w:val="ListBullet"/>
            </w:pPr>
            <w:r w:rsidRPr="00FC1D95">
              <w:t>communication protocols, e.g. radio, phone, computer, paper and permissions/ authorities</w:t>
            </w:r>
          </w:p>
          <w:p w:rsidR="00000000" w:rsidRPr="00FC1D95" w:rsidP="00FC1D95">
            <w:pPr>
              <w:pStyle w:val="ListBullet"/>
            </w:pPr>
            <w:r w:rsidRPr="00FC1D95">
              <w:t>typical issues causing problems and the resolution of those problems</w:t>
            </w:r>
          </w:p>
          <w:p w:rsidR="00000000" w:rsidRPr="00FC1D95" w:rsidP="00FC1D95">
            <w:pPr>
              <w:pStyle w:val="ListBullet"/>
            </w:pPr>
            <w:r w:rsidRPr="00FC1D95">
              <w:t>routine</w:t>
            </w:r>
            <w:r w:rsidRPr="00FC1D95">
              <w:t xml:space="preserve"> problems, faults and their symptoms ,and the corrective action to be taken</w:t>
            </w:r>
          </w:p>
          <w:p w:rsidR="00000000" w:rsidRPr="00FC1D95" w:rsidP="00FC1D95">
            <w:pPr>
              <w:pStyle w:val="ListBullet"/>
            </w:pPr>
            <w:r w:rsidRPr="00FC1D95">
              <w:t>process materials and conditions at the location of the flange</w:t>
            </w:r>
          </w:p>
          <w:p w:rsidR="00000000" w:rsidRPr="00FC1D95" w:rsidP="00FC1D95">
            <w:pPr>
              <w:pStyle w:val="ListBullet"/>
            </w:pPr>
            <w:r w:rsidRPr="00FC1D95">
              <w:t>function and troubleshooting for addressing leaks</w:t>
            </w:r>
          </w:p>
          <w:p w:rsidR="00000000" w:rsidRPr="00FC1D95" w:rsidP="00FC1D95">
            <w:pPr>
              <w:pStyle w:val="ListBullet"/>
            </w:pPr>
            <w:r w:rsidRPr="00FC1D95">
              <w:t>using flange tags/completeness tags</w:t>
            </w:r>
          </w:p>
          <w:p w:rsidR="00000000" w:rsidRPr="00FC1D95" w:rsidP="00FC1D95">
            <w:pPr>
              <w:pStyle w:val="ListBullet"/>
            </w:pPr>
            <w:r w:rsidRPr="00FC1D95">
              <w:t>relevant environmental requirem</w:t>
            </w:r>
            <w:r w:rsidRPr="00FC1D95">
              <w:t>ents</w:t>
            </w:r>
          </w:p>
          <w:p w:rsidR="00000000" w:rsidRPr="00FC1D95" w:rsidP="00FC1D95">
            <w:pPr>
              <w:pStyle w:val="ListBullet"/>
            </w:pPr>
            <w:r w:rsidRPr="00FC1D95">
              <w:t>relevant parts of ASME PCC-1-2010 Guidelines for Pressure Boundary Bolted Flange Joint Assembly</w:t>
            </w:r>
          </w:p>
        </w:tc>
      </w:tr>
    </w:tbl>
    <w:p w:rsidR="00000000" w:rsidRPr="00FC1D95" w:rsidP="00FC1D95">
      <w:pPr>
        <w:pStyle w:val="BodyText"/>
      </w:pPr>
    </w:p>
    <w:p w:rsidR="00000000" w:rsidRPr="00FC1D95" w:rsidP="00FC1D95">
      <w:pPr>
        <w:pStyle w:val="AllowPageBreak"/>
      </w:pPr>
    </w:p>
    <w:p w:rsidR="00000000" w:rsidRPr="00FC1D95" w:rsidP="00FC1D95">
      <w:pPr>
        <w:pStyle w:val="Heading1"/>
      </w:pPr>
      <w:bookmarkStart w:id="10" w:name="O_637372"/>
      <w:bookmarkEnd w:id="10"/>
      <w:r w:rsidRPr="00FC1D95">
        <w:t>Evidence Guide</w:t>
      </w:r>
    </w:p>
    <w:tbl>
      <w:tblPr>
        <w:tblW w:w="0" w:type="auto"/>
        <w:tblLayout w:type="fixed"/>
        <w:tblCellMar>
          <w:left w:w="62" w:type="dxa"/>
          <w:right w:w="62" w:type="dxa"/>
        </w:tblCellMar>
        <w:tblLook w:val="0000"/>
      </w:tblPr>
      <w:tblGrid>
        <w:gridCol w:w="3648"/>
        <w:gridCol w:w="5352"/>
      </w:tblGrid>
      <w:tr w:rsidTr="00FC1D9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The evidence guide provides advice on assessment and must be read in conjunction with the performance criteria required skills and knowledge range statement and the Assessment Guidelines for the Training Package.</w:t>
            </w:r>
          </w:p>
        </w:tc>
      </w:tr>
      <w:tr w:rsidTr="00FC1D95">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rPr>
                <w:rStyle w:val="SpecialBold"/>
              </w:rPr>
              <w:t>Critical aspects for assessment and evide</w:t>
            </w:r>
            <w:r w:rsidRPr="00FC1D95">
              <w:rPr>
                <w:rStyle w:val="SpecialBold"/>
              </w:rPr>
              <w:t>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FC1D95" w:rsidP="00FC1D95">
            <w:pPr>
              <w:pStyle w:val="BodyText"/>
            </w:pPr>
            <w:r w:rsidRPr="00FC1D95">
              <w:t>Critical aspects for assessment and evidence include:</w:t>
            </w:r>
          </w:p>
          <w:p w:rsidR="00000000" w:rsidRPr="00FC1D95" w:rsidP="00FC1D95">
            <w:pPr>
              <w:pStyle w:val="ListBullet"/>
            </w:pPr>
            <w:r w:rsidRPr="00FC1D95">
              <w:t>the breaking and making of a flanged joint in accordance with the organisation’s flange management procedure</w:t>
            </w:r>
          </w:p>
          <w:p w:rsidR="00000000" w:rsidP="00FC1D95">
            <w:pPr>
              <w:pStyle w:val="ListBullet"/>
              <w:rPr>
                <w:lang w:val="en-NZ"/>
              </w:rPr>
            </w:pPr>
            <w:r w:rsidRPr="00FC1D95">
              <w:t>recognising own skill limits and when to refer to another person.</w:t>
            </w:r>
          </w:p>
        </w:tc>
      </w:tr>
      <w:tr w:rsidTr="00FC1D95">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Assessment of this competency will occur over a range of situations which will include typical disruptions to normal, smooth operation. This</w:t>
            </w:r>
            <w:r w:rsidRPr="00FC1D95">
              <w:t xml:space="preserve"> will require access to a plant over a period of time, or a suitable method of gathering evidence of operating ability. Where safety, lack of opportunity or significant cost is an issue, an industry-based simulation may be employed to assist the process.</w:t>
            </w:r>
          </w:p>
        </w:tc>
      </w:tr>
      <w:tr w:rsidTr="00FC1D95">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rPr>
                <w:rStyle w:val="SpecialBold"/>
              </w:rPr>
              <w:t>Guidance information for assessment</w:t>
            </w:r>
          </w:p>
        </w:tc>
        <w:tc>
          <w:tcPr>
            <w:tcW w:w="5352" w:type="dxa"/>
            <w:tcBorders>
              <w:top w:val="nil"/>
              <w:left w:val="nil"/>
              <w:bottom w:val="nil"/>
              <w:right w:val="nil"/>
            </w:tcBorders>
            <w:tcMar>
              <w:top w:w="0" w:type="dxa"/>
              <w:left w:w="62" w:type="dxa"/>
              <w:bottom w:w="0" w:type="dxa"/>
              <w:right w:w="62" w:type="dxa"/>
            </w:tcMar>
          </w:tcPr>
          <w:p w:rsidR="00000000" w:rsidRPr="00FC1D95" w:rsidP="00FC1D95">
            <w:pPr>
              <w:pStyle w:val="BodyText"/>
            </w:pPr>
            <w:r w:rsidRPr="00FC1D95">
              <w:t xml:space="preserve">Assessment processes and techniques must be appropriate to the language, competency and safety requirements of the site and consistent with workplace systems or </w:t>
            </w:r>
            <w:r w:rsidRPr="00FC1D95">
              <w:t>procedures.</w:t>
            </w:r>
          </w:p>
        </w:tc>
      </w:tr>
    </w:tbl>
    <w:p w:rsidR="00000000" w:rsidRPr="00FC1D95" w:rsidP="00FC1D95">
      <w:pPr>
        <w:pStyle w:val="BodyText"/>
      </w:pPr>
    </w:p>
    <w:p w:rsidR="00000000" w:rsidRPr="00FC1D95" w:rsidP="00FC1D95">
      <w:pPr>
        <w:pStyle w:val="AllowPageBreak"/>
      </w:pPr>
    </w:p>
    <w:p w:rsidR="00000000" w:rsidRPr="00FC1D95" w:rsidP="00FC1D95">
      <w:pPr>
        <w:pStyle w:val="Heading1"/>
      </w:pPr>
      <w:bookmarkStart w:id="11" w:name="O_637373"/>
      <w:bookmarkEnd w:id="11"/>
      <w:r w:rsidRPr="00FC1D95">
        <w:t>Range Statement</w:t>
      </w:r>
    </w:p>
    <w:tbl>
      <w:tblPr>
        <w:tblW w:w="0" w:type="auto"/>
        <w:tblLayout w:type="fixed"/>
        <w:tblCellMar>
          <w:left w:w="62" w:type="dxa"/>
          <w:right w:w="62" w:type="dxa"/>
        </w:tblCellMar>
        <w:tblLook w:val="0000"/>
      </w:tblPr>
      <w:tblGrid>
        <w:gridCol w:w="3674"/>
        <w:gridCol w:w="5398"/>
      </w:tblGrid>
      <w:tr w:rsidTr="00FC1D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The range st</w:t>
            </w:r>
            <w:r w:rsidRPr="00FC1D95">
              <w:t>atement relates to the unit of competency as a whole. It allows for different work environments and situations that may affect performance. Essential operating conditions that may be present with training and assessment (depending on the work situation, ne</w:t>
            </w:r>
            <w:r w:rsidRPr="00FC1D95">
              <w:t>eds of the candidate, accessibility of the item, and local industry and regional contexts) may also be included.</w:t>
            </w:r>
          </w:p>
        </w:tc>
      </w:tr>
      <w:tr w:rsidTr="00FC1D9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rPr>
                <w:rStyle w:val="SpecialBold"/>
              </w:rPr>
              <w:t>Context</w:t>
            </w:r>
          </w:p>
        </w:tc>
        <w:tc>
          <w:tcPr>
            <w:tcW w:w="5398" w:type="dxa"/>
            <w:tcBorders>
              <w:top w:val="nil"/>
              <w:left w:val="nil"/>
              <w:bottom w:val="nil"/>
              <w:right w:val="nil"/>
            </w:tcBorders>
            <w:tcMar>
              <w:top w:w="0" w:type="dxa"/>
              <w:left w:w="62" w:type="dxa"/>
              <w:bottom w:w="0" w:type="dxa"/>
              <w:right w:w="62" w:type="dxa"/>
            </w:tcMar>
          </w:tcPr>
          <w:p w:rsidR="00000000" w:rsidRPr="00FC1D95" w:rsidP="00FC1D95">
            <w:pPr>
              <w:pStyle w:val="BodyText"/>
            </w:pPr>
            <w:r w:rsidRPr="00FC1D95">
              <w:t xml:space="preserve">This competency includes breaking and making flange joints using hand tools. It </w:t>
            </w:r>
            <w:r w:rsidRPr="00FC1D95">
              <w:rPr>
                <w:rStyle w:val="SpecialBold"/>
              </w:rPr>
              <w:t>does not</w:t>
            </w:r>
            <w:r w:rsidRPr="00FC1D95">
              <w:t xml:space="preserve"> include the use of:</w:t>
            </w:r>
          </w:p>
          <w:p w:rsidR="00000000" w:rsidRPr="00FC1D95" w:rsidP="00FC1D95">
            <w:pPr>
              <w:pStyle w:val="ListBullet"/>
            </w:pPr>
            <w:r w:rsidRPr="00FC1D95">
              <w:t>pneumatic torqueing tools</w:t>
            </w:r>
          </w:p>
          <w:p w:rsidR="00000000" w:rsidRPr="00FC1D95" w:rsidP="00FC1D95">
            <w:pPr>
              <w:pStyle w:val="ListBullet"/>
            </w:pPr>
            <w:r w:rsidRPr="00FC1D95">
              <w:t>hydraulic torqueing tools</w:t>
            </w:r>
          </w:p>
          <w:p w:rsidR="00000000" w:rsidP="00FC1D95">
            <w:pPr>
              <w:pStyle w:val="ListBullet"/>
              <w:rPr>
                <w:lang w:val="en-NZ"/>
              </w:rPr>
            </w:pPr>
            <w:r w:rsidRPr="00FC1D95">
              <w:t>powered torqueing tools</w:t>
            </w:r>
          </w:p>
        </w:tc>
      </w:tr>
      <w:tr w:rsidTr="00FC1D9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rPr>
                <w:rStyle w:val="SpecialBold"/>
              </w:rPr>
              <w:t>Work requirements</w:t>
            </w:r>
          </w:p>
        </w:tc>
        <w:tc>
          <w:tcPr>
            <w:tcW w:w="5398" w:type="dxa"/>
            <w:tcBorders>
              <w:top w:val="nil"/>
              <w:left w:val="nil"/>
              <w:bottom w:val="nil"/>
              <w:right w:val="nil"/>
            </w:tcBorders>
            <w:tcMar>
              <w:top w:w="0" w:type="dxa"/>
              <w:left w:w="62" w:type="dxa"/>
              <w:bottom w:w="0" w:type="dxa"/>
              <w:right w:w="62" w:type="dxa"/>
            </w:tcMar>
          </w:tcPr>
          <w:p w:rsidR="00000000" w:rsidRPr="00FC1D95" w:rsidP="00FC1D95">
            <w:pPr>
              <w:pStyle w:val="BodyText"/>
            </w:pPr>
            <w:r w:rsidRPr="00FC1D95">
              <w:t>Work requirements may include but are not limited to:</w:t>
            </w:r>
          </w:p>
          <w:p w:rsidR="00000000" w:rsidRPr="00FC1D95" w:rsidP="00FC1D95">
            <w:pPr>
              <w:pStyle w:val="ListBullet"/>
            </w:pPr>
            <w:r w:rsidRPr="00FC1D95">
              <w:t>flange and gasket specifications</w:t>
            </w:r>
          </w:p>
          <w:p w:rsidR="00000000" w:rsidRPr="00FC1D95" w:rsidP="00FC1D95">
            <w:pPr>
              <w:pStyle w:val="ListBullet"/>
            </w:pPr>
            <w:r w:rsidRPr="00FC1D95">
              <w:t>stud and nut specification</w:t>
            </w:r>
          </w:p>
          <w:p w:rsidR="00000000" w:rsidRPr="00FC1D95" w:rsidP="00FC1D95">
            <w:pPr>
              <w:pStyle w:val="ListBullet"/>
            </w:pPr>
            <w:r w:rsidRPr="00FC1D95">
              <w:t>process line and process materials</w:t>
            </w:r>
          </w:p>
          <w:p w:rsidR="00000000" w:rsidRPr="00FC1D95" w:rsidP="00FC1D95">
            <w:pPr>
              <w:pStyle w:val="ListBullet"/>
            </w:pPr>
            <w:r w:rsidRPr="00FC1D95">
              <w:t>parts and equipment required</w:t>
            </w:r>
          </w:p>
          <w:p w:rsidR="00000000" w:rsidRPr="00FC1D95" w:rsidP="00FC1D95">
            <w:pPr>
              <w:pStyle w:val="ListBullet"/>
            </w:pPr>
            <w:r w:rsidRPr="00FC1D95">
              <w:t>local detectors requiring isolation</w:t>
            </w:r>
          </w:p>
          <w:p w:rsidR="00000000" w:rsidRPr="00FC1D95" w:rsidP="00FC1D95">
            <w:pPr>
              <w:pStyle w:val="ListBullet"/>
            </w:pPr>
            <w:r w:rsidRPr="00FC1D95">
              <w:t>required skill level</w:t>
            </w:r>
          </w:p>
          <w:p w:rsidR="00000000" w:rsidRPr="00FC1D95" w:rsidP="00FC1D95">
            <w:pPr>
              <w:pStyle w:val="ListBullet"/>
            </w:pPr>
            <w:r w:rsidRPr="00FC1D95">
              <w:t>conflicting work</w:t>
            </w:r>
          </w:p>
          <w:p w:rsidR="00000000" w:rsidRPr="00FC1D95" w:rsidP="00FC1D95">
            <w:pPr>
              <w:pStyle w:val="BodyText"/>
            </w:pPr>
            <w:r w:rsidRPr="00FC1D95">
              <w:t xml:space="preserve">Work requirements may come from briefings, handovers, and work orders and may include: </w:t>
            </w:r>
          </w:p>
          <w:p w:rsidR="00000000" w:rsidRPr="00FC1D95" w:rsidP="00FC1D95">
            <w:pPr>
              <w:pStyle w:val="ListBullet"/>
            </w:pPr>
            <w:r w:rsidRPr="00FC1D95">
              <w:t>compliance documentation</w:t>
            </w:r>
          </w:p>
          <w:p w:rsidR="00000000" w:rsidRPr="00FC1D95" w:rsidP="00FC1D95">
            <w:pPr>
              <w:pStyle w:val="ListBullet"/>
            </w:pPr>
            <w:r w:rsidRPr="00FC1D95">
              <w:t xml:space="preserve">product specifications </w:t>
            </w:r>
          </w:p>
          <w:p w:rsidR="00000000" w:rsidRPr="00FC1D95" w:rsidP="00FC1D95">
            <w:pPr>
              <w:pStyle w:val="ListBullet"/>
            </w:pPr>
            <w:r w:rsidRPr="00FC1D95">
              <w:t>nature and scop</w:t>
            </w:r>
            <w:r w:rsidRPr="00FC1D95">
              <w:t xml:space="preserve">e of tasks </w:t>
            </w:r>
          </w:p>
          <w:p w:rsidR="00000000" w:rsidRPr="00FC1D95" w:rsidP="00FC1D95">
            <w:pPr>
              <w:pStyle w:val="ListBullet"/>
            </w:pPr>
            <w:r w:rsidRPr="00FC1D95">
              <w:t xml:space="preserve">achievement targets </w:t>
            </w:r>
          </w:p>
          <w:p w:rsidR="00000000" w:rsidRPr="00FC1D95" w:rsidP="00FC1D95">
            <w:pPr>
              <w:pStyle w:val="ListBullet"/>
            </w:pPr>
            <w:r w:rsidRPr="00FC1D95">
              <w:t xml:space="preserve">operational conditions </w:t>
            </w:r>
          </w:p>
          <w:p w:rsidR="00000000" w:rsidRPr="00FC1D95" w:rsidP="00FC1D95">
            <w:pPr>
              <w:pStyle w:val="ListBullet"/>
            </w:pPr>
            <w:r w:rsidRPr="00FC1D95">
              <w:t xml:space="preserve">lighting conditions </w:t>
            </w:r>
          </w:p>
          <w:p w:rsidR="00000000" w:rsidRPr="00FC1D95" w:rsidP="00FC1D95">
            <w:pPr>
              <w:pStyle w:val="ListBullet"/>
            </w:pPr>
            <w:r w:rsidRPr="00FC1D95">
              <w:t xml:space="preserve">plant or equipment defects </w:t>
            </w:r>
          </w:p>
          <w:p w:rsidR="00000000" w:rsidRPr="00FC1D95" w:rsidP="00FC1D95">
            <w:pPr>
              <w:pStyle w:val="ListBullet"/>
            </w:pPr>
            <w:r w:rsidRPr="00FC1D95">
              <w:t xml:space="preserve">hazards and potential hazards </w:t>
            </w:r>
          </w:p>
          <w:p w:rsidR="00000000" w:rsidP="00FC1D95">
            <w:pPr>
              <w:pStyle w:val="ListBullet"/>
              <w:rPr>
                <w:lang w:val="en-NZ"/>
              </w:rPr>
            </w:pPr>
            <w:r w:rsidRPr="00FC1D95">
              <w:t>coordination requirements or issues</w:t>
            </w:r>
          </w:p>
        </w:tc>
      </w:tr>
      <w:tr w:rsidTr="00FC1D9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rPr>
                <w:rStyle w:val="SpecialBold"/>
              </w:rPr>
              <w:t>Job site</w:t>
            </w:r>
          </w:p>
        </w:tc>
        <w:tc>
          <w:tcPr>
            <w:tcW w:w="5398" w:type="dxa"/>
            <w:tcBorders>
              <w:top w:val="nil"/>
              <w:left w:val="nil"/>
              <w:bottom w:val="nil"/>
              <w:right w:val="nil"/>
            </w:tcBorders>
            <w:tcMar>
              <w:top w:w="0" w:type="dxa"/>
              <w:left w:w="62" w:type="dxa"/>
              <w:bottom w:w="0" w:type="dxa"/>
              <w:right w:w="62" w:type="dxa"/>
            </w:tcMar>
          </w:tcPr>
          <w:p w:rsidR="00000000" w:rsidRPr="00FC1D95" w:rsidP="00FC1D95">
            <w:pPr>
              <w:pStyle w:val="BodyText"/>
            </w:pPr>
            <w:r w:rsidRPr="00FC1D95">
              <w:t>Inspecting job site may include but is not limited to identifying:</w:t>
            </w:r>
          </w:p>
          <w:p w:rsidR="00000000" w:rsidRPr="00FC1D95" w:rsidP="00FC1D95">
            <w:pPr>
              <w:pStyle w:val="ListBullet"/>
            </w:pPr>
            <w:r w:rsidRPr="00FC1D95">
              <w:t>location</w:t>
            </w:r>
          </w:p>
          <w:p w:rsidR="00000000" w:rsidRPr="00FC1D95" w:rsidP="00FC1D95">
            <w:pPr>
              <w:pStyle w:val="ListBullet"/>
            </w:pPr>
            <w:r w:rsidRPr="00FC1D95">
              <w:t>authorisations required</w:t>
            </w:r>
          </w:p>
          <w:p w:rsidR="00000000" w:rsidRPr="00FC1D95" w:rsidP="00FC1D95">
            <w:pPr>
              <w:pStyle w:val="ListBullet"/>
            </w:pPr>
            <w:r w:rsidRPr="00FC1D95">
              <w:t>access and egress needs</w:t>
            </w:r>
          </w:p>
          <w:p w:rsidR="00000000" w:rsidRPr="00FC1D95" w:rsidP="00FC1D95">
            <w:pPr>
              <w:pStyle w:val="ListBullet"/>
            </w:pPr>
            <w:r w:rsidRPr="00FC1D95">
              <w:t>hazards</w:t>
            </w:r>
          </w:p>
          <w:p w:rsidR="00000000" w:rsidRPr="00FC1D95" w:rsidP="00FC1D95">
            <w:pPr>
              <w:pStyle w:val="ListBullet"/>
            </w:pPr>
            <w:r w:rsidRPr="00FC1D95">
              <w:t>recent work undertaken on joint</w:t>
            </w:r>
          </w:p>
          <w:p w:rsidR="00000000" w:rsidP="00FC1D95">
            <w:pPr>
              <w:pStyle w:val="ListBullet"/>
              <w:rPr>
                <w:lang w:val="en-NZ"/>
              </w:rPr>
            </w:pPr>
            <w:r w:rsidRPr="00FC1D95">
              <w:t>flange type (matches specification)</w:t>
            </w:r>
          </w:p>
        </w:tc>
      </w:tr>
      <w:tr w:rsidTr="00FC1D9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rPr>
                <w:rStyle w:val="SpecialBold"/>
              </w:rPr>
              <w:t>Control hazards</w:t>
            </w:r>
          </w:p>
        </w:tc>
        <w:tc>
          <w:tcPr>
            <w:tcW w:w="5398" w:type="dxa"/>
            <w:tcBorders>
              <w:top w:val="nil"/>
              <w:left w:val="nil"/>
              <w:bottom w:val="nil"/>
              <w:right w:val="nil"/>
            </w:tcBorders>
            <w:tcMar>
              <w:top w:w="0" w:type="dxa"/>
              <w:left w:w="62" w:type="dxa"/>
              <w:bottom w:w="0" w:type="dxa"/>
              <w:right w:w="62" w:type="dxa"/>
            </w:tcMar>
          </w:tcPr>
          <w:p w:rsidR="00000000" w:rsidRPr="00FC1D95" w:rsidP="00FC1D95">
            <w:pPr>
              <w:pStyle w:val="BodyText"/>
            </w:pPr>
            <w:r w:rsidRPr="00FC1D95">
              <w:t>Control hazards may include but is not limited to:</w:t>
            </w:r>
          </w:p>
          <w:p w:rsidR="00000000" w:rsidRPr="00FC1D95" w:rsidP="00FC1D95">
            <w:pPr>
              <w:pStyle w:val="ListBullet"/>
            </w:pPr>
            <w:r w:rsidRPr="00FC1D95">
              <w:t>selection and use of appropriate personal protective e</w:t>
            </w:r>
            <w:r w:rsidRPr="00FC1D95">
              <w:t>quipment</w:t>
            </w:r>
          </w:p>
          <w:p w:rsidR="00000000" w:rsidRPr="00FC1D95" w:rsidP="00FC1D95">
            <w:pPr>
              <w:pStyle w:val="ListBullet"/>
            </w:pPr>
            <w:r w:rsidRPr="00FC1D95">
              <w:t>obtaining appropriate authorisations</w:t>
            </w:r>
          </w:p>
          <w:p w:rsidR="00000000" w:rsidRPr="00FC1D95" w:rsidP="00FC1D95">
            <w:pPr>
              <w:pStyle w:val="ListBullet"/>
            </w:pPr>
            <w:r w:rsidRPr="00FC1D95">
              <w:t>checking required isolations</w:t>
            </w:r>
          </w:p>
          <w:p w:rsidR="00000000" w:rsidP="00FC1D95">
            <w:pPr>
              <w:pStyle w:val="ListBullet"/>
              <w:rPr>
                <w:lang w:val="en-NZ"/>
              </w:rPr>
            </w:pPr>
            <w:r w:rsidRPr="00FC1D95">
              <w:t>controlling other work in area</w:t>
            </w:r>
          </w:p>
        </w:tc>
      </w:tr>
      <w:tr w:rsidTr="00FC1D9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rPr>
                <w:rStyle w:val="SpecialBold"/>
              </w:rPr>
              <w:t>Implement hazard controls</w:t>
            </w:r>
          </w:p>
        </w:tc>
        <w:tc>
          <w:tcPr>
            <w:tcW w:w="5398" w:type="dxa"/>
            <w:tcBorders>
              <w:top w:val="nil"/>
              <w:left w:val="nil"/>
              <w:bottom w:val="nil"/>
              <w:right w:val="nil"/>
            </w:tcBorders>
            <w:tcMar>
              <w:top w:w="0" w:type="dxa"/>
              <w:left w:w="62" w:type="dxa"/>
              <w:bottom w:w="0" w:type="dxa"/>
              <w:right w:w="62" w:type="dxa"/>
            </w:tcMar>
          </w:tcPr>
          <w:p w:rsidR="00000000" w:rsidRPr="00FC1D95" w:rsidP="00FC1D95">
            <w:pPr>
              <w:pStyle w:val="BodyText"/>
            </w:pPr>
            <w:r w:rsidRPr="00FC1D95">
              <w:t>Implementing hazard controls may include but is not limited to:</w:t>
            </w:r>
          </w:p>
          <w:p w:rsidR="00000000" w:rsidRPr="00FC1D95" w:rsidP="00FC1D95">
            <w:pPr>
              <w:pStyle w:val="ListBullet"/>
            </w:pPr>
            <w:r w:rsidRPr="00FC1D95">
              <w:t>controlling access to area</w:t>
            </w:r>
          </w:p>
          <w:p w:rsidR="00000000" w:rsidRPr="00FC1D95" w:rsidP="00FC1D95">
            <w:pPr>
              <w:pStyle w:val="ListBullet"/>
            </w:pPr>
            <w:r w:rsidRPr="00FC1D95">
              <w:t>using gas tester</w:t>
            </w:r>
          </w:p>
          <w:p w:rsidR="00000000" w:rsidRPr="00FC1D95" w:rsidP="00FC1D95">
            <w:pPr>
              <w:pStyle w:val="ListBullet"/>
            </w:pPr>
            <w:r w:rsidRPr="00FC1D95">
              <w:t>verifying and confirming isolation</w:t>
            </w:r>
          </w:p>
          <w:p w:rsidR="00000000" w:rsidP="00FC1D95">
            <w:pPr>
              <w:pStyle w:val="ListBullet"/>
              <w:rPr>
                <w:lang w:val="en-NZ"/>
              </w:rPr>
            </w:pPr>
            <w:r w:rsidRPr="00FC1D95">
              <w:t>safe flange breaking procedure (line of fire)</w:t>
            </w:r>
          </w:p>
        </w:tc>
      </w:tr>
      <w:tr w:rsidTr="00FC1D9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rPr>
                <w:rStyle w:val="SpecialBold"/>
              </w:rPr>
              <w:t>Manage open pipe</w:t>
            </w:r>
          </w:p>
        </w:tc>
        <w:tc>
          <w:tcPr>
            <w:tcW w:w="5398" w:type="dxa"/>
            <w:tcBorders>
              <w:top w:val="nil"/>
              <w:left w:val="nil"/>
              <w:bottom w:val="nil"/>
              <w:right w:val="nil"/>
            </w:tcBorders>
            <w:tcMar>
              <w:top w:w="0" w:type="dxa"/>
              <w:left w:w="62" w:type="dxa"/>
              <w:bottom w:w="0" w:type="dxa"/>
              <w:right w:w="62" w:type="dxa"/>
            </w:tcMar>
          </w:tcPr>
          <w:p w:rsidR="00000000" w:rsidRPr="00FC1D95" w:rsidP="00FC1D95">
            <w:pPr>
              <w:pStyle w:val="BodyText"/>
            </w:pPr>
            <w:r w:rsidRPr="00FC1D95">
              <w:t>Manage open pipe includes:</w:t>
            </w:r>
          </w:p>
          <w:p w:rsidR="00000000" w:rsidP="00FC1D95">
            <w:pPr>
              <w:pStyle w:val="ListBullet"/>
              <w:rPr>
                <w:lang w:val="en-NZ"/>
              </w:rPr>
            </w:pPr>
            <w:r w:rsidRPr="00FC1D95">
              <w:t>all those actions required once the flange is broken to ensure the pipe and its contents are not contaminated or damaged</w:t>
            </w:r>
          </w:p>
        </w:tc>
      </w:tr>
      <w:tr w:rsidTr="00FC1D9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rPr>
                <w:rStyle w:val="SpecialBold"/>
              </w:rPr>
              <w:t>Inspect</w:t>
            </w:r>
            <w:r w:rsidRPr="00FC1D95">
              <w:rPr>
                <w:rStyle w:val="SpecialBold"/>
              </w:rPr>
              <w:t xml:space="preserve"> components</w:t>
            </w:r>
          </w:p>
        </w:tc>
        <w:tc>
          <w:tcPr>
            <w:tcW w:w="5398" w:type="dxa"/>
            <w:tcBorders>
              <w:top w:val="nil"/>
              <w:left w:val="nil"/>
              <w:bottom w:val="nil"/>
              <w:right w:val="nil"/>
            </w:tcBorders>
            <w:tcMar>
              <w:top w:w="0" w:type="dxa"/>
              <w:left w:w="62" w:type="dxa"/>
              <w:bottom w:w="0" w:type="dxa"/>
              <w:right w:w="62" w:type="dxa"/>
            </w:tcMar>
          </w:tcPr>
          <w:p w:rsidR="00000000" w:rsidRPr="00FC1D95" w:rsidP="00FC1D95">
            <w:pPr>
              <w:pStyle w:val="BodyText"/>
            </w:pPr>
            <w:r w:rsidRPr="00FC1D95">
              <w:t>Inspecting flange components may include but is not limited to:</w:t>
            </w:r>
          </w:p>
          <w:p w:rsidR="00000000" w:rsidRPr="00FC1D95" w:rsidP="00FC1D95">
            <w:pPr>
              <w:pStyle w:val="ListBullet"/>
            </w:pPr>
            <w:r w:rsidRPr="00FC1D95">
              <w:t>checking for asbestos in gaskets</w:t>
            </w:r>
          </w:p>
          <w:p w:rsidR="00000000" w:rsidRPr="00FC1D95" w:rsidP="00FC1D95">
            <w:pPr>
              <w:pStyle w:val="ListBullet"/>
            </w:pPr>
            <w:r w:rsidRPr="00FC1D95">
              <w:t>looking for signs of damage, defects or deterioration in all components</w:t>
            </w:r>
          </w:p>
          <w:p w:rsidR="00000000" w:rsidRPr="00FC1D95" w:rsidP="00FC1D95">
            <w:pPr>
              <w:pStyle w:val="ListBullet"/>
            </w:pPr>
            <w:r w:rsidRPr="00FC1D95">
              <w:t>cleanliness and correct surface roughness of mating surfaces</w:t>
            </w:r>
          </w:p>
          <w:p w:rsidR="00000000" w:rsidRPr="00FC1D95" w:rsidP="00FC1D95">
            <w:pPr>
              <w:pStyle w:val="ListBullet"/>
            </w:pPr>
            <w:r w:rsidRPr="00FC1D95">
              <w:t>alignment</w:t>
            </w:r>
          </w:p>
          <w:p w:rsidR="00000000" w:rsidRPr="00FC1D95" w:rsidP="00FC1D95">
            <w:pPr>
              <w:pStyle w:val="BodyText"/>
            </w:pPr>
          </w:p>
          <w:p w:rsidR="00000000" w:rsidP="00FC1D95">
            <w:pPr>
              <w:pStyle w:val="BodyText"/>
              <w:rPr>
                <w:lang w:val="en-NZ"/>
              </w:rPr>
            </w:pPr>
            <w:r w:rsidRPr="00FC1D95">
              <w:t>Refer to appendices of ASME PCC-1-2010 Guidelines for Pressure Boundary Bolted Flange Joint Assembly for technical details</w:t>
            </w:r>
          </w:p>
        </w:tc>
      </w:tr>
      <w:tr w:rsidTr="00FC1D9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rPr>
                <w:rStyle w:val="SpecialBold"/>
              </w:rPr>
              <w:t>Components</w:t>
            </w:r>
          </w:p>
        </w:tc>
        <w:tc>
          <w:tcPr>
            <w:tcW w:w="5398" w:type="dxa"/>
            <w:tcBorders>
              <w:top w:val="nil"/>
              <w:left w:val="nil"/>
              <w:bottom w:val="nil"/>
              <w:right w:val="nil"/>
            </w:tcBorders>
            <w:tcMar>
              <w:top w:w="0" w:type="dxa"/>
              <w:left w:w="62" w:type="dxa"/>
              <w:bottom w:w="0" w:type="dxa"/>
              <w:right w:w="62" w:type="dxa"/>
            </w:tcMar>
          </w:tcPr>
          <w:p w:rsidR="00000000" w:rsidRPr="00FC1D95" w:rsidP="00FC1D95">
            <w:pPr>
              <w:pStyle w:val="BodyText"/>
            </w:pPr>
            <w:r w:rsidRPr="00FC1D95">
              <w:t>Components may include but are not limited to:</w:t>
            </w:r>
          </w:p>
          <w:p w:rsidR="00000000" w:rsidRPr="00FC1D95" w:rsidP="00FC1D95">
            <w:pPr>
              <w:pStyle w:val="ListBullet"/>
            </w:pPr>
            <w:r w:rsidRPr="00FC1D95">
              <w:t>studs</w:t>
            </w:r>
          </w:p>
          <w:p w:rsidR="00000000" w:rsidRPr="00FC1D95" w:rsidP="00FC1D95">
            <w:pPr>
              <w:pStyle w:val="ListBullet"/>
            </w:pPr>
            <w:r w:rsidRPr="00FC1D95">
              <w:t>nuts</w:t>
            </w:r>
          </w:p>
          <w:p w:rsidR="00000000" w:rsidRPr="00FC1D95" w:rsidP="00FC1D95">
            <w:pPr>
              <w:pStyle w:val="ListBullet"/>
            </w:pPr>
            <w:r w:rsidRPr="00FC1D95">
              <w:t>washers</w:t>
            </w:r>
          </w:p>
          <w:p w:rsidR="00000000" w:rsidP="00FC1D95">
            <w:pPr>
              <w:pStyle w:val="ListBullet"/>
              <w:rPr>
                <w:lang w:val="en-NZ"/>
              </w:rPr>
            </w:pPr>
            <w:r w:rsidRPr="00FC1D95">
              <w:t>gaskets</w:t>
            </w:r>
          </w:p>
        </w:tc>
      </w:tr>
      <w:tr w:rsidTr="00FC1D9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rPr>
                <w:rStyle w:val="SpecialBold"/>
              </w:rPr>
              <w:t>Check studs and nuts</w:t>
            </w:r>
          </w:p>
        </w:tc>
        <w:tc>
          <w:tcPr>
            <w:tcW w:w="5398" w:type="dxa"/>
            <w:tcBorders>
              <w:top w:val="nil"/>
              <w:left w:val="nil"/>
              <w:bottom w:val="nil"/>
              <w:right w:val="nil"/>
            </w:tcBorders>
            <w:tcMar>
              <w:top w:w="0" w:type="dxa"/>
              <w:left w:w="62" w:type="dxa"/>
              <w:bottom w:w="0" w:type="dxa"/>
              <w:right w:w="62" w:type="dxa"/>
            </w:tcMar>
          </w:tcPr>
          <w:p w:rsidR="00000000" w:rsidRPr="00FC1D95" w:rsidP="00FC1D95">
            <w:pPr>
              <w:pStyle w:val="BodyText"/>
            </w:pPr>
            <w:r w:rsidRPr="00FC1D95">
              <w:t xml:space="preserve">Checking studs and nuts </w:t>
            </w:r>
            <w:r w:rsidRPr="00FC1D95">
              <w:t>may include but is not limited to checking:</w:t>
            </w:r>
          </w:p>
          <w:p w:rsidR="00000000" w:rsidRPr="00FC1D95" w:rsidP="00FC1D95">
            <w:pPr>
              <w:pStyle w:val="ListBullet"/>
            </w:pPr>
            <w:r w:rsidRPr="00FC1D95">
              <w:t>integrity of studs and nuts</w:t>
            </w:r>
          </w:p>
          <w:p w:rsidR="00000000" w:rsidRPr="00FC1D95" w:rsidP="00FC1D95">
            <w:pPr>
              <w:pStyle w:val="ListBullet"/>
            </w:pPr>
            <w:r w:rsidRPr="00FC1D95">
              <w:t>fit of nut to stud</w:t>
            </w:r>
          </w:p>
          <w:p w:rsidR="00000000" w:rsidRPr="00FC1D95" w:rsidP="00FC1D95">
            <w:pPr>
              <w:pStyle w:val="ListBullet"/>
            </w:pPr>
            <w:r w:rsidRPr="00FC1D95">
              <w:t>need for new studs and nuts</w:t>
            </w:r>
          </w:p>
          <w:p w:rsidR="00000000" w:rsidP="00FC1D95">
            <w:pPr>
              <w:pStyle w:val="ListBullet"/>
              <w:rPr>
                <w:lang w:val="en-NZ"/>
              </w:rPr>
            </w:pPr>
            <w:r w:rsidRPr="00FC1D95">
              <w:t>conformance to specification</w:t>
            </w:r>
          </w:p>
        </w:tc>
      </w:tr>
      <w:tr w:rsidTr="00FC1D9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rPr>
                <w:rStyle w:val="SpecialBold"/>
              </w:rPr>
              <w:t>Initial assembly of joint</w:t>
            </w:r>
          </w:p>
        </w:tc>
        <w:tc>
          <w:tcPr>
            <w:tcW w:w="5398" w:type="dxa"/>
            <w:tcBorders>
              <w:top w:val="nil"/>
              <w:left w:val="nil"/>
              <w:bottom w:val="nil"/>
              <w:right w:val="nil"/>
            </w:tcBorders>
            <w:tcMar>
              <w:top w:w="0" w:type="dxa"/>
              <w:left w:w="62" w:type="dxa"/>
              <w:bottom w:w="0" w:type="dxa"/>
              <w:right w:w="62" w:type="dxa"/>
            </w:tcMar>
          </w:tcPr>
          <w:p w:rsidR="00000000" w:rsidRPr="00FC1D95" w:rsidP="00FC1D95">
            <w:pPr>
              <w:pStyle w:val="BodyText"/>
            </w:pPr>
            <w:r w:rsidRPr="00FC1D95">
              <w:t>Initial assembly of joint may include but is not limited to:</w:t>
            </w:r>
          </w:p>
          <w:p w:rsidR="00000000" w:rsidRPr="00FC1D95" w:rsidP="00FC1D95">
            <w:pPr>
              <w:pStyle w:val="ListBullet"/>
            </w:pPr>
            <w:r w:rsidRPr="00FC1D95">
              <w:t>aligning joint</w:t>
            </w:r>
          </w:p>
          <w:p w:rsidR="00000000" w:rsidRPr="00FC1D95" w:rsidP="00FC1D95">
            <w:pPr>
              <w:pStyle w:val="ListBullet"/>
            </w:pPr>
            <w:r w:rsidRPr="00FC1D95">
              <w:t>inserting studs</w:t>
            </w:r>
          </w:p>
          <w:p w:rsidR="00000000" w:rsidRPr="00FC1D95" w:rsidP="00FC1D95">
            <w:pPr>
              <w:pStyle w:val="ListBullet"/>
            </w:pPr>
            <w:r w:rsidRPr="00FC1D95">
              <w:t>assembling nuts to studs</w:t>
            </w:r>
          </w:p>
          <w:p w:rsidR="00000000" w:rsidP="00FC1D95">
            <w:pPr>
              <w:pStyle w:val="ListBullet"/>
              <w:rPr>
                <w:lang w:val="en-NZ"/>
              </w:rPr>
            </w:pPr>
            <w:r w:rsidRPr="00FC1D95">
              <w:t>inserting and aligning gasket</w:t>
            </w:r>
          </w:p>
        </w:tc>
      </w:tr>
      <w:tr w:rsidTr="00FC1D9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rPr>
                <w:rStyle w:val="SpecialBold"/>
              </w:rPr>
              <w:t>Blinds</w:t>
            </w:r>
          </w:p>
        </w:tc>
        <w:tc>
          <w:tcPr>
            <w:tcW w:w="5398" w:type="dxa"/>
            <w:tcBorders>
              <w:top w:val="nil"/>
              <w:left w:val="nil"/>
              <w:bottom w:val="nil"/>
              <w:right w:val="nil"/>
            </w:tcBorders>
            <w:tcMar>
              <w:top w:w="0" w:type="dxa"/>
              <w:left w:w="62" w:type="dxa"/>
              <w:bottom w:w="0" w:type="dxa"/>
              <w:right w:w="62" w:type="dxa"/>
            </w:tcMar>
          </w:tcPr>
          <w:p w:rsidR="00000000" w:rsidRPr="00FC1D95" w:rsidP="00FC1D95">
            <w:pPr>
              <w:pStyle w:val="BodyText"/>
            </w:pPr>
            <w:r w:rsidRPr="00FC1D95">
              <w:t>Blinds may include but are not limited to:</w:t>
            </w:r>
          </w:p>
          <w:p w:rsidR="00000000" w:rsidRPr="00FC1D95" w:rsidP="00FC1D95">
            <w:pPr>
              <w:pStyle w:val="ListBullet"/>
            </w:pPr>
            <w:r w:rsidRPr="00FC1D95">
              <w:t>blinds</w:t>
            </w:r>
          </w:p>
          <w:p w:rsidR="00000000" w:rsidRPr="00FC1D95" w:rsidP="00FC1D95">
            <w:pPr>
              <w:pStyle w:val="ListBullet"/>
            </w:pPr>
            <w:r w:rsidRPr="00FC1D95">
              <w:t>blanks</w:t>
            </w:r>
          </w:p>
          <w:p w:rsidR="00000000" w:rsidP="00FC1D95">
            <w:pPr>
              <w:pStyle w:val="ListBullet"/>
              <w:rPr>
                <w:lang w:val="en-NZ"/>
              </w:rPr>
            </w:pPr>
            <w:r w:rsidRPr="00FC1D95">
              <w:t>spectacle/goggle blinds</w:t>
            </w:r>
          </w:p>
        </w:tc>
      </w:tr>
      <w:tr w:rsidTr="00FC1D9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rPr>
                <w:rStyle w:val="SpecialBold"/>
              </w:rPr>
              <w:t>Refer</w:t>
            </w:r>
          </w:p>
        </w:tc>
        <w:tc>
          <w:tcPr>
            <w:tcW w:w="5398"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t>Refer means to refer the issue to the person with the required skills, knowledge and/or authority to deal with the matter</w:t>
            </w:r>
          </w:p>
        </w:tc>
      </w:tr>
      <w:tr w:rsidTr="00FC1D9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rPr>
                <w:rStyle w:val="SpecialBold"/>
              </w:rPr>
              <w:t>Procedures</w:t>
            </w:r>
          </w:p>
        </w:tc>
        <w:tc>
          <w:tcPr>
            <w:tcW w:w="5398" w:type="dxa"/>
            <w:tcBorders>
              <w:top w:val="nil"/>
              <w:left w:val="nil"/>
              <w:bottom w:val="nil"/>
              <w:right w:val="nil"/>
            </w:tcBorders>
            <w:tcMar>
              <w:top w:w="0" w:type="dxa"/>
              <w:left w:w="62" w:type="dxa"/>
              <w:bottom w:w="0" w:type="dxa"/>
              <w:right w:w="62" w:type="dxa"/>
            </w:tcMar>
          </w:tcPr>
          <w:p w:rsidR="00000000" w:rsidRPr="00FC1D95" w:rsidP="00FC1D95">
            <w:pPr>
              <w:pStyle w:val="BodyText"/>
            </w:pPr>
            <w:r w:rsidRPr="00FC1D95">
              <w:t xml:space="preserve">Procedures may be written, verbal, computer-based or in </w:t>
            </w:r>
            <w:r w:rsidRPr="00FC1D95">
              <w:t>some other form. They may include but are not limited to:</w:t>
            </w:r>
          </w:p>
          <w:p w:rsidR="00000000" w:rsidRPr="00FC1D95" w:rsidP="00FC1D95">
            <w:pPr>
              <w:pStyle w:val="ListBullet"/>
            </w:pPr>
            <w:r w:rsidRPr="00FC1D95">
              <w:t xml:space="preserve">flange </w:t>
            </w:r>
            <w:r w:rsidRPr="00FC1D95">
              <w:t>management procedures</w:t>
            </w:r>
          </w:p>
          <w:p w:rsidR="00000000" w:rsidRPr="00FC1D95" w:rsidP="00FC1D95">
            <w:pPr>
              <w:pStyle w:val="ListBullet"/>
            </w:pPr>
            <w:r w:rsidRPr="00FC1D95">
              <w:t>all work instructions</w:t>
            </w:r>
          </w:p>
          <w:p w:rsidR="00000000" w:rsidRPr="00FC1D95" w:rsidP="00FC1D95">
            <w:pPr>
              <w:pStyle w:val="ListBullet"/>
            </w:pPr>
            <w:r w:rsidRPr="00FC1D95">
              <w:t>standard operating procedures</w:t>
            </w:r>
          </w:p>
          <w:p w:rsidR="00000000" w:rsidRPr="00FC1D95" w:rsidP="00FC1D95">
            <w:pPr>
              <w:pStyle w:val="ListBullet"/>
            </w:pPr>
            <w:r w:rsidRPr="00FC1D95">
              <w:t>temporary instructions</w:t>
            </w:r>
          </w:p>
          <w:p w:rsidR="00000000" w:rsidRPr="00FC1D95" w:rsidP="00FC1D95">
            <w:pPr>
              <w:pStyle w:val="ListBullet"/>
            </w:pPr>
            <w:r w:rsidRPr="00FC1D95">
              <w:t>any similar instructions provided for the smooth running of the plant</w:t>
            </w:r>
          </w:p>
          <w:p w:rsidR="00000000" w:rsidRPr="00FC1D95" w:rsidP="00FC1D95">
            <w:pPr>
              <w:pStyle w:val="ListBullet"/>
            </w:pPr>
            <w:r w:rsidRPr="00FC1D95">
              <w:t>good operating practice as may be defined by industry codes of practice</w:t>
            </w:r>
          </w:p>
          <w:p w:rsidR="00000000" w:rsidP="00FC1D95">
            <w:pPr>
              <w:pStyle w:val="BodyText"/>
              <w:rPr>
                <w:lang w:val="en-NZ"/>
              </w:rPr>
            </w:pPr>
            <w:r w:rsidRPr="00FC1D95">
              <w:t xml:space="preserve">Procedures would </w:t>
            </w:r>
            <w:r w:rsidRPr="00FC1D95">
              <w:t>be expected to comply with any relevant government regulations.</w:t>
            </w:r>
          </w:p>
        </w:tc>
      </w:tr>
      <w:tr w:rsidTr="00FC1D9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rPr>
                <w:rStyle w:val="SpecialBold"/>
              </w:rPr>
              <w:t>Checklists and records</w:t>
            </w:r>
          </w:p>
        </w:tc>
        <w:tc>
          <w:tcPr>
            <w:tcW w:w="5398" w:type="dxa"/>
            <w:tcBorders>
              <w:top w:val="nil"/>
              <w:left w:val="nil"/>
              <w:bottom w:val="nil"/>
              <w:right w:val="nil"/>
            </w:tcBorders>
            <w:tcMar>
              <w:top w:w="0" w:type="dxa"/>
              <w:left w:w="62" w:type="dxa"/>
              <w:bottom w:w="0" w:type="dxa"/>
              <w:right w:w="62" w:type="dxa"/>
            </w:tcMar>
          </w:tcPr>
          <w:p w:rsidR="00000000" w:rsidRPr="00FC1D95" w:rsidP="00FC1D95">
            <w:pPr>
              <w:pStyle w:val="BodyText"/>
            </w:pPr>
            <w:r w:rsidRPr="00FC1D95">
              <w:t>Checklists and records may include:</w:t>
            </w:r>
          </w:p>
          <w:p w:rsidR="00000000" w:rsidRPr="00FC1D95" w:rsidP="00FC1D95">
            <w:pPr>
              <w:pStyle w:val="ListBullet"/>
            </w:pPr>
            <w:r w:rsidRPr="00FC1D95">
              <w:t>paper or electronic based and verbal/radio reports</w:t>
            </w:r>
          </w:p>
          <w:p w:rsidR="00000000" w:rsidP="00FC1D95">
            <w:pPr>
              <w:pStyle w:val="ListBullet"/>
              <w:rPr>
                <w:lang w:val="en-NZ"/>
              </w:rPr>
            </w:pPr>
            <w:r w:rsidRPr="00FC1D95">
              <w:t>reporting items found which require action</w:t>
            </w:r>
          </w:p>
        </w:tc>
      </w:tr>
      <w:tr w:rsidTr="00FC1D9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rPr>
                <w:rStyle w:val="SpecialBold"/>
              </w:rPr>
              <w:t>Appropriate action</w:t>
            </w:r>
          </w:p>
        </w:tc>
        <w:tc>
          <w:tcPr>
            <w:tcW w:w="5398" w:type="dxa"/>
            <w:tcBorders>
              <w:top w:val="nil"/>
              <w:left w:val="nil"/>
              <w:bottom w:val="nil"/>
              <w:right w:val="nil"/>
            </w:tcBorders>
            <w:tcMar>
              <w:top w:w="0" w:type="dxa"/>
              <w:left w:w="62" w:type="dxa"/>
              <w:bottom w:w="0" w:type="dxa"/>
              <w:right w:w="62" w:type="dxa"/>
            </w:tcMar>
          </w:tcPr>
          <w:p w:rsidR="00000000" w:rsidRPr="00FC1D95" w:rsidP="00FC1D95">
            <w:pPr>
              <w:pStyle w:val="BodyText"/>
            </w:pPr>
            <w:r w:rsidRPr="00FC1D95">
              <w:t>Appropriate action includes but is not limited to:</w:t>
            </w:r>
          </w:p>
          <w:p w:rsidR="00000000" w:rsidRPr="00FC1D95" w:rsidP="00FC1D95">
            <w:pPr>
              <w:pStyle w:val="ListBullet"/>
            </w:pPr>
            <w:r w:rsidRPr="00FC1D95">
              <w:t>determining problems needing action</w:t>
            </w:r>
          </w:p>
          <w:p w:rsidR="00000000" w:rsidRPr="00FC1D95" w:rsidP="00FC1D95">
            <w:pPr>
              <w:pStyle w:val="ListBullet"/>
            </w:pPr>
            <w:r w:rsidRPr="00FC1D95">
              <w:t>accessing and applying relevant technical and plant data</w:t>
            </w:r>
          </w:p>
          <w:p w:rsidR="00000000" w:rsidRPr="00FC1D95" w:rsidP="00FC1D95">
            <w:pPr>
              <w:pStyle w:val="ListBullet"/>
            </w:pPr>
            <w:r w:rsidRPr="00FC1D95">
              <w:t>applying appropriate problem solving techniques to determine possible fault causes</w:t>
            </w:r>
          </w:p>
          <w:p w:rsidR="00000000" w:rsidRPr="00FC1D95" w:rsidP="00FC1D95">
            <w:pPr>
              <w:pStyle w:val="ListBullet"/>
            </w:pPr>
            <w:r w:rsidRPr="00FC1D95">
              <w:t>rectifying problem using app</w:t>
            </w:r>
            <w:r w:rsidRPr="00FC1D95">
              <w:t>ropriate solution within area of responsibility</w:t>
            </w:r>
          </w:p>
          <w:p w:rsidR="00000000" w:rsidRPr="00FC1D95" w:rsidP="00FC1D95">
            <w:pPr>
              <w:pStyle w:val="ListBullet"/>
            </w:pPr>
            <w:r w:rsidRPr="00FC1D95">
              <w:t>following through items initiated until final resolution has occurred</w:t>
            </w:r>
          </w:p>
          <w:p w:rsidR="00000000" w:rsidP="00FC1D95">
            <w:pPr>
              <w:pStyle w:val="ListBullet"/>
              <w:rPr>
                <w:lang w:val="en-NZ"/>
              </w:rPr>
            </w:pPr>
            <w:r w:rsidRPr="00FC1D95">
              <w:t>reporting problems outside area of responsibility/ability to resolve to designated person</w:t>
            </w:r>
          </w:p>
        </w:tc>
      </w:tr>
      <w:tr w:rsidTr="00FC1D9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rPr>
                <w:rStyle w:val="SpecialBold"/>
              </w:rPr>
              <w:t>Typical problems</w:t>
            </w:r>
          </w:p>
        </w:tc>
        <w:tc>
          <w:tcPr>
            <w:tcW w:w="5398" w:type="dxa"/>
            <w:tcBorders>
              <w:top w:val="nil"/>
              <w:left w:val="nil"/>
              <w:bottom w:val="nil"/>
              <w:right w:val="nil"/>
            </w:tcBorders>
            <w:tcMar>
              <w:top w:w="0" w:type="dxa"/>
              <w:left w:w="62" w:type="dxa"/>
              <w:bottom w:w="0" w:type="dxa"/>
              <w:right w:w="62" w:type="dxa"/>
            </w:tcMar>
          </w:tcPr>
          <w:p w:rsidR="00000000" w:rsidRPr="00FC1D95" w:rsidP="00FC1D95">
            <w:pPr>
              <w:pStyle w:val="BodyText"/>
            </w:pPr>
            <w:r w:rsidRPr="00FC1D95">
              <w:t>Typical problems may include but are not limited to:</w:t>
            </w:r>
          </w:p>
          <w:p w:rsidR="00000000" w:rsidRPr="00FC1D95" w:rsidP="00FC1D95">
            <w:pPr>
              <w:pStyle w:val="ListBullet"/>
            </w:pPr>
            <w:r w:rsidRPr="00FC1D95">
              <w:t>seal/gasket leaks</w:t>
            </w:r>
          </w:p>
          <w:p w:rsidR="00000000" w:rsidRPr="00FC1D95" w:rsidP="00FC1D95">
            <w:pPr>
              <w:pStyle w:val="ListBullet"/>
            </w:pPr>
            <w:r w:rsidRPr="00FC1D95">
              <w:t>pressure loss/low flow</w:t>
            </w:r>
          </w:p>
          <w:p w:rsidR="00000000" w:rsidRPr="00FC1D95" w:rsidP="00FC1D95">
            <w:pPr>
              <w:pStyle w:val="ListBullet"/>
            </w:pPr>
            <w:r w:rsidRPr="00FC1D95">
              <w:t>blockages/build-up/fouling</w:t>
            </w:r>
          </w:p>
          <w:p w:rsidR="00000000" w:rsidRPr="00FC1D95" w:rsidP="00FC1D95">
            <w:pPr>
              <w:pStyle w:val="ListBullet"/>
            </w:pPr>
            <w:r w:rsidRPr="00FC1D95">
              <w:t>erosion/wear</w:t>
            </w:r>
          </w:p>
          <w:p w:rsidR="00000000" w:rsidRPr="00FC1D95" w:rsidP="00FC1D95">
            <w:pPr>
              <w:pStyle w:val="ListBullet"/>
            </w:pPr>
            <w:r w:rsidRPr="00FC1D95">
              <w:t>ancillary equipment problems</w:t>
            </w:r>
          </w:p>
          <w:p w:rsidR="00000000" w:rsidRPr="00FC1D95" w:rsidP="00FC1D95">
            <w:pPr>
              <w:pStyle w:val="ListBullet"/>
            </w:pPr>
            <w:r w:rsidRPr="00FC1D95">
              <w:t>studs incorrectly tensioned</w:t>
            </w:r>
          </w:p>
          <w:p w:rsidR="00000000" w:rsidRPr="00FC1D95" w:rsidP="00FC1D95">
            <w:pPr>
              <w:pStyle w:val="ListBullet"/>
            </w:pPr>
            <w:r w:rsidRPr="00FC1D95">
              <w:t>worn threads</w:t>
            </w:r>
          </w:p>
          <w:p w:rsidR="00000000" w:rsidRPr="00FC1D95" w:rsidP="00FC1D95">
            <w:pPr>
              <w:pStyle w:val="ListBullet"/>
            </w:pPr>
            <w:r w:rsidRPr="00FC1D95">
              <w:t>misalignments</w:t>
            </w:r>
          </w:p>
          <w:p w:rsidR="00000000" w:rsidRPr="00FC1D95" w:rsidP="00FC1D95">
            <w:pPr>
              <w:pStyle w:val="ListBullet"/>
            </w:pPr>
            <w:r w:rsidRPr="00FC1D95">
              <w:t>cold pull</w:t>
            </w:r>
          </w:p>
          <w:p w:rsidR="00000000" w:rsidRPr="00FC1D95" w:rsidP="00FC1D95">
            <w:pPr>
              <w:pStyle w:val="ListBullet"/>
            </w:pPr>
            <w:r w:rsidRPr="00FC1D95">
              <w:t>isolation failure</w:t>
            </w:r>
          </w:p>
          <w:p w:rsidR="00000000" w:rsidP="00FC1D95">
            <w:pPr>
              <w:pStyle w:val="ListBullet"/>
              <w:rPr>
                <w:lang w:val="en-NZ"/>
              </w:rPr>
            </w:pPr>
            <w:r w:rsidRPr="00FC1D95">
              <w:t>leak test</w:t>
            </w:r>
            <w:r w:rsidRPr="00FC1D95">
              <w:t xml:space="preserve"> failure</w:t>
            </w:r>
          </w:p>
        </w:tc>
      </w:tr>
      <w:tr w:rsidTr="00FC1D9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rPr>
                <w:rStyle w:val="SpecialBold"/>
              </w:rPr>
              <w:t>Remedial actions</w:t>
            </w:r>
          </w:p>
        </w:tc>
        <w:tc>
          <w:tcPr>
            <w:tcW w:w="5398" w:type="dxa"/>
            <w:tcBorders>
              <w:top w:val="nil"/>
              <w:left w:val="nil"/>
              <w:bottom w:val="nil"/>
              <w:right w:val="nil"/>
            </w:tcBorders>
            <w:tcMar>
              <w:top w:w="0" w:type="dxa"/>
              <w:left w:w="62" w:type="dxa"/>
              <w:bottom w:w="0" w:type="dxa"/>
              <w:right w:w="62" w:type="dxa"/>
            </w:tcMar>
          </w:tcPr>
          <w:p w:rsidR="00000000" w:rsidRPr="00FC1D95" w:rsidP="00FC1D95">
            <w:pPr>
              <w:pStyle w:val="BodyText"/>
            </w:pPr>
            <w:r w:rsidRPr="00FC1D95">
              <w:t>Remedial actions may include but are not limited to:</w:t>
            </w:r>
          </w:p>
          <w:p w:rsidR="00000000" w:rsidRPr="00FC1D95" w:rsidP="00FC1D95">
            <w:pPr>
              <w:pStyle w:val="ListBullet"/>
            </w:pPr>
            <w:r w:rsidRPr="00FC1D95">
              <w:t>replacing existing components with new components</w:t>
            </w:r>
          </w:p>
          <w:p w:rsidR="00000000" w:rsidRPr="00FC1D95" w:rsidP="00FC1D95">
            <w:pPr>
              <w:pStyle w:val="ListBullet"/>
            </w:pPr>
            <w:r w:rsidRPr="00FC1D95">
              <w:t>carrying out minor maintenance within operator's skill level</w:t>
            </w:r>
          </w:p>
          <w:p w:rsidR="00000000" w:rsidRPr="00FC1D95" w:rsidP="00FC1D95">
            <w:pPr>
              <w:pStyle w:val="ListBullet"/>
            </w:pPr>
            <w:r w:rsidRPr="00FC1D95">
              <w:t>identifying and reporting problems outside operator's competence</w:t>
            </w:r>
          </w:p>
          <w:p w:rsidR="00000000" w:rsidP="00FC1D95">
            <w:pPr>
              <w:pStyle w:val="ListBullet"/>
              <w:rPr>
                <w:lang w:val="en-NZ"/>
              </w:rPr>
            </w:pPr>
            <w:r w:rsidRPr="00FC1D95">
              <w:t>identifying and controlling hazards related to flange joints</w:t>
            </w:r>
          </w:p>
        </w:tc>
      </w:tr>
      <w:tr w:rsidTr="00FC1D9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rPr>
                <w:rStyle w:val="SpecialBold"/>
              </w:rPr>
              <w:t>Health, safety and environment (HSE)</w:t>
            </w:r>
          </w:p>
        </w:tc>
        <w:tc>
          <w:tcPr>
            <w:tcW w:w="5398" w:type="dxa"/>
            <w:tcBorders>
              <w:top w:val="nil"/>
              <w:left w:val="nil"/>
              <w:bottom w:val="nil"/>
              <w:right w:val="nil"/>
            </w:tcBorders>
            <w:tcMar>
              <w:top w:w="0" w:type="dxa"/>
              <w:left w:w="62" w:type="dxa"/>
              <w:bottom w:w="0" w:type="dxa"/>
              <w:right w:w="62" w:type="dxa"/>
            </w:tcMar>
          </w:tcPr>
          <w:p w:rsidR="00000000" w:rsidRPr="00FC1D95" w:rsidP="00FC1D95">
            <w:pPr>
              <w:pStyle w:val="BodyText"/>
            </w:pPr>
            <w:r w:rsidRPr="00FC1D95">
              <w:t>All operations to which this unit applies are subject to stringent HSE requirements, which may be imposed through state/territory or federal legislation, an</w:t>
            </w:r>
            <w:r w:rsidRPr="00FC1D95">
              <w:t xml:space="preserve">d these </w:t>
            </w:r>
            <w:r w:rsidRPr="00FC1D95">
              <w:t>must not be compromised at any time. Where there is an apparent conflict between Performance Criteria and HSE requirements, the HSE requirements take precedence.</w:t>
            </w:r>
          </w:p>
        </w:tc>
      </w:tr>
    </w:tbl>
    <w:p w:rsidR="00000000" w:rsidRPr="00FC1D95" w:rsidP="00FC1D95">
      <w:pPr>
        <w:pStyle w:val="BodyText"/>
      </w:pPr>
    </w:p>
    <w:p w:rsidR="00000000" w:rsidRPr="00FC1D95" w:rsidP="00FC1D95">
      <w:pPr>
        <w:pStyle w:val="AllowPageBreak"/>
      </w:pPr>
    </w:p>
    <w:p w:rsidR="00000000" w:rsidRPr="00FC1D95" w:rsidP="00FC1D95">
      <w:pPr>
        <w:pStyle w:val="Heading1"/>
      </w:pPr>
      <w:bookmarkStart w:id="12" w:name="O_637374"/>
      <w:bookmarkEnd w:id="12"/>
      <w:r w:rsidRPr="00FC1D95">
        <w:t>Unit Sector(s)</w:t>
      </w:r>
    </w:p>
    <w:tbl>
      <w:tblPr>
        <w:tblW w:w="0" w:type="auto"/>
        <w:tblCellMar>
          <w:left w:w="62" w:type="dxa"/>
          <w:right w:w="62" w:type="dxa"/>
        </w:tblCellMar>
        <w:tblLook w:val="0000"/>
      </w:tblPr>
      <w:tblGrid>
        <w:gridCol w:w="2576"/>
        <w:gridCol w:w="6620"/>
      </w:tblGrid>
      <w:tr w:rsidTr="000941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FC1D95">
            <w:pPr>
              <w:pStyle w:val="BodyText"/>
              <w:rPr>
                <w:lang w:val="en-NZ"/>
              </w:rPr>
            </w:pPr>
          </w:p>
        </w:tc>
      </w:tr>
      <w:tr w:rsidTr="000941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1D95">
            <w:pPr>
              <w:pStyle w:val="BodyText"/>
              <w:rPr>
                <w:lang w:val="en-NZ"/>
              </w:rPr>
            </w:pPr>
            <w:r w:rsidRPr="00FC1D95">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FC1D95" w:rsidP="00FC1D95">
            <w:pPr>
              <w:pStyle w:val="BodyText"/>
            </w:pPr>
            <w:r w:rsidRPr="00FC1D95">
              <w:t>Support</w:t>
            </w:r>
          </w:p>
        </w:tc>
      </w:tr>
    </w:tbl>
    <w:p w:rsidR="00000000" w:rsidRPr="00FC1D95" w:rsidP="00FC1D95">
      <w:pPr>
        <w:pStyle w:val="BodyText"/>
      </w:pPr>
    </w:p>
    <w:p w:rsidR="00000000" w:rsidRPr="00FC1D95" w:rsidP="00FC1D95">
      <w:pPr>
        <w:pStyle w:val="AllowPageBreak"/>
      </w:pPr>
    </w:p>
    <w:p w:rsidR="00000000" w:rsidRPr="00FC1D95" w:rsidP="00FC1D95">
      <w:pPr>
        <w:pStyle w:val="Heading1"/>
      </w:pPr>
      <w:bookmarkStart w:id="13" w:name="O_637375"/>
      <w:bookmarkEnd w:id="13"/>
      <w:r w:rsidRPr="00FC1D95">
        <w:t>Custom Content Section</w:t>
      </w:r>
    </w:p>
    <w:p w:rsidR="00000000" w:rsidRPr="00FC1D95" w:rsidP="00FC1D95">
      <w:pPr>
        <w:pStyle w:val="BodyText"/>
      </w:pPr>
      <w:r w:rsidRPr="00FC1D95">
        <w:t>Not applicable.</w:t>
      </w:r>
    </w:p>
    <w:p w:rsidR="00000000" w:rsidRPr="00FC1D95" w:rsidP="00FC1D95"/>
    <w:sectPr w:rsidSect="00FC1D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D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D95" w:rsidRPr="00094153" w:rsidP="000941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D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153" w:rsidP="00FC1D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94153" w:rsidP="00FC1D9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94153" w:rsidP="00FC1D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D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D95" w:rsidRPr="00094153" w:rsidP="000941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D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153" w:rsidRPr="002D2AF8" w:rsidP="00FC1D95">
    <w:pPr>
      <w:pStyle w:val="Header"/>
      <w:framePr w:wrap="around"/>
    </w:pPr>
    <w:r>
      <w:fldChar w:fldCharType="begin"/>
    </w:r>
    <w:r>
      <w:instrText xml:space="preserve"> TITLE   \* MERGEFORMAT </w:instrText>
    </w:r>
    <w:r>
      <w:fldChar w:fldCharType="separate"/>
    </w:r>
    <w:r>
      <w:t>PMASUP245A Break and make flanged joints using hand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094153" w:rsidP="00FC1D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DC4F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EA04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D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1D95"/>
    <w:pPr>
      <w:spacing w:before="360" w:after="60"/>
      <w:outlineLvl w:val="0"/>
    </w:pPr>
    <w:rPr>
      <w:sz w:val="32"/>
    </w:rPr>
  </w:style>
  <w:style w:type="paragraph" w:styleId="Heading2">
    <w:name w:val="heading 2"/>
    <w:basedOn w:val="HeadingBase"/>
    <w:next w:val="BodyText"/>
    <w:link w:val="Heading2Char"/>
    <w:qFormat/>
    <w:rsid w:val="00FC1D95"/>
    <w:pPr>
      <w:keepLines/>
      <w:spacing w:before="240" w:after="120"/>
      <w:outlineLvl w:val="1"/>
    </w:pPr>
    <w:rPr>
      <w:sz w:val="28"/>
      <w:szCs w:val="40"/>
    </w:rPr>
  </w:style>
  <w:style w:type="paragraph" w:styleId="Heading3">
    <w:name w:val="heading 3"/>
    <w:basedOn w:val="HeadingBase"/>
    <w:next w:val="BodyText"/>
    <w:link w:val="Heading3Char"/>
    <w:qFormat/>
    <w:rsid w:val="00FC1D95"/>
    <w:pPr>
      <w:spacing w:before="180" w:after="120"/>
      <w:outlineLvl w:val="2"/>
    </w:pPr>
    <w:rPr>
      <w:spacing w:val="-10"/>
      <w:kern w:val="32"/>
    </w:rPr>
  </w:style>
  <w:style w:type="paragraph" w:styleId="Heading4">
    <w:name w:val="heading 4"/>
    <w:basedOn w:val="HeadingBase"/>
    <w:next w:val="BodyText"/>
    <w:link w:val="Heading4Char"/>
    <w:qFormat/>
    <w:rsid w:val="00FC1D95"/>
    <w:pPr>
      <w:spacing w:before="160" w:after="120"/>
      <w:outlineLvl w:val="3"/>
    </w:pPr>
    <w:rPr>
      <w:sz w:val="22"/>
    </w:rPr>
  </w:style>
  <w:style w:type="paragraph" w:styleId="Heading5">
    <w:name w:val="heading 5"/>
    <w:basedOn w:val="HeadingBase"/>
    <w:next w:val="Normal"/>
    <w:link w:val="Heading5Char"/>
    <w:qFormat/>
    <w:rsid w:val="00FC1D95"/>
    <w:pPr>
      <w:spacing w:before="80"/>
      <w:outlineLvl w:val="4"/>
    </w:pPr>
    <w:rPr>
      <w:color w:val="918585"/>
      <w:sz w:val="20"/>
    </w:rPr>
  </w:style>
  <w:style w:type="paragraph" w:styleId="Heading6">
    <w:name w:val="heading 6"/>
    <w:basedOn w:val="HeadingBase"/>
    <w:next w:val="Normal"/>
    <w:link w:val="Heading6Char"/>
    <w:qFormat/>
    <w:rsid w:val="00FC1D95"/>
    <w:pPr>
      <w:spacing w:before="60"/>
      <w:outlineLvl w:val="5"/>
    </w:pPr>
    <w:rPr>
      <w:color w:val="918585"/>
      <w:sz w:val="20"/>
    </w:rPr>
  </w:style>
  <w:style w:type="paragraph" w:styleId="Heading7">
    <w:name w:val="heading 7"/>
    <w:basedOn w:val="Normal"/>
    <w:next w:val="Normal"/>
    <w:link w:val="Heading7Char"/>
    <w:qFormat/>
    <w:rsid w:val="00FC1D95"/>
    <w:pPr>
      <w:ind w:left="720"/>
      <w:outlineLvl w:val="6"/>
    </w:pPr>
    <w:rPr>
      <w:i/>
    </w:rPr>
  </w:style>
  <w:style w:type="paragraph" w:styleId="Heading8">
    <w:name w:val="heading 8"/>
    <w:basedOn w:val="Normal"/>
    <w:next w:val="Normal"/>
    <w:link w:val="Heading8Char"/>
    <w:qFormat/>
    <w:rsid w:val="00FC1D95"/>
    <w:pPr>
      <w:ind w:left="720"/>
      <w:outlineLvl w:val="7"/>
    </w:pPr>
    <w:rPr>
      <w:i/>
    </w:rPr>
  </w:style>
  <w:style w:type="paragraph" w:styleId="Heading9">
    <w:name w:val="heading 9"/>
    <w:basedOn w:val="Normal"/>
    <w:next w:val="Normal"/>
    <w:link w:val="Heading9Char"/>
    <w:qFormat/>
    <w:rsid w:val="00FC1D95"/>
    <w:pPr>
      <w:ind w:left="720"/>
      <w:outlineLvl w:val="8"/>
    </w:pPr>
    <w:rPr>
      <w:i/>
    </w:rPr>
  </w:style>
  <w:style w:type="character" w:default="1" w:styleId="DefaultParagraphFont">
    <w:name w:val="Default Paragraph Font"/>
    <w:uiPriority w:val="1"/>
    <w:unhideWhenUsed/>
    <w:rsid w:val="00FC1D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1D95"/>
  </w:style>
  <w:style w:type="character" w:customStyle="1" w:styleId="Heading1Char">
    <w:name w:val="Heading 1 Char"/>
    <w:basedOn w:val="DefaultParagraphFont"/>
    <w:link w:val="Heading1"/>
    <w:rsid w:val="00FC1D95"/>
    <w:rPr>
      <w:rFonts w:ascii="Times New Roman" w:eastAsia="Times New Roman" w:hAnsi="Times New Roman" w:cs="Times New Roman"/>
      <w:b/>
      <w:sz w:val="32"/>
      <w:szCs w:val="20"/>
      <w:lang w:eastAsia="en-US"/>
    </w:rPr>
  </w:style>
  <w:style w:type="paragraph" w:styleId="BodyText">
    <w:name w:val="Body Text"/>
    <w:basedOn w:val="Normal"/>
    <w:link w:val="BodyTextChar"/>
    <w:rsid w:val="00FC1D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1D95"/>
    <w:rPr>
      <w:rFonts w:ascii="Times New Roman" w:eastAsia="Times New Roman" w:hAnsi="Times New Roman" w:cs="Times New Roman"/>
      <w:sz w:val="24"/>
      <w:lang w:eastAsia="en-US"/>
    </w:rPr>
  </w:style>
  <w:style w:type="paragraph" w:styleId="ListBullet">
    <w:name w:val="List Bullet"/>
    <w:basedOn w:val="List"/>
    <w:rsid w:val="00FC1D95"/>
    <w:pPr>
      <w:numPr>
        <w:numId w:val="12"/>
      </w:numPr>
      <w:tabs>
        <w:tab w:val="clear" w:pos="340"/>
      </w:tabs>
      <w:spacing w:before="40" w:after="40"/>
    </w:pPr>
  </w:style>
  <w:style w:type="character" w:customStyle="1" w:styleId="SpecialBold">
    <w:name w:val="Special Bold"/>
    <w:basedOn w:val="DefaultParagraphFont"/>
    <w:rsid w:val="00FC1D95"/>
    <w:rPr>
      <w:b/>
      <w:spacing w:val="0"/>
    </w:rPr>
  </w:style>
  <w:style w:type="paragraph" w:customStyle="1" w:styleId="SuperHeading">
    <w:name w:val="SuperHeading"/>
    <w:basedOn w:val="Normal"/>
    <w:rsid w:val="00FC1D95"/>
    <w:pPr>
      <w:spacing w:before="240" w:after="120"/>
      <w:outlineLvl w:val="0"/>
    </w:pPr>
    <w:rPr>
      <w:rFonts w:ascii="Times New Roman" w:hAnsi="Times New Roman"/>
      <w:b/>
      <w:sz w:val="32"/>
    </w:rPr>
  </w:style>
  <w:style w:type="paragraph" w:customStyle="1" w:styleId="AllowPageBreak">
    <w:name w:val="AllowPageBreak"/>
    <w:rsid w:val="00FC1D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1D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1D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1D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1D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1D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1D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1D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1D95"/>
    <w:rPr>
      <w:rFonts w:ascii="Courier New" w:eastAsia="Times New Roman" w:hAnsi="Courier New" w:cs="Times New Roman"/>
      <w:i/>
      <w:szCs w:val="20"/>
      <w:lang w:eastAsia="en-US"/>
    </w:rPr>
  </w:style>
  <w:style w:type="paragraph" w:customStyle="1" w:styleId="HeadingBase">
    <w:name w:val="Heading Base"/>
    <w:rsid w:val="00FC1D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1D95"/>
    <w:pPr>
      <w:tabs>
        <w:tab w:val="right" w:leader="dot" w:pos="9072"/>
      </w:tabs>
      <w:ind w:left="567"/>
    </w:pPr>
    <w:rPr>
      <w:szCs w:val="22"/>
    </w:rPr>
  </w:style>
  <w:style w:type="paragraph" w:customStyle="1" w:styleId="TOCBase">
    <w:name w:val="TOC Base"/>
    <w:rsid w:val="00FC1D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1D95"/>
    <w:pPr>
      <w:tabs>
        <w:tab w:val="right" w:leader="dot" w:pos="9072"/>
      </w:tabs>
      <w:spacing w:before="40" w:after="40"/>
      <w:ind w:left="284"/>
    </w:pPr>
    <w:rPr>
      <w:rFonts w:ascii="Times New Roman" w:hAnsi="Times New Roman"/>
    </w:rPr>
  </w:style>
  <w:style w:type="paragraph" w:styleId="TOC1">
    <w:name w:val="toc 1"/>
    <w:basedOn w:val="TOCBase"/>
    <w:next w:val="Normal"/>
    <w:rsid w:val="00FC1D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1D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1D95"/>
    <w:rPr>
      <w:rFonts w:ascii="Times New Roman" w:eastAsia="Times New Roman" w:hAnsi="Times New Roman" w:cs="Times New Roman"/>
      <w:sz w:val="16"/>
      <w:lang w:eastAsia="en-US"/>
    </w:rPr>
  </w:style>
  <w:style w:type="paragraph" w:styleId="Title">
    <w:name w:val="Title"/>
    <w:basedOn w:val="HeadingBase"/>
    <w:link w:val="TitleChar"/>
    <w:qFormat/>
    <w:rsid w:val="00FC1D95"/>
    <w:pPr>
      <w:spacing w:before="5040"/>
      <w:jc w:val="center"/>
    </w:pPr>
    <w:rPr>
      <w:sz w:val="48"/>
      <w:szCs w:val="72"/>
      <w:lang w:val="en-US"/>
    </w:rPr>
  </w:style>
  <w:style w:type="character" w:customStyle="1" w:styleId="TitleChar">
    <w:name w:val="Title Char"/>
    <w:basedOn w:val="DefaultParagraphFont"/>
    <w:link w:val="Title"/>
    <w:rsid w:val="00FC1D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1D95"/>
    <w:pPr>
      <w:tabs>
        <w:tab w:val="left" w:pos="3600"/>
        <w:tab w:val="left" w:pos="3958"/>
      </w:tabs>
    </w:pPr>
  </w:style>
  <w:style w:type="paragraph" w:styleId="List">
    <w:name w:val="List"/>
    <w:basedOn w:val="BodyText"/>
    <w:next w:val="BodyText"/>
    <w:rsid w:val="00FC1D95"/>
    <w:pPr>
      <w:tabs>
        <w:tab w:val="left" w:pos="340"/>
      </w:tabs>
      <w:spacing w:before="60" w:after="60"/>
      <w:ind w:left="340" w:hanging="340"/>
    </w:pPr>
  </w:style>
  <w:style w:type="paragraph" w:customStyle="1" w:styleId="Note">
    <w:name w:val="Note"/>
    <w:basedOn w:val="BodyText"/>
    <w:rsid w:val="00FC1D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1D95"/>
    <w:pPr>
      <w:framePr w:wrap="auto" w:hAnchor="text" w:y="6049"/>
    </w:pPr>
    <w:rPr>
      <w:color w:val="000000"/>
      <w:sz w:val="40"/>
    </w:rPr>
  </w:style>
  <w:style w:type="paragraph" w:customStyle="1" w:styleId="TOCTitle">
    <w:name w:val="TOCTitle"/>
    <w:basedOn w:val="Heading1"/>
    <w:rsid w:val="00FC1D95"/>
    <w:pPr>
      <w:spacing w:after="240"/>
      <w:jc w:val="center"/>
      <w:outlineLvl w:val="9"/>
    </w:pPr>
    <w:rPr>
      <w:caps/>
    </w:rPr>
  </w:style>
  <w:style w:type="paragraph" w:customStyle="1" w:styleId="Version">
    <w:name w:val="Version"/>
    <w:rsid w:val="00FC1D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1D95"/>
    <w:pPr>
      <w:numPr>
        <w:numId w:val="13"/>
      </w:numPr>
      <w:tabs>
        <w:tab w:val="clear" w:pos="680"/>
      </w:tabs>
    </w:pPr>
  </w:style>
  <w:style w:type="paragraph" w:styleId="Index1">
    <w:name w:val="index 1"/>
    <w:basedOn w:val="Normal"/>
    <w:next w:val="Normal"/>
    <w:semiHidden/>
    <w:rsid w:val="00FC1D95"/>
    <w:pPr>
      <w:keepNext w:val="0"/>
      <w:tabs>
        <w:tab w:val="right" w:pos="4176"/>
      </w:tabs>
      <w:ind w:left="198" w:hanging="198"/>
    </w:pPr>
    <w:rPr>
      <w:rFonts w:ascii="Garamond" w:hAnsi="Garamond"/>
    </w:rPr>
  </w:style>
  <w:style w:type="paragraph" w:styleId="IndexHeading">
    <w:name w:val="index heading"/>
    <w:basedOn w:val="Normal"/>
    <w:next w:val="Index1"/>
    <w:semiHidden/>
    <w:rsid w:val="00FC1D95"/>
    <w:pPr>
      <w:spacing w:before="120" w:after="120"/>
    </w:pPr>
    <w:rPr>
      <w:rFonts w:ascii="Arial" w:hAnsi="Arial"/>
      <w:b/>
      <w:color w:val="918585"/>
      <w:sz w:val="24"/>
    </w:rPr>
  </w:style>
  <w:style w:type="paragraph" w:styleId="Header">
    <w:name w:val="header"/>
    <w:basedOn w:val="Normal"/>
    <w:link w:val="HeaderChar"/>
    <w:rsid w:val="00FC1D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1D95"/>
    <w:rPr>
      <w:rFonts w:ascii="Times New Roman" w:eastAsia="Times New Roman" w:hAnsi="Times New Roman" w:cs="Times New Roman"/>
      <w:sz w:val="16"/>
      <w:szCs w:val="20"/>
      <w:lang w:val="en-GB" w:eastAsia="en-US"/>
    </w:rPr>
  </w:style>
  <w:style w:type="paragraph" w:customStyle="1" w:styleId="Chapter">
    <w:name w:val="Chapter"/>
    <w:basedOn w:val="Normal"/>
    <w:rsid w:val="00FC1D95"/>
    <w:pPr>
      <w:spacing w:before="240"/>
    </w:pPr>
    <w:rPr>
      <w:rFonts w:ascii="Times New Roman" w:hAnsi="Times New Roman"/>
      <w:smallCaps/>
      <w:spacing w:val="80"/>
      <w:sz w:val="28"/>
    </w:rPr>
  </w:style>
  <w:style w:type="paragraph" w:customStyle="1" w:styleId="InChapter">
    <w:name w:val="InChapter"/>
    <w:basedOn w:val="Heading3"/>
    <w:rsid w:val="00FC1D95"/>
    <w:pPr>
      <w:spacing w:after="240"/>
      <w:outlineLvl w:val="9"/>
    </w:pPr>
    <w:rPr>
      <w:noProof/>
    </w:rPr>
  </w:style>
  <w:style w:type="paragraph" w:styleId="Index2">
    <w:name w:val="index 2"/>
    <w:basedOn w:val="Normal"/>
    <w:next w:val="Normal"/>
    <w:semiHidden/>
    <w:rsid w:val="00FC1D95"/>
    <w:pPr>
      <w:tabs>
        <w:tab w:val="right" w:pos="4176"/>
      </w:tabs>
      <w:ind w:left="568" w:hanging="284"/>
    </w:pPr>
    <w:rPr>
      <w:rFonts w:ascii="Garamond" w:hAnsi="Garamond"/>
    </w:rPr>
  </w:style>
  <w:style w:type="paragraph" w:customStyle="1" w:styleId="Byline">
    <w:name w:val="Byline"/>
    <w:rsid w:val="00FC1D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1D95"/>
    <w:pPr>
      <w:tabs>
        <w:tab w:val="clear" w:pos="3600"/>
        <w:tab w:val="clear" w:pos="3958"/>
      </w:tabs>
      <w:jc w:val="right"/>
    </w:pPr>
  </w:style>
  <w:style w:type="character" w:styleId="Emphasis">
    <w:name w:val="Emphasis"/>
    <w:basedOn w:val="DefaultParagraphFont"/>
    <w:qFormat/>
    <w:rsid w:val="00FC1D95"/>
    <w:rPr>
      <w:i/>
    </w:rPr>
  </w:style>
  <w:style w:type="paragraph" w:styleId="Caption">
    <w:name w:val="caption"/>
    <w:basedOn w:val="BodyText"/>
    <w:next w:val="Normal"/>
    <w:qFormat/>
    <w:rsid w:val="00FC1D95"/>
    <w:pPr>
      <w:framePr w:w="2268" w:hSpace="181" w:vSpace="181" w:wrap="around" w:vAnchor="text" w:hAnchor="page" w:x="1135" w:y="285" w:anchorLock="1"/>
    </w:pPr>
    <w:rPr>
      <w:i/>
    </w:rPr>
  </w:style>
  <w:style w:type="paragraph" w:customStyle="1" w:styleId="MiniTOCTitle">
    <w:name w:val="MiniTOCTitle"/>
    <w:basedOn w:val="Heading4"/>
    <w:rsid w:val="00FC1D95"/>
    <w:pPr>
      <w:spacing w:before="240"/>
      <w:outlineLvl w:val="9"/>
    </w:pPr>
    <w:rPr>
      <w:noProof/>
      <w:sz w:val="24"/>
    </w:rPr>
  </w:style>
  <w:style w:type="paragraph" w:customStyle="1" w:styleId="MiniTOCItem">
    <w:name w:val="MiniTOCItem"/>
    <w:basedOn w:val="ListBullet"/>
    <w:rsid w:val="00FC1D95"/>
    <w:pPr>
      <w:numPr>
        <w:numId w:val="0"/>
      </w:numPr>
      <w:tabs>
        <w:tab w:val="right" w:leader="dot" w:pos="6521"/>
      </w:tabs>
      <w:spacing w:before="0" w:after="0"/>
    </w:pPr>
  </w:style>
  <w:style w:type="paragraph" w:customStyle="1" w:styleId="TOFTitle">
    <w:name w:val="TOFTitle"/>
    <w:basedOn w:val="TOCTitle"/>
    <w:rsid w:val="00FC1D95"/>
  </w:style>
  <w:style w:type="paragraph" w:styleId="TableofFigures">
    <w:name w:val="table of figures"/>
    <w:basedOn w:val="Normal"/>
    <w:next w:val="Normal"/>
    <w:semiHidden/>
    <w:rsid w:val="00FC1D95"/>
    <w:pPr>
      <w:tabs>
        <w:tab w:val="right" w:leader="dot" w:pos="9072"/>
      </w:tabs>
      <w:ind w:left="970" w:hanging="403"/>
    </w:pPr>
    <w:rPr>
      <w:rFonts w:ascii="Times New Roman" w:hAnsi="Times New Roman"/>
      <w:b/>
    </w:rPr>
  </w:style>
  <w:style w:type="paragraph" w:styleId="ListNumber">
    <w:name w:val="List Number"/>
    <w:basedOn w:val="List"/>
    <w:rsid w:val="00FC1D95"/>
    <w:pPr>
      <w:numPr>
        <w:numId w:val="10"/>
      </w:numPr>
    </w:pPr>
  </w:style>
  <w:style w:type="character" w:customStyle="1" w:styleId="WingdingSymbols">
    <w:name w:val="Wingding Symbols"/>
    <w:rsid w:val="00FC1D95"/>
    <w:rPr>
      <w:rFonts w:ascii="Wingdings" w:hAnsi="Wingdings"/>
    </w:rPr>
  </w:style>
  <w:style w:type="paragraph" w:customStyle="1" w:styleId="TableHeading">
    <w:name w:val="Table Heading"/>
    <w:basedOn w:val="HeadingBase"/>
    <w:rsid w:val="00FC1D95"/>
    <w:pPr>
      <w:keepLines/>
      <w:pBdr>
        <w:bottom w:val="single" w:sz="6" w:space="1" w:color="918585"/>
      </w:pBdr>
      <w:spacing w:before="240"/>
    </w:pPr>
  </w:style>
  <w:style w:type="character" w:customStyle="1" w:styleId="HotSpot">
    <w:name w:val="HotSpot"/>
    <w:rsid w:val="00FC1D95"/>
    <w:rPr>
      <w:color w:val="0033CC"/>
      <w:u w:val="none"/>
    </w:rPr>
  </w:style>
  <w:style w:type="paragraph" w:customStyle="1" w:styleId="BodyTextRight">
    <w:name w:val="Body Text Right"/>
    <w:basedOn w:val="BodyText"/>
    <w:rsid w:val="00FC1D95"/>
    <w:pPr>
      <w:spacing w:before="0" w:after="0"/>
      <w:jc w:val="right"/>
    </w:pPr>
  </w:style>
  <w:style w:type="paragraph" w:styleId="Index3">
    <w:name w:val="index 3"/>
    <w:basedOn w:val="ListNumber2"/>
    <w:next w:val="Normal"/>
    <w:semiHidden/>
    <w:rsid w:val="00FC1D95"/>
    <w:pPr>
      <w:numPr>
        <w:numId w:val="0"/>
      </w:numPr>
      <w:tabs>
        <w:tab w:val="right" w:leader="dot" w:pos="4176"/>
      </w:tabs>
    </w:pPr>
  </w:style>
  <w:style w:type="paragraph" w:styleId="ListNumber2">
    <w:name w:val="List Number 2"/>
    <w:basedOn w:val="List2"/>
    <w:rsid w:val="00FC1D95"/>
    <w:pPr>
      <w:numPr>
        <w:numId w:val="9"/>
      </w:numPr>
      <w:tabs>
        <w:tab w:val="clear" w:pos="1060"/>
      </w:tabs>
    </w:pPr>
  </w:style>
  <w:style w:type="paragraph" w:customStyle="1" w:styleId="MarginNote">
    <w:name w:val="Margin Note"/>
    <w:basedOn w:val="BodyText"/>
    <w:rsid w:val="00FC1D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1D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1D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1D95"/>
    <w:rPr>
      <w:sz w:val="32"/>
    </w:rPr>
  </w:style>
  <w:style w:type="paragraph" w:customStyle="1" w:styleId="HeadingProcedure">
    <w:name w:val="Heading Procedure"/>
    <w:basedOn w:val="HeadingBase"/>
    <w:next w:val="Normal"/>
    <w:rsid w:val="00FC1D95"/>
    <w:pPr>
      <w:tabs>
        <w:tab w:val="left" w:pos="0"/>
      </w:tabs>
      <w:spacing w:before="120" w:after="60"/>
    </w:pPr>
    <w:rPr>
      <w:i/>
      <w:color w:val="918585"/>
      <w:sz w:val="22"/>
    </w:rPr>
  </w:style>
  <w:style w:type="paragraph" w:customStyle="1" w:styleId="TableBodyText">
    <w:name w:val="Table Body Text"/>
    <w:basedOn w:val="BodyText"/>
    <w:rsid w:val="00FC1D95"/>
    <w:pPr>
      <w:spacing w:before="60" w:after="60"/>
    </w:pPr>
  </w:style>
  <w:style w:type="paragraph" w:styleId="ListContinue">
    <w:name w:val="List Continue"/>
    <w:basedOn w:val="List"/>
    <w:rsid w:val="00FC1D95"/>
    <w:pPr>
      <w:ind w:firstLine="0"/>
    </w:pPr>
  </w:style>
  <w:style w:type="paragraph" w:customStyle="1" w:styleId="ListNote">
    <w:name w:val="List Note"/>
    <w:basedOn w:val="List"/>
    <w:rsid w:val="00FC1D95"/>
    <w:pPr>
      <w:pBdr>
        <w:top w:val="single" w:sz="6" w:space="2" w:color="918585"/>
        <w:bottom w:val="single" w:sz="6" w:space="2" w:color="918585"/>
      </w:pBdr>
      <w:tabs>
        <w:tab w:val="left" w:pos="1021"/>
      </w:tabs>
      <w:ind w:firstLine="0"/>
    </w:pPr>
  </w:style>
  <w:style w:type="paragraph" w:customStyle="1" w:styleId="Warning">
    <w:name w:val="Warning"/>
    <w:basedOn w:val="BodyText"/>
    <w:rsid w:val="00FC1D95"/>
    <w:pPr>
      <w:shd w:val="clear" w:color="auto" w:fill="D9D9D9"/>
      <w:tabs>
        <w:tab w:val="left" w:pos="992"/>
      </w:tabs>
      <w:ind w:left="119" w:right="119"/>
    </w:pPr>
    <w:rPr>
      <w:sz w:val="20"/>
    </w:rPr>
  </w:style>
  <w:style w:type="paragraph" w:customStyle="1" w:styleId="MarginIcons">
    <w:name w:val="Margin Icons"/>
    <w:basedOn w:val="BodyText"/>
    <w:rsid w:val="00FC1D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1D95"/>
    <w:rPr>
      <w:rFonts w:ascii="Courier New" w:hAnsi="Courier New"/>
    </w:rPr>
  </w:style>
  <w:style w:type="paragraph" w:customStyle="1" w:styleId="NoteBullet">
    <w:name w:val="Note Bullet"/>
    <w:basedOn w:val="Note"/>
    <w:rsid w:val="00FC1D95"/>
    <w:pPr>
      <w:tabs>
        <w:tab w:val="clear" w:pos="680"/>
      </w:tabs>
      <w:spacing w:before="60" w:after="60"/>
    </w:pPr>
  </w:style>
  <w:style w:type="paragraph" w:customStyle="1" w:styleId="SubHeading2">
    <w:name w:val="SubHeading2"/>
    <w:basedOn w:val="HeadingBase"/>
    <w:rsid w:val="00FC1D95"/>
    <w:pPr>
      <w:spacing w:before="240" w:after="60"/>
    </w:pPr>
    <w:rPr>
      <w:sz w:val="20"/>
    </w:rPr>
  </w:style>
  <w:style w:type="paragraph" w:customStyle="1" w:styleId="SubHeading1">
    <w:name w:val="SubHeading1"/>
    <w:basedOn w:val="HeadingBase"/>
    <w:rsid w:val="00FC1D95"/>
    <w:pPr>
      <w:spacing w:before="240" w:after="60"/>
    </w:pPr>
    <w:rPr>
      <w:color w:val="918585"/>
      <w:sz w:val="22"/>
    </w:rPr>
  </w:style>
  <w:style w:type="paragraph" w:customStyle="1" w:styleId="SideHeading">
    <w:name w:val="Side Heading"/>
    <w:basedOn w:val="HeadingBase"/>
    <w:rsid w:val="00FC1D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1D95"/>
    <w:pPr>
      <w:tabs>
        <w:tab w:val="num" w:pos="360"/>
      </w:tabs>
    </w:pPr>
  </w:style>
  <w:style w:type="paragraph" w:styleId="PlainText">
    <w:name w:val="Plain Text"/>
    <w:basedOn w:val="Normal"/>
    <w:link w:val="PlainTextChar"/>
    <w:rsid w:val="00FC1D95"/>
    <w:rPr>
      <w:sz w:val="20"/>
    </w:rPr>
  </w:style>
  <w:style w:type="character" w:customStyle="1" w:styleId="PlainTextChar">
    <w:name w:val="Plain Text Char"/>
    <w:basedOn w:val="DefaultParagraphFont"/>
    <w:link w:val="PlainText"/>
    <w:rsid w:val="00FC1D95"/>
    <w:rPr>
      <w:rFonts w:ascii="Courier New" w:eastAsia="Times New Roman" w:hAnsi="Courier New" w:cs="Times New Roman"/>
      <w:sz w:val="20"/>
      <w:szCs w:val="20"/>
      <w:lang w:eastAsia="en-US"/>
    </w:rPr>
  </w:style>
  <w:style w:type="character" w:customStyle="1" w:styleId="MenuOption">
    <w:name w:val="Menu Option"/>
    <w:basedOn w:val="DefaultParagraphFont"/>
    <w:rsid w:val="00FC1D95"/>
    <w:rPr>
      <w:b/>
      <w:smallCaps/>
    </w:rPr>
  </w:style>
  <w:style w:type="paragraph" w:customStyle="1" w:styleId="TableListNumber">
    <w:name w:val="Table List Number"/>
    <w:basedOn w:val="ListNumber"/>
    <w:rsid w:val="00FC1D95"/>
    <w:pPr>
      <w:numPr>
        <w:numId w:val="0"/>
      </w:numPr>
    </w:pPr>
  </w:style>
  <w:style w:type="paragraph" w:styleId="TOC4">
    <w:name w:val="toc 4"/>
    <w:basedOn w:val="TOCBase"/>
    <w:next w:val="Normal"/>
    <w:semiHidden/>
    <w:rsid w:val="00FC1D95"/>
    <w:pPr>
      <w:tabs>
        <w:tab w:val="right" w:leader="dot" w:pos="9071"/>
      </w:tabs>
      <w:ind w:left="1701"/>
    </w:pPr>
  </w:style>
  <w:style w:type="paragraph" w:customStyle="1" w:styleId="ListAlpha">
    <w:name w:val="List Alpha"/>
    <w:basedOn w:val="List"/>
    <w:rsid w:val="00FC1D95"/>
    <w:pPr>
      <w:numPr>
        <w:numId w:val="8"/>
      </w:numPr>
    </w:pPr>
  </w:style>
  <w:style w:type="paragraph" w:customStyle="1" w:styleId="ListAlpha2">
    <w:name w:val="List Alpha 2"/>
    <w:basedOn w:val="List2"/>
    <w:rsid w:val="00FC1D95"/>
    <w:pPr>
      <w:numPr>
        <w:numId w:val="7"/>
      </w:numPr>
    </w:pPr>
  </w:style>
  <w:style w:type="paragraph" w:styleId="List2">
    <w:name w:val="List 2"/>
    <w:basedOn w:val="BodyText"/>
    <w:rsid w:val="00FC1D95"/>
    <w:pPr>
      <w:tabs>
        <w:tab w:val="left" w:pos="680"/>
      </w:tabs>
      <w:spacing w:before="60" w:after="60"/>
      <w:ind w:left="680" w:hanging="340"/>
    </w:pPr>
  </w:style>
  <w:style w:type="paragraph" w:styleId="List3">
    <w:name w:val="List 3"/>
    <w:basedOn w:val="BodyText"/>
    <w:rsid w:val="00FC1D95"/>
    <w:pPr>
      <w:tabs>
        <w:tab w:val="left" w:pos="1021"/>
      </w:tabs>
      <w:spacing w:before="60" w:after="60"/>
      <w:ind w:left="1020" w:hanging="340"/>
    </w:pPr>
  </w:style>
  <w:style w:type="paragraph" w:styleId="List4">
    <w:name w:val="List 4"/>
    <w:basedOn w:val="BodyText"/>
    <w:rsid w:val="00FC1D95"/>
    <w:pPr>
      <w:tabs>
        <w:tab w:val="left" w:pos="1361"/>
      </w:tabs>
      <w:spacing w:before="60" w:after="60"/>
      <w:ind w:left="1361" w:hanging="340"/>
    </w:pPr>
  </w:style>
  <w:style w:type="paragraph" w:styleId="List5">
    <w:name w:val="List 5"/>
    <w:basedOn w:val="BodyText"/>
    <w:rsid w:val="00FC1D95"/>
    <w:pPr>
      <w:tabs>
        <w:tab w:val="left" w:pos="1701"/>
      </w:tabs>
      <w:spacing w:before="60" w:after="60"/>
      <w:ind w:left="1701" w:hanging="340"/>
    </w:pPr>
  </w:style>
  <w:style w:type="paragraph" w:styleId="ListBullet3">
    <w:name w:val="List Bullet 3"/>
    <w:basedOn w:val="List3"/>
    <w:rsid w:val="00FC1D95"/>
    <w:pPr>
      <w:numPr>
        <w:numId w:val="14"/>
      </w:numPr>
      <w:tabs>
        <w:tab w:val="clear" w:pos="1021"/>
      </w:tabs>
      <w:ind w:left="1037" w:hanging="357"/>
    </w:pPr>
  </w:style>
  <w:style w:type="paragraph" w:styleId="ListBullet4">
    <w:name w:val="List Bullet 4"/>
    <w:basedOn w:val="List4"/>
    <w:rsid w:val="00FC1D95"/>
    <w:pPr>
      <w:numPr>
        <w:numId w:val="2"/>
      </w:numPr>
    </w:pPr>
  </w:style>
  <w:style w:type="paragraph" w:styleId="ListBullet5">
    <w:name w:val="List Bullet 5"/>
    <w:basedOn w:val="List5"/>
    <w:rsid w:val="00FC1D95"/>
    <w:pPr>
      <w:numPr>
        <w:numId w:val="3"/>
      </w:numPr>
    </w:pPr>
  </w:style>
  <w:style w:type="paragraph" w:styleId="ListContinue2">
    <w:name w:val="List Continue 2"/>
    <w:basedOn w:val="List2"/>
    <w:rsid w:val="00FC1D95"/>
    <w:pPr>
      <w:ind w:firstLine="0"/>
    </w:pPr>
  </w:style>
  <w:style w:type="paragraph" w:styleId="ListContinue3">
    <w:name w:val="List Continue 3"/>
    <w:basedOn w:val="List3"/>
    <w:rsid w:val="00FC1D95"/>
    <w:pPr>
      <w:ind w:left="1021" w:firstLine="0"/>
    </w:pPr>
  </w:style>
  <w:style w:type="paragraph" w:styleId="ListContinue4">
    <w:name w:val="List Continue 4"/>
    <w:basedOn w:val="List4"/>
    <w:rsid w:val="00FC1D95"/>
    <w:pPr>
      <w:ind w:firstLine="0"/>
    </w:pPr>
  </w:style>
  <w:style w:type="paragraph" w:styleId="ListContinue5">
    <w:name w:val="List Continue 5"/>
    <w:basedOn w:val="List5"/>
    <w:rsid w:val="00FC1D95"/>
    <w:pPr>
      <w:ind w:firstLine="0"/>
    </w:pPr>
  </w:style>
  <w:style w:type="paragraph" w:styleId="ListNumber3">
    <w:name w:val="List Number 3"/>
    <w:basedOn w:val="List3"/>
    <w:rsid w:val="00FC1D95"/>
    <w:pPr>
      <w:numPr>
        <w:numId w:val="4"/>
      </w:numPr>
    </w:pPr>
  </w:style>
  <w:style w:type="paragraph" w:styleId="ListNumber4">
    <w:name w:val="List Number 4"/>
    <w:basedOn w:val="List4"/>
    <w:rsid w:val="00FC1D95"/>
    <w:pPr>
      <w:numPr>
        <w:numId w:val="5"/>
      </w:numPr>
    </w:pPr>
  </w:style>
  <w:style w:type="paragraph" w:styleId="ListNumber5">
    <w:name w:val="List Number 5"/>
    <w:basedOn w:val="List5"/>
    <w:rsid w:val="00FC1D95"/>
    <w:pPr>
      <w:numPr>
        <w:numId w:val="6"/>
      </w:numPr>
    </w:pPr>
  </w:style>
  <w:style w:type="paragraph" w:styleId="BlockText">
    <w:name w:val="Block Text"/>
    <w:basedOn w:val="Normal"/>
    <w:rsid w:val="00FC1D95"/>
    <w:pPr>
      <w:spacing w:after="120"/>
      <w:ind w:left="1440" w:right="1440"/>
    </w:pPr>
  </w:style>
  <w:style w:type="character" w:customStyle="1" w:styleId="Subscript">
    <w:name w:val="Subscript"/>
    <w:basedOn w:val="DefaultParagraphFont"/>
    <w:rsid w:val="00FC1D95"/>
    <w:rPr>
      <w:sz w:val="16"/>
      <w:vertAlign w:val="subscript"/>
    </w:rPr>
  </w:style>
  <w:style w:type="character" w:customStyle="1" w:styleId="Superscript">
    <w:name w:val="Superscript"/>
    <w:basedOn w:val="DefaultParagraphFont"/>
    <w:rsid w:val="00FC1D95"/>
    <w:rPr>
      <w:sz w:val="16"/>
      <w:vertAlign w:val="superscript"/>
    </w:rPr>
  </w:style>
  <w:style w:type="character" w:customStyle="1" w:styleId="Symbols">
    <w:name w:val="Symbols"/>
    <w:basedOn w:val="DefaultParagraphFont"/>
    <w:rsid w:val="00FC1D95"/>
    <w:rPr>
      <w:rFonts w:ascii="Symbol" w:hAnsi="Symbol"/>
    </w:rPr>
  </w:style>
  <w:style w:type="character" w:customStyle="1" w:styleId="MenuOptions">
    <w:name w:val="Menu Options"/>
    <w:basedOn w:val="DefaultParagraphFont"/>
    <w:rsid w:val="00FC1D95"/>
    <w:rPr>
      <w:rFonts w:ascii="Arial Narrow" w:hAnsi="Arial Narrow"/>
      <w:smallCaps/>
    </w:rPr>
  </w:style>
  <w:style w:type="character" w:customStyle="1" w:styleId="Buttons">
    <w:name w:val="Buttons"/>
    <w:basedOn w:val="DefaultParagraphFont"/>
    <w:rsid w:val="00FC1D95"/>
    <w:rPr>
      <w:b/>
    </w:rPr>
  </w:style>
  <w:style w:type="character" w:customStyle="1" w:styleId="Underlined">
    <w:name w:val="Underlined"/>
    <w:basedOn w:val="DefaultParagraphFont"/>
    <w:rsid w:val="00FC1D95"/>
    <w:rPr>
      <w:u w:val="single"/>
    </w:rPr>
  </w:style>
  <w:style w:type="paragraph" w:customStyle="1" w:styleId="TableBodyTextRight">
    <w:name w:val="Table Body Text Right"/>
    <w:basedOn w:val="TableBodyText"/>
    <w:rsid w:val="00FC1D95"/>
    <w:pPr>
      <w:widowControl w:val="0"/>
      <w:autoSpaceDE w:val="0"/>
      <w:autoSpaceDN w:val="0"/>
      <w:adjustRightInd w:val="0"/>
      <w:jc w:val="right"/>
    </w:pPr>
    <w:rPr>
      <w:rFonts w:cs="Arial"/>
      <w:szCs w:val="18"/>
    </w:rPr>
  </w:style>
  <w:style w:type="paragraph" w:customStyle="1" w:styleId="CopyrightText">
    <w:name w:val="Copyright Text"/>
    <w:basedOn w:val="BodyText"/>
    <w:rsid w:val="00FC1D95"/>
    <w:rPr>
      <w:sz w:val="18"/>
    </w:rPr>
  </w:style>
  <w:style w:type="paragraph" w:customStyle="1" w:styleId="BodySmallRight">
    <w:name w:val="Body Small Right"/>
    <w:basedOn w:val="BodyTextRight"/>
    <w:rsid w:val="00FC1D95"/>
    <w:rPr>
      <w:sz w:val="18"/>
      <w:szCs w:val="18"/>
    </w:rPr>
  </w:style>
  <w:style w:type="paragraph" w:customStyle="1" w:styleId="MarginEdition">
    <w:name w:val="Margin Edition"/>
    <w:basedOn w:val="MarginNote"/>
    <w:rsid w:val="00FC1D95"/>
    <w:pPr>
      <w:spacing w:before="0" w:after="0"/>
    </w:pPr>
    <w:rPr>
      <w:rFonts w:ascii="Times New Roman" w:hAnsi="Times New Roman"/>
      <w:color w:val="999999"/>
    </w:rPr>
  </w:style>
  <w:style w:type="paragraph" w:customStyle="1" w:styleId="Spacer">
    <w:name w:val="Spacer"/>
    <w:basedOn w:val="Normal"/>
    <w:rsid w:val="00FC1D95"/>
    <w:rPr>
      <w:sz w:val="2"/>
      <w:szCs w:val="2"/>
    </w:rPr>
  </w:style>
  <w:style w:type="character" w:customStyle="1" w:styleId="Small">
    <w:name w:val="Small"/>
    <w:basedOn w:val="DefaultParagraphFont"/>
    <w:rsid w:val="00FC1D95"/>
    <w:rPr>
      <w:sz w:val="16"/>
    </w:rPr>
  </w:style>
  <w:style w:type="paragraph" w:customStyle="1" w:styleId="WideTable">
    <w:name w:val="Wide Table"/>
    <w:basedOn w:val="Normal"/>
    <w:rsid w:val="00FC1D95"/>
    <w:pPr>
      <w:ind w:left="-1418"/>
    </w:pPr>
    <w:rPr>
      <w:sz w:val="2"/>
      <w:szCs w:val="2"/>
    </w:rPr>
  </w:style>
  <w:style w:type="character" w:styleId="PageNumber">
    <w:name w:val="page number"/>
    <w:basedOn w:val="DefaultParagraphFont"/>
    <w:rsid w:val="00FC1D95"/>
  </w:style>
  <w:style w:type="paragraph" w:styleId="Quote">
    <w:name w:val="Quote"/>
    <w:basedOn w:val="Heading1"/>
    <w:link w:val="QuoteChar"/>
    <w:qFormat/>
    <w:rsid w:val="00FC1D95"/>
    <w:rPr>
      <w:b w:val="0"/>
      <w:sz w:val="72"/>
      <w:szCs w:val="72"/>
      <w:lang w:val="en-NZ"/>
    </w:rPr>
  </w:style>
  <w:style w:type="character" w:customStyle="1" w:styleId="QuoteChar">
    <w:name w:val="Quote Char"/>
    <w:basedOn w:val="DefaultParagraphFont"/>
    <w:link w:val="Quote"/>
    <w:rsid w:val="00FC1D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1D95"/>
    <w:pPr>
      <w:pageBreakBefore/>
    </w:pPr>
  </w:style>
  <w:style w:type="paragraph" w:customStyle="1" w:styleId="Border">
    <w:name w:val="Border"/>
    <w:basedOn w:val="Normal"/>
    <w:qFormat/>
    <w:rsid w:val="00FC1D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1D95"/>
    <w:rPr>
      <w:b/>
      <w:bCs/>
      <w:i/>
      <w:iCs/>
      <w:color w:val="auto"/>
    </w:rPr>
  </w:style>
  <w:style w:type="paragraph" w:styleId="IntenseQuote">
    <w:name w:val="Intense Quote"/>
    <w:basedOn w:val="Normal"/>
    <w:next w:val="Normal"/>
    <w:link w:val="IntenseQuoteChar"/>
    <w:uiPriority w:val="30"/>
    <w:qFormat/>
    <w:rsid w:val="00FC1D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1D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1D95"/>
    <w:rPr>
      <w:smallCaps/>
      <w:color w:val="auto"/>
      <w:u w:val="single"/>
    </w:rPr>
  </w:style>
  <w:style w:type="character" w:styleId="IntenseReference">
    <w:name w:val="Intense Reference"/>
    <w:basedOn w:val="DefaultParagraphFont"/>
    <w:uiPriority w:val="32"/>
    <w:qFormat/>
    <w:rsid w:val="00FC1D95"/>
    <w:rPr>
      <w:b/>
      <w:bCs/>
      <w:smallCaps/>
      <w:color w:val="auto"/>
      <w:spacing w:val="5"/>
      <w:u w:val="single"/>
    </w:rPr>
  </w:style>
  <w:style w:type="paragraph" w:customStyle="1" w:styleId="2ColumnHeading">
    <w:name w:val="2Column Heading"/>
    <w:basedOn w:val="BodyText"/>
    <w:qFormat/>
    <w:rsid w:val="00FC1D95"/>
    <w:pPr>
      <w:spacing w:after="60"/>
      <w:ind w:left="-2268"/>
    </w:pPr>
    <w:rPr>
      <w:b/>
    </w:rPr>
  </w:style>
  <w:style w:type="paragraph" w:customStyle="1" w:styleId="Heading1TOC">
    <w:name w:val="Heading1 TOC"/>
    <w:basedOn w:val="Normal"/>
    <w:qFormat/>
    <w:rsid w:val="00FC1D95"/>
    <w:pPr>
      <w:spacing w:before="240" w:after="120"/>
    </w:pPr>
    <w:rPr>
      <w:rFonts w:ascii="Times New Roman" w:hAnsi="Times New Roman"/>
      <w:b/>
      <w:sz w:val="32"/>
    </w:rPr>
  </w:style>
  <w:style w:type="paragraph" w:customStyle="1" w:styleId="Heading2TOC">
    <w:name w:val="Heading2 TOC"/>
    <w:basedOn w:val="Normal"/>
    <w:qFormat/>
    <w:rsid w:val="00FC1D95"/>
    <w:pPr>
      <w:spacing w:before="240" w:after="60"/>
    </w:pPr>
    <w:rPr>
      <w:rFonts w:ascii="Times New Roman" w:hAnsi="Times New Roman"/>
      <w:b/>
      <w:sz w:val="28"/>
    </w:rPr>
  </w:style>
  <w:style w:type="character" w:customStyle="1" w:styleId="Underline">
    <w:name w:val="Underline"/>
    <w:basedOn w:val="DefaultParagraphFont"/>
    <w:qFormat/>
    <w:rsid w:val="00FC1D95"/>
    <w:rPr>
      <w:u w:val="single"/>
    </w:rPr>
  </w:style>
  <w:style w:type="character" w:customStyle="1" w:styleId="BoldandItalics">
    <w:name w:val="Bold and Italics"/>
    <w:qFormat/>
    <w:rsid w:val="00FC1D95"/>
    <w:rPr>
      <w:b/>
      <w:i/>
      <w:u w:val="none"/>
    </w:rPr>
  </w:style>
  <w:style w:type="paragraph" w:styleId="BalloonText">
    <w:name w:val="Balloon Text"/>
    <w:basedOn w:val="Normal"/>
    <w:link w:val="BalloonTextChar"/>
    <w:rsid w:val="00FC1D95"/>
    <w:rPr>
      <w:rFonts w:ascii="Tahoma" w:hAnsi="Tahoma" w:cs="Tahoma"/>
      <w:sz w:val="16"/>
      <w:szCs w:val="16"/>
    </w:rPr>
  </w:style>
  <w:style w:type="character" w:customStyle="1" w:styleId="BalloonTextChar">
    <w:name w:val="Balloon Text Char"/>
    <w:basedOn w:val="DefaultParagraphFont"/>
    <w:link w:val="BalloonText"/>
    <w:rsid w:val="00FC1D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1D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1D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1D95"/>
    <w:rPr>
      <w:b/>
      <w:color w:val="660033"/>
      <w:spacing w:val="0"/>
    </w:rPr>
  </w:style>
  <w:style w:type="paragraph" w:customStyle="1" w:styleId="Nameditemlist">
    <w:name w:val="Named item list"/>
    <w:basedOn w:val="BodyText"/>
    <w:qFormat/>
    <w:rsid w:val="00FC1D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1693</Words>
  <Characters>10056</Characters>
  <Application>Microsoft Office Word</Application>
  <DocSecurity>0</DocSecurity>
  <Lines>472</Lines>
  <Paragraphs>283</Paragraphs>
  <ScaleCrop>false</ScaleCrop>
  <Company>Author-it Software Corporation Ltd.</Company>
  <LinksUpToDate>false</LinksUpToDate>
  <CharactersWithSpaces>11588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PMASUP245A Break and make flanged joints using hand tools</dc:title>
  <dc:subject>Approved</dc:subject>
  <dc:creator>Manufacturing Skills Australia</dc:creator>
  <cp:keywords>Release 1</cp:keywords>
  <dc:description>Review Date: 12 April 2008</dc:description>
  <cp:lastModifiedBy>TPCMS</cp:lastModifiedBy>
  <cp:revision>3</cp:revision>
  <dcterms:created xsi:type="dcterms:W3CDTF">2013-12-13T17:56:26Z</dcterms:created>
  <dcterms:modified xsi:type="dcterms:W3CDTF">2013-12-13T04:19:00Z</dcterms:modified>
</cp:coreProperties>
</file>