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A27" w:rsidP="003D2A27">
      <w:pPr>
        <w:pStyle w:val="Title"/>
      </w:pPr>
      <w:r>
        <w:fldChar w:fldCharType="begin"/>
      </w:r>
      <w:r>
        <w:instrText xml:space="preserve"> TITLE   \* MERGEFORMAT </w:instrText>
      </w:r>
      <w:r>
        <w:fldChar w:fldCharType="separate"/>
      </w:r>
      <w:r>
        <w:t>PMASUP244A Prepare and isolate plant</w:t>
      </w:r>
      <w:r>
        <w:fldChar w:fldCharType="end"/>
      </w:r>
    </w:p>
    <w:p w:rsidR="003D2A27" w:rsidP="003D2A27">
      <w:pPr>
        <w:pStyle w:val="Version"/>
        <w:sectPr w:rsidSect="00C462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24B" w:rsidP="00C4624B">
      <w:pPr>
        <w:pStyle w:val="SuperHeading"/>
      </w:pPr>
      <w:r w:rsidRPr="00C4624B">
        <w:t>PMASUP244A Prepare and isolate plant</w:t>
      </w:r>
    </w:p>
    <w:p w:rsidR="00000000" w:rsidRPr="00C4624B" w:rsidP="00C4624B">
      <w:pPr>
        <w:pStyle w:val="Heading1"/>
      </w:pPr>
      <w:bookmarkStart w:id="1" w:name="O_376585"/>
      <w:bookmarkEnd w:id="1"/>
      <w:r w:rsidRPr="00C4624B">
        <w:t>Modification History</w:t>
      </w:r>
    </w:p>
    <w:p w:rsidR="00000000" w:rsidRPr="00C4624B" w:rsidP="00C4624B">
      <w:pPr>
        <w:pStyle w:val="BodyText"/>
      </w:pPr>
      <w:r w:rsidRPr="00C4624B">
        <w:t>New unit</w:t>
      </w:r>
    </w:p>
    <w:p w:rsidR="00000000" w:rsidRPr="00C4624B" w:rsidP="00C4624B">
      <w:pPr>
        <w:pStyle w:val="AllowPageBreak"/>
      </w:pPr>
    </w:p>
    <w:p w:rsidR="00000000" w:rsidRPr="00C4624B" w:rsidP="00C4624B">
      <w:pPr>
        <w:pStyle w:val="Heading1"/>
      </w:pPr>
      <w:bookmarkStart w:id="2" w:name="O_376586"/>
      <w:bookmarkEnd w:id="2"/>
      <w:r w:rsidRPr="00C4624B">
        <w:t>Unit Descriptor</w:t>
      </w:r>
    </w:p>
    <w:p w:rsidR="00000000" w:rsidRPr="00C4624B" w:rsidP="00C4624B">
      <w:pPr>
        <w:pStyle w:val="BodyText"/>
      </w:pPr>
      <w:r w:rsidRPr="00C4624B">
        <w:t>This unit of competency covers the skills and knowledge needed to isolate and prepare plant for subsequent work, typically m</w:t>
      </w:r>
      <w:r w:rsidRPr="00C4624B">
        <w:t>aintenance of some sort. It also includes preparing the plant for return to service.</w:t>
      </w:r>
    </w:p>
    <w:p w:rsidR="00000000" w:rsidRPr="00C4624B" w:rsidP="00C4624B">
      <w:pPr>
        <w:pStyle w:val="AllowPageBreak"/>
      </w:pPr>
    </w:p>
    <w:p w:rsidR="00000000" w:rsidRPr="00C4624B" w:rsidP="00C4624B">
      <w:pPr>
        <w:pStyle w:val="Heading1"/>
      </w:pPr>
      <w:bookmarkStart w:id="3" w:name="O_376587"/>
      <w:bookmarkEnd w:id="3"/>
      <w:r w:rsidRPr="00C4624B">
        <w:t>Application of the Unit</w:t>
      </w:r>
    </w:p>
    <w:p w:rsidR="00000000" w:rsidRPr="00C4624B" w:rsidP="00C4624B">
      <w:pPr>
        <w:pStyle w:val="BodyText"/>
      </w:pPr>
      <w:r w:rsidRPr="00C4624B">
        <w:t>This unit applies to a person who has the responsibility for isolating and preparing plant. This is probably part of their work ro</w:t>
      </w:r>
      <w:r w:rsidRPr="00C4624B">
        <w:t>le, although it could be a full time secondment for a major shutdown. The type of people to whom this unit may apply include (but are not limited to):</w:t>
      </w:r>
    </w:p>
    <w:p w:rsidR="00000000" w:rsidRPr="00C4624B" w:rsidP="00C4624B">
      <w:pPr>
        <w:pStyle w:val="ListBullet"/>
      </w:pPr>
      <w:r w:rsidRPr="00C4624B">
        <w:t>operators, and maintainers</w:t>
      </w:r>
    </w:p>
    <w:p w:rsidR="00000000" w:rsidRPr="00C4624B" w:rsidP="00C4624B">
      <w:pPr>
        <w:pStyle w:val="ListBullet"/>
      </w:pPr>
      <w:r w:rsidRPr="00C4624B">
        <w:t>maintenance personnel.</w:t>
      </w:r>
    </w:p>
    <w:p w:rsidR="00000000" w:rsidRPr="00C4624B" w:rsidP="00C4624B">
      <w:pPr>
        <w:pStyle w:val="BodyText"/>
      </w:pPr>
      <w:r w:rsidRPr="00C4624B">
        <w:t>While this unit is written to apply to an individual they will usually undertake it in liaison with relevant experts and stakeholders.</w:t>
      </w:r>
    </w:p>
    <w:p w:rsidR="00000000" w:rsidRPr="00C4624B" w:rsidP="00C4624B">
      <w:pPr>
        <w:pStyle w:val="BodyText"/>
      </w:pPr>
      <w:r w:rsidRPr="00C4624B">
        <w:t>This unit applies:</w:t>
      </w:r>
    </w:p>
    <w:p w:rsidR="00000000" w:rsidRPr="00C4624B" w:rsidP="00C4624B">
      <w:pPr>
        <w:pStyle w:val="ListBullet"/>
      </w:pPr>
      <w:r w:rsidRPr="00C4624B">
        <w:t>after the isolation and preparation plan has been authorised</w:t>
      </w:r>
    </w:p>
    <w:p w:rsidR="00000000" w:rsidRPr="00C4624B" w:rsidP="00C4624B">
      <w:pPr>
        <w:pStyle w:val="ListBullet"/>
      </w:pPr>
      <w:r w:rsidRPr="00C4624B">
        <w:t>before the work commences.</w:t>
      </w:r>
    </w:p>
    <w:p w:rsidR="00000000" w:rsidRPr="00C4624B" w:rsidP="00C4624B">
      <w:pPr>
        <w:pStyle w:val="BodyText"/>
      </w:pPr>
      <w:r w:rsidRPr="00C4624B">
        <w:t>This unit has</w:t>
      </w:r>
      <w:r w:rsidRPr="00C4624B">
        <w:t xml:space="preserve"> a strong relationship with the relevant ‘permit’ units (e.g. MSAPMPER200B Work in accordance with an issued permit and MSAPMPER300C Issue work permits) and decommissioning/recommissioning units (e.g. PMASUP440B Commission/recommission plant and PMASUP441C</w:t>
      </w:r>
      <w:r w:rsidRPr="00C4624B">
        <w:t xml:space="preserve"> Decommission plant). Where relevant, these units should also be accessed.</w:t>
      </w:r>
    </w:p>
    <w:p w:rsidR="00000000" w:rsidRPr="00C4624B" w:rsidP="00C4624B">
      <w:pPr>
        <w:pStyle w:val="BodyText"/>
      </w:pPr>
      <w:r w:rsidRPr="00C4624B">
        <w:t>This unit requires a detailed knowledge of the plant to be prepared and isolated, such as might be obtained from the relevant technical units covering this plant. Hands-on operating</w:t>
      </w:r>
      <w:r w:rsidRPr="00C4624B">
        <w:t xml:space="preserve"> competency, however, is not necessarily required.</w:t>
      </w:r>
    </w:p>
    <w:p w:rsidR="00000000" w:rsidRPr="00C4624B" w:rsidP="00C4624B">
      <w:pPr>
        <w:pStyle w:val="BodyText"/>
      </w:pPr>
      <w:r w:rsidRPr="00C4624B">
        <w:t>This unit does not include the planning for the isolation and preparation of plant - see PMASUP444A Plan plant preparation and isolation.</w:t>
      </w:r>
    </w:p>
    <w:p w:rsidR="00000000" w:rsidRPr="00C4624B" w:rsidP="00C4624B">
      <w:pPr>
        <w:pStyle w:val="BodyText"/>
      </w:pPr>
      <w:r w:rsidRPr="00C4624B">
        <w:t>This unit has been written with the preparation and isolation of ha</w:t>
      </w:r>
      <w:r w:rsidRPr="00C4624B">
        <w:t>zardous plant, such as a major hazard facility in mind. However, it should also be applicable to the preparation and isolation of lower hazard plants and mobile plant with appropriate contextualisation.</w:t>
      </w:r>
    </w:p>
    <w:p w:rsidR="00000000" w:rsidRPr="00C4624B" w:rsidP="00C4624B">
      <w:pPr>
        <w:pStyle w:val="BodyText"/>
      </w:pPr>
      <w:r w:rsidRPr="00C4624B">
        <w:t>Much of this unit is iterative and the text below sho</w:t>
      </w:r>
      <w:r w:rsidRPr="00C4624B">
        <w:t>uld not be taken as specifying necessary sequence.</w:t>
      </w:r>
    </w:p>
    <w:p w:rsidR="00000000" w:rsidRPr="00C4624B" w:rsidP="00C4624B">
      <w:pPr>
        <w:pStyle w:val="AllowPageBreak"/>
      </w:pPr>
    </w:p>
    <w:p w:rsidR="00000000" w:rsidRPr="00C4624B" w:rsidP="00C4624B">
      <w:pPr>
        <w:pStyle w:val="Heading1"/>
      </w:pPr>
      <w:bookmarkStart w:id="4" w:name="O_376588"/>
      <w:bookmarkEnd w:id="4"/>
      <w:r w:rsidRPr="00C4624B">
        <w:t>Licensing/Regulatory Information</w:t>
      </w:r>
    </w:p>
    <w:p w:rsidR="00000000" w:rsidRPr="00C4624B" w:rsidP="00C4624B">
      <w:pPr>
        <w:pStyle w:val="BodyText"/>
      </w:pPr>
      <w:r w:rsidRPr="00C4624B">
        <w:t>Not applicable.</w:t>
      </w:r>
    </w:p>
    <w:p w:rsidR="00000000" w:rsidRPr="00C4624B" w:rsidP="00C4624B">
      <w:pPr>
        <w:pStyle w:val="AllowPageBreak"/>
      </w:pPr>
    </w:p>
    <w:p w:rsidR="00000000" w:rsidRPr="00C4624B" w:rsidP="00C4624B">
      <w:pPr>
        <w:pStyle w:val="Heading1"/>
      </w:pPr>
      <w:bookmarkStart w:id="5" w:name="O_376589"/>
      <w:bookmarkEnd w:id="5"/>
      <w:r w:rsidRPr="00C4624B">
        <w:t>Pre-Requisites</w:t>
      </w:r>
    </w:p>
    <w:p w:rsidR="00000000" w:rsidRPr="00C4624B" w:rsidP="00C4624B">
      <w:pPr>
        <w:pStyle w:val="BodyText"/>
      </w:pPr>
      <w:r w:rsidRPr="00C4624B">
        <w:t>Not applicable.</w:t>
      </w:r>
    </w:p>
    <w:p w:rsidR="00000000" w:rsidRPr="00C4624B" w:rsidP="00C4624B">
      <w:pPr>
        <w:pStyle w:val="AllowPageBreak"/>
      </w:pPr>
    </w:p>
    <w:p w:rsidR="00000000" w:rsidRPr="00C4624B" w:rsidP="00C4624B">
      <w:pPr>
        <w:pStyle w:val="Heading1"/>
      </w:pPr>
      <w:bookmarkStart w:id="6" w:name="O_376590"/>
      <w:bookmarkEnd w:id="6"/>
      <w:r w:rsidRPr="00C4624B">
        <w:t>Employability Skills Information</w:t>
      </w:r>
    </w:p>
    <w:p w:rsidR="00000000" w:rsidRPr="00C4624B" w:rsidP="00C4624B">
      <w:pPr>
        <w:pStyle w:val="BodyText"/>
      </w:pPr>
      <w:r w:rsidRPr="00C4624B">
        <w:t>This unit contains employability skills</w:t>
      </w:r>
    </w:p>
    <w:p w:rsidR="00000000" w:rsidRPr="00C4624B" w:rsidP="00C4624B">
      <w:pPr>
        <w:pStyle w:val="AllowPageBreak"/>
      </w:pPr>
    </w:p>
    <w:p w:rsidR="00000000" w:rsidRPr="00C4624B" w:rsidP="00C4624B">
      <w:pPr>
        <w:pStyle w:val="Heading1"/>
      </w:pPr>
      <w:bookmarkStart w:id="7" w:name="O_376591"/>
      <w:bookmarkEnd w:id="7"/>
      <w:r w:rsidRPr="00C4624B">
        <w:t>Elements and Performance Criteria Pre-Content</w:t>
      </w:r>
    </w:p>
    <w:tbl>
      <w:tblPr>
        <w:tblW w:w="0" w:type="auto"/>
        <w:tblLayout w:type="fixed"/>
        <w:tblCellMar>
          <w:left w:w="62" w:type="dxa"/>
          <w:right w:w="62" w:type="dxa"/>
        </w:tblCellMar>
        <w:tblLook w:val="0000"/>
      </w:tblPr>
      <w:tblGrid>
        <w:gridCol w:w="2640"/>
        <w:gridCol w:w="6380"/>
      </w:tblGrid>
      <w:tr w:rsidTr="00C4624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4624B" w:rsidP="00C4624B">
            <w:pPr>
              <w:pStyle w:val="BodyText"/>
            </w:pPr>
            <w:r w:rsidRPr="00C4624B">
              <w:t>Performance criteria describe the performance needed to demonstrate achievement of the element. Where bold italicised text is used, further information is detailed in the required skills and knowledge section and the range statement. Assessment of performa</w:t>
            </w:r>
            <w:r w:rsidRPr="00C4624B">
              <w:t>nce is to be consistent with the evidence guide.</w:t>
            </w:r>
          </w:p>
        </w:tc>
      </w:tr>
    </w:tbl>
    <w:p w:rsidR="00000000" w:rsidRPr="00C4624B" w:rsidP="00C4624B">
      <w:pPr>
        <w:pStyle w:val="BodyText"/>
      </w:pPr>
    </w:p>
    <w:p w:rsidR="00000000" w:rsidRPr="00C4624B" w:rsidP="00C4624B">
      <w:pPr>
        <w:pStyle w:val="AllowPageBreak"/>
      </w:pPr>
    </w:p>
    <w:p w:rsidR="00000000" w:rsidRPr="00C4624B" w:rsidP="00C4624B">
      <w:pPr>
        <w:pStyle w:val="Heading1"/>
      </w:pPr>
      <w:bookmarkStart w:id="8" w:name="O_376592"/>
      <w:bookmarkEnd w:id="8"/>
      <w:r w:rsidRPr="00C462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1</w:t>
            </w:r>
          </w:p>
        </w:tc>
        <w:tc>
          <w:tcPr>
            <w:tcW w:w="1962" w:type="dxa"/>
            <w:vMerge w:val="restart"/>
            <w:tcBorders>
              <w:top w:val="nil"/>
              <w:left w:val="nil"/>
              <w:bottom w:val="nil"/>
              <w:right w:val="nil"/>
            </w:tcBorders>
            <w:tcMar>
              <w:top w:w="0" w:type="dxa"/>
              <w:left w:w="62" w:type="dxa"/>
              <w:bottom w:w="0" w:type="dxa"/>
              <w:right w:w="62" w:type="dxa"/>
            </w:tcMar>
          </w:tcPr>
          <w:p w:rsidR="00000000" w:rsidRPr="00C4624B" w:rsidP="00C4624B">
            <w:pPr>
              <w:pStyle w:val="BodyText"/>
            </w:pPr>
            <w:r w:rsidRPr="00C4624B">
              <w:t>Perform the isolations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1.1</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Communicate with panel operator and other stakeholders</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1.2</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Execute authorised isolation plan</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1.3</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Remove materials and energy, as required</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1.4</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Control any releases to the environment in accordance with plant procedures</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1.5</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Prove the effectiveness of the isolation</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1.6</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Decontaminate plant and equipment, as required</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1.7</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Recognise and take appropriate action on any inconsistencies</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1.8</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Test for residual hazards</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1.9</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Complete required paperwork</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1.10</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Sign off isolations, as required</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1.11</w:t>
            </w:r>
          </w:p>
        </w:tc>
        <w:tc>
          <w:tcPr>
            <w:tcW w:w="5610" w:type="dxa"/>
            <w:tcBorders>
              <w:top w:val="nil"/>
              <w:left w:val="nil"/>
              <w:bottom w:val="nil"/>
              <w:right w:val="nil"/>
            </w:tcBorders>
            <w:tcMar>
              <w:top w:w="0" w:type="dxa"/>
              <w:left w:w="62" w:type="dxa"/>
              <w:bottom w:w="0" w:type="dxa"/>
              <w:right w:w="62" w:type="dxa"/>
            </w:tcMar>
          </w:tcPr>
          <w:p w:rsidR="00000000" w:rsidRPr="00C4624B" w:rsidP="00C4624B">
            <w:pPr>
              <w:pStyle w:val="BodyText"/>
            </w:pPr>
            <w:r w:rsidRPr="00C4624B">
              <w:t>Hand over to/from shift, as required</w:t>
            </w:r>
          </w:p>
        </w:tc>
      </w:tr>
    </w:tbl>
    <w:p w:rsidR="00000000" w:rsidRPr="00C4624B" w:rsidP="00C4624B">
      <w:pPr>
        <w:pStyle w:val="BodyText"/>
      </w:pPr>
    </w:p>
    <w:tbl>
      <w:tblPr>
        <w:tblW w:w="0" w:type="auto"/>
        <w:tblLayout w:type="fixed"/>
        <w:tblCellMar>
          <w:left w:w="62" w:type="dxa"/>
          <w:right w:w="62" w:type="dxa"/>
        </w:tblCellMar>
        <w:tblLook w:val="0000"/>
      </w:tblPr>
      <w:tblGrid>
        <w:gridCol w:w="678"/>
        <w:gridCol w:w="1962"/>
        <w:gridCol w:w="770"/>
        <w:gridCol w:w="5610"/>
      </w:tblGrid>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2</w:t>
            </w:r>
          </w:p>
        </w:tc>
        <w:tc>
          <w:tcPr>
            <w:tcW w:w="1962" w:type="dxa"/>
            <w:vMerge w:val="restart"/>
            <w:tcBorders>
              <w:top w:val="nil"/>
              <w:left w:val="nil"/>
              <w:bottom w:val="nil"/>
              <w:right w:val="nil"/>
            </w:tcBorders>
            <w:tcMar>
              <w:top w:w="0" w:type="dxa"/>
              <w:left w:w="62" w:type="dxa"/>
              <w:bottom w:w="0" w:type="dxa"/>
              <w:right w:w="62" w:type="dxa"/>
            </w:tcMar>
          </w:tcPr>
          <w:p w:rsidR="00000000" w:rsidRPr="00C4624B" w:rsidP="00C4624B">
            <w:pPr>
              <w:pStyle w:val="BodyText"/>
            </w:pPr>
            <w:r w:rsidRPr="00C4624B">
              <w:t>Prepare plant for the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2.1</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Execute authorised preparation plan</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2.2</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Recognise and take appropriate action on any inconsistencies</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2.3</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Confirm plant is ready for the work</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2.4</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Hand over plant to the work party</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2.5</w:t>
            </w:r>
          </w:p>
        </w:tc>
        <w:tc>
          <w:tcPr>
            <w:tcW w:w="5610" w:type="dxa"/>
            <w:tcBorders>
              <w:top w:val="nil"/>
              <w:left w:val="nil"/>
              <w:bottom w:val="nil"/>
              <w:right w:val="nil"/>
            </w:tcBorders>
            <w:tcMar>
              <w:top w:w="0" w:type="dxa"/>
              <w:left w:w="62" w:type="dxa"/>
              <w:bottom w:w="0" w:type="dxa"/>
              <w:right w:w="62" w:type="dxa"/>
            </w:tcMar>
          </w:tcPr>
          <w:p w:rsidR="00000000" w:rsidRPr="00C4624B" w:rsidP="00C4624B">
            <w:pPr>
              <w:pStyle w:val="BodyText"/>
            </w:pPr>
            <w:r w:rsidRPr="00C4624B">
              <w:t>Monitor work and plant, as required</w:t>
            </w:r>
          </w:p>
        </w:tc>
      </w:tr>
    </w:tbl>
    <w:p w:rsidR="00000000" w:rsidRPr="00C4624B" w:rsidP="00C4624B">
      <w:pPr>
        <w:pStyle w:val="BodyText"/>
      </w:pPr>
    </w:p>
    <w:tbl>
      <w:tblPr>
        <w:tblW w:w="0" w:type="auto"/>
        <w:tblLayout w:type="fixed"/>
        <w:tblCellMar>
          <w:left w:w="62" w:type="dxa"/>
          <w:right w:w="62" w:type="dxa"/>
        </w:tblCellMar>
        <w:tblLook w:val="0000"/>
      </w:tblPr>
      <w:tblGrid>
        <w:gridCol w:w="678"/>
        <w:gridCol w:w="1962"/>
        <w:gridCol w:w="770"/>
        <w:gridCol w:w="5610"/>
      </w:tblGrid>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3</w:t>
            </w:r>
          </w:p>
        </w:tc>
        <w:tc>
          <w:tcPr>
            <w:tcW w:w="1962" w:type="dxa"/>
            <w:vMerge w:val="restart"/>
            <w:tcBorders>
              <w:top w:val="nil"/>
              <w:left w:val="nil"/>
              <w:bottom w:val="nil"/>
              <w:right w:val="nil"/>
            </w:tcBorders>
            <w:tcMar>
              <w:top w:w="0" w:type="dxa"/>
              <w:left w:w="62" w:type="dxa"/>
              <w:bottom w:w="0" w:type="dxa"/>
              <w:right w:w="62" w:type="dxa"/>
            </w:tcMar>
          </w:tcPr>
          <w:p w:rsidR="00000000" w:rsidRPr="00C4624B" w:rsidP="00C4624B">
            <w:pPr>
              <w:pStyle w:val="BodyText"/>
            </w:pPr>
            <w:r w:rsidRPr="00C4624B">
              <w:t>Prepare plant for return to service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3.1</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Confirm work is complete and site/plant has been left in acceptable condition</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3.2</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Accept handover from work party</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3.3</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Obtain authority to deisolate</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3.4</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Execute authorised deisolation plan</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3.5</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Sign off the deisolation, as required</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3.6</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Reverse purge as required by plan for return to service</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3.7</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Execute authorised plan for return to service</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3.8</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Test as required</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3.9</w:t>
            </w:r>
          </w:p>
        </w:tc>
        <w:tc>
          <w:tcPr>
            <w:tcW w:w="561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Advise plant is ready for service</w:t>
            </w:r>
          </w:p>
        </w:tc>
      </w:tr>
      <w:tr w:rsidTr="00C462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24B">
            <w:pPr>
              <w:pStyle w:val="BodyText"/>
              <w:rPr>
                <w:lang w:val="en-NZ"/>
              </w:rPr>
            </w:pPr>
            <w:r w:rsidRPr="00C4624B">
              <w:t>3.10</w:t>
            </w:r>
          </w:p>
        </w:tc>
        <w:tc>
          <w:tcPr>
            <w:tcW w:w="5610" w:type="dxa"/>
            <w:tcBorders>
              <w:top w:val="nil"/>
              <w:left w:val="nil"/>
              <w:bottom w:val="nil"/>
              <w:right w:val="nil"/>
            </w:tcBorders>
            <w:tcMar>
              <w:top w:w="0" w:type="dxa"/>
              <w:left w:w="62" w:type="dxa"/>
              <w:bottom w:w="0" w:type="dxa"/>
              <w:right w:w="62" w:type="dxa"/>
            </w:tcMar>
          </w:tcPr>
          <w:p w:rsidR="00000000" w:rsidRPr="00C4624B" w:rsidP="00C4624B">
            <w:pPr>
              <w:pStyle w:val="BodyText"/>
            </w:pPr>
            <w:r w:rsidRPr="00C4624B">
              <w:t>Complete required paperwork</w:t>
            </w:r>
          </w:p>
        </w:tc>
      </w:tr>
    </w:tbl>
    <w:p w:rsidR="003D2A27" w:rsidP="00C4624B">
      <w:pPr>
        <w:pStyle w:val="BodyText"/>
      </w:pPr>
    </w:p>
    <w:p w:rsidR="003D2A27" w:rsidP="00C4624B">
      <w:pPr>
        <w:pStyle w:val="BodyText"/>
      </w:pPr>
    </w:p>
    <w:p w:rsidR="00000000" w:rsidRPr="00C4624B" w:rsidP="00C4624B">
      <w:pPr>
        <w:pStyle w:val="Heading1"/>
      </w:pPr>
      <w:bookmarkStart w:id="9" w:name="O_376593"/>
      <w:bookmarkEnd w:id="9"/>
      <w:r w:rsidRPr="00C4624B">
        <w:t>Required Skills and Knowledge</w:t>
      </w:r>
    </w:p>
    <w:p w:rsidR="00000000" w:rsidRPr="00C4624B" w:rsidP="00C4624B">
      <w:pPr>
        <w:pStyle w:val="BodyText"/>
      </w:pPr>
      <w:r w:rsidRPr="00C4624B">
        <w:rPr>
          <w:rStyle w:val="SpecialBold"/>
        </w:rPr>
        <w:t>Required skills include:</w:t>
      </w:r>
    </w:p>
    <w:p w:rsidR="00000000" w:rsidRPr="00C4624B" w:rsidP="00C4624B">
      <w:pPr>
        <w:pStyle w:val="BodyText"/>
      </w:pPr>
      <w:r w:rsidRPr="00C4624B">
        <w:t>Ability to:</w:t>
      </w:r>
    </w:p>
    <w:p w:rsidR="00000000" w:rsidRPr="00C4624B" w:rsidP="00C4624B">
      <w:pPr>
        <w:pStyle w:val="ListBullet"/>
      </w:pPr>
      <w:r w:rsidRPr="00C4624B">
        <w:t>read and interpret technical documentation and drawings/graphics</w:t>
      </w:r>
    </w:p>
    <w:p w:rsidR="00000000" w:rsidRPr="00C4624B" w:rsidP="00C4624B">
      <w:pPr>
        <w:pStyle w:val="ListBullet"/>
      </w:pPr>
      <w:r w:rsidRPr="00C4624B">
        <w:t>inerpret material safety data sheets (MSDS)</w:t>
      </w:r>
    </w:p>
    <w:p w:rsidR="00000000" w:rsidRPr="00C4624B" w:rsidP="00C4624B">
      <w:pPr>
        <w:pStyle w:val="ListBullet"/>
      </w:pPr>
      <w:r w:rsidRPr="00C4624B">
        <w:t>interpret test results (e.g. for atmosphere/gas testing and leak testing)</w:t>
      </w:r>
    </w:p>
    <w:p w:rsidR="00000000" w:rsidRPr="00C4624B" w:rsidP="00C4624B">
      <w:pPr>
        <w:pStyle w:val="BodyText"/>
      </w:pPr>
      <w:r w:rsidRPr="00C4624B">
        <w:rPr>
          <w:rStyle w:val="SpecialBold"/>
        </w:rPr>
        <w:t>Required knowledge includes:</w:t>
      </w:r>
    </w:p>
    <w:p w:rsidR="00000000" w:rsidRPr="00C4624B" w:rsidP="00C4624B">
      <w:pPr>
        <w:pStyle w:val="BodyText"/>
      </w:pPr>
      <w:r w:rsidRPr="00C4624B">
        <w:t>Knowledge of:</w:t>
      </w:r>
    </w:p>
    <w:p w:rsidR="00000000" w:rsidRPr="00C4624B" w:rsidP="00C4624B">
      <w:pPr>
        <w:pStyle w:val="ListBullet"/>
      </w:pPr>
      <w:r w:rsidRPr="00C4624B">
        <w:t>work control system for site and organisation</w:t>
      </w:r>
    </w:p>
    <w:p w:rsidR="00000000" w:rsidRPr="00C4624B" w:rsidP="00C4624B">
      <w:pPr>
        <w:pStyle w:val="ListBullet"/>
      </w:pPr>
      <w:r w:rsidRPr="00C4624B">
        <w:t>existence of regulations and other external controls relevant to the proposed work</w:t>
      </w:r>
    </w:p>
    <w:p w:rsidR="00000000" w:rsidRPr="00C4624B" w:rsidP="00C4624B">
      <w:pPr>
        <w:pStyle w:val="ListBullet"/>
      </w:pPr>
      <w:r w:rsidRPr="00C4624B">
        <w:t>isolation</w:t>
      </w:r>
      <w:r w:rsidRPr="00C4624B">
        <w:t xml:space="preserve"> philosophy of organisation</w:t>
      </w:r>
    </w:p>
    <w:p w:rsidR="00000000" w:rsidRPr="00C4624B" w:rsidP="00C4624B">
      <w:pPr>
        <w:pStyle w:val="ListBullet"/>
      </w:pPr>
      <w:r w:rsidRPr="00C4624B">
        <w:t>isolation and preparation plan for work</w:t>
      </w:r>
    </w:p>
    <w:p w:rsidR="00000000" w:rsidRPr="00C4624B" w:rsidP="00C4624B">
      <w:pPr>
        <w:pStyle w:val="ListBullet"/>
      </w:pPr>
      <w:r w:rsidRPr="00C4624B">
        <w:t>plant energy sources and their methods of being de-energised and isolated</w:t>
      </w:r>
    </w:p>
    <w:p w:rsidR="00000000" w:rsidRPr="00C4624B" w:rsidP="00C4624B">
      <w:pPr>
        <w:pStyle w:val="ListBullet"/>
      </w:pPr>
      <w:r w:rsidRPr="00C4624B">
        <w:t>hierarchy of isolations</w:t>
      </w:r>
    </w:p>
    <w:p w:rsidR="00000000" w:rsidRPr="00C4624B" w:rsidP="00C4624B">
      <w:pPr>
        <w:pStyle w:val="ListBullet"/>
      </w:pPr>
      <w:r w:rsidRPr="00C4624B">
        <w:t>methods of proving isolations</w:t>
      </w:r>
    </w:p>
    <w:p w:rsidR="00000000" w:rsidRPr="00C4624B" w:rsidP="00C4624B">
      <w:pPr>
        <w:pStyle w:val="ListBullet"/>
      </w:pPr>
      <w:r w:rsidRPr="00C4624B">
        <w:t>methods and equipment used for purging and ventilation</w:t>
      </w:r>
    </w:p>
    <w:p w:rsidR="00000000" w:rsidRPr="00C4624B" w:rsidP="00C4624B">
      <w:pPr>
        <w:pStyle w:val="ListBullet"/>
      </w:pPr>
      <w:r w:rsidRPr="00C4624B">
        <w:t>physi</w:t>
      </w:r>
      <w:r w:rsidRPr="00C4624B">
        <w:t>cal properties of process materials (e.g. density and viscosity)</w:t>
      </w:r>
    </w:p>
    <w:p w:rsidR="00000000" w:rsidRPr="00C4624B" w:rsidP="00C4624B">
      <w:pPr>
        <w:pStyle w:val="ListBullet"/>
      </w:pPr>
      <w:r w:rsidRPr="00C4624B">
        <w:t>hazardous properties of relevant materials (e.g. process, purging and ventilation materials)</w:t>
      </w:r>
    </w:p>
    <w:p w:rsidR="00000000" w:rsidRPr="00C4624B" w:rsidP="00C4624B">
      <w:pPr>
        <w:pStyle w:val="ListBullet"/>
      </w:pPr>
      <w:r w:rsidRPr="00C4624B">
        <w:t>decontamination methods and requirements for various materials and situations</w:t>
      </w:r>
    </w:p>
    <w:p w:rsidR="00000000" w:rsidRPr="00C4624B" w:rsidP="00C4624B">
      <w:pPr>
        <w:pStyle w:val="ListBullet"/>
      </w:pPr>
      <w:r w:rsidRPr="00C4624B">
        <w:t>as low as reasonably</w:t>
      </w:r>
      <w:r w:rsidRPr="00C4624B">
        <w:t xml:space="preserve"> practicable (ALARP) concept </w:t>
      </w:r>
    </w:p>
    <w:p w:rsidR="00000000" w:rsidRPr="00C4624B" w:rsidP="00C4624B">
      <w:pPr>
        <w:pStyle w:val="ListBullet"/>
      </w:pPr>
      <w:r w:rsidRPr="00C4624B">
        <w:t>importance of appropriate rates of change for pressure and temperature for vessels and other plant</w:t>
      </w:r>
    </w:p>
    <w:p w:rsidR="00000000" w:rsidRPr="00C4624B" w:rsidP="00C4624B">
      <w:pPr>
        <w:pStyle w:val="ListBullet"/>
      </w:pPr>
      <w:r w:rsidRPr="00C4624B">
        <w:t>significance of time allowed for draining, purging, ventilation</w:t>
      </w:r>
    </w:p>
    <w:p w:rsidR="00000000" w:rsidRPr="00C4624B" w:rsidP="00C4624B">
      <w:pPr>
        <w:pStyle w:val="ListBullet"/>
      </w:pPr>
      <w:r w:rsidRPr="00C4624B">
        <w:t>fluid dynamics relating specifically to draining piping systems</w:t>
      </w:r>
      <w:r w:rsidRPr="00C4624B">
        <w:t>:</w:t>
      </w:r>
    </w:p>
    <w:p w:rsidR="00000000" w:rsidRPr="00C4624B" w:rsidP="00C4624B">
      <w:pPr>
        <w:pStyle w:val="ListBullet2"/>
      </w:pPr>
      <w:r w:rsidRPr="00C4624B">
        <w:t>the ability of a liquid to ‘hang-up’ in pipework, the importance of identifying high point vents to release gas/vapours and low point drains to release liquids</w:t>
      </w:r>
    </w:p>
    <w:p w:rsidR="00000000" w:rsidRPr="00C4624B" w:rsidP="00C4624B">
      <w:pPr>
        <w:pStyle w:val="ListBullet2"/>
      </w:pPr>
      <w:r w:rsidRPr="00C4624B">
        <w:t>determining the amount of liquid drained from a piping section to ascertain that draining has been effective/prove drainage</w:t>
      </w:r>
    </w:p>
    <w:p w:rsidR="003D2A27" w:rsidP="00C4624B">
      <w:pPr>
        <w:pStyle w:val="ListBullet"/>
      </w:pPr>
      <w:r w:rsidRPr="00C4624B">
        <w:t>the potential effects (e.g. damage to tanks or vessels) of vacuum by not draining correctly (e.g. by pulling a vacuum behind a slug</w:t>
      </w:r>
      <w:r w:rsidRPr="00C4624B">
        <w:t xml:space="preserve"> of liquid)</w:t>
      </w:r>
    </w:p>
    <w:p w:rsidR="003D2A27" w:rsidP="00C4624B">
      <w:pPr>
        <w:pStyle w:val="ListBullet"/>
      </w:pPr>
    </w:p>
    <w:p w:rsidR="00000000" w:rsidRPr="00C4624B" w:rsidP="00C4624B">
      <w:pPr>
        <w:pStyle w:val="Heading1"/>
      </w:pPr>
      <w:bookmarkStart w:id="10" w:name="O_376594"/>
      <w:bookmarkEnd w:id="10"/>
      <w:r w:rsidRPr="00C4624B">
        <w:t>Evidence Guide</w:t>
      </w:r>
    </w:p>
    <w:tbl>
      <w:tblPr>
        <w:tblW w:w="0" w:type="auto"/>
        <w:tblLayout w:type="fixed"/>
        <w:tblCellMar>
          <w:left w:w="62" w:type="dxa"/>
          <w:right w:w="62" w:type="dxa"/>
        </w:tblCellMar>
        <w:tblLook w:val="0000"/>
      </w:tblPr>
      <w:tblGrid>
        <w:gridCol w:w="3648"/>
        <w:gridCol w:w="5352"/>
      </w:tblGrid>
      <w:tr w:rsidTr="00C4624B">
        <w:tblPrEx>
          <w:tblW w:w="0" w:type="auto"/>
          <w:tblLayout w:type="fixed"/>
          <w:tblCellMar>
            <w:left w:w="62" w:type="dxa"/>
            <w:right w:w="62" w:type="dxa"/>
          </w:tblCellMar>
          <w:tblLook w:val="0000"/>
        </w:tblPrEx>
        <w:tc>
          <w:tcPr>
            <w:tcW w:w="9000" w:type="dxa"/>
            <w:gridSpan w:val="2"/>
            <w:tcBorders>
              <w:top w:val="nil"/>
              <w:left w:val="nil"/>
              <w:bottom w:val="single" w:sz="4" w:space="0" w:color="auto"/>
              <w:right w:val="nil"/>
            </w:tcBorders>
            <w:tcMar>
              <w:top w:w="0" w:type="dxa"/>
              <w:left w:w="62" w:type="dxa"/>
              <w:bottom w:w="0" w:type="dxa"/>
              <w:right w:w="62" w:type="dxa"/>
            </w:tcMar>
          </w:tcPr>
          <w:p w:rsidR="00000000" w:rsidP="00C4624B">
            <w:pPr>
              <w:pStyle w:val="BodyText"/>
              <w:rPr>
                <w:lang w:val="en-NZ"/>
              </w:rPr>
            </w:pPr>
            <w:r w:rsidRPr="00C4624B">
              <w:t>The evidence guide provides advice on assessment and must be read in conjunction with the performance criteria required skills and knowledge range statement and the Assessment Guidelines for the Training Package</w:t>
            </w:r>
            <w:r w:rsidRPr="00C4624B">
              <w:t>.</w:t>
            </w:r>
          </w:p>
        </w:tc>
      </w:tr>
      <w:tr w:rsidTr="00C4624B">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This unit should be assessed as holistically as is practical and will generally be assessed using a workplace project as a significant assessment activity.</w:t>
            </w:r>
          </w:p>
        </w:tc>
      </w:tr>
      <w:tr w:rsidTr="00C4624B">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 xml:space="preserve">A person who demonstrates competency in this unit must be able to provide evidence of the ability to: </w:t>
            </w:r>
          </w:p>
          <w:p w:rsidR="00000000" w:rsidRPr="00C4624B" w:rsidP="00C4624B">
            <w:pPr>
              <w:pStyle w:val="ListBullet"/>
            </w:pPr>
            <w:r w:rsidRPr="00C4624B">
              <w:t>perform isolations to plan for a significant item of equipm</w:t>
            </w:r>
            <w:r w:rsidRPr="00C4624B">
              <w:t>ent or plant area</w:t>
            </w:r>
          </w:p>
          <w:p w:rsidR="00000000" w:rsidRPr="00C4624B" w:rsidP="00C4624B">
            <w:pPr>
              <w:pStyle w:val="ListBullet"/>
            </w:pPr>
            <w:r w:rsidRPr="00C4624B">
              <w:t>prepare plant for the work to plan</w:t>
            </w:r>
          </w:p>
          <w:p w:rsidR="00000000" w:rsidP="00C4624B">
            <w:pPr>
              <w:pStyle w:val="ListBullet"/>
              <w:rPr>
                <w:lang w:val="en-NZ"/>
              </w:rPr>
            </w:pPr>
            <w:r w:rsidRPr="00C4624B">
              <w:t>prepare plant for return to service to plan.</w:t>
            </w:r>
          </w:p>
        </w:tc>
      </w:tr>
      <w:tr w:rsidTr="00C4624B">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 xml:space="preserve">Assessment of performance must be undertaken in a workplace. </w:t>
            </w:r>
          </w:p>
          <w:p w:rsidR="00000000" w:rsidRPr="00C4624B" w:rsidP="00C4624B">
            <w:pPr>
              <w:pStyle w:val="BodyText"/>
            </w:pPr>
            <w:r w:rsidRPr="00C4624B">
              <w:t>Access may be required to:</w:t>
            </w:r>
          </w:p>
          <w:p w:rsidR="00000000" w:rsidRPr="00C4624B" w:rsidP="00C4624B">
            <w:pPr>
              <w:pStyle w:val="ListBullet"/>
            </w:pPr>
            <w:r w:rsidRPr="00C4624B">
              <w:t>workplace procedures and plans relevant to work area</w:t>
            </w:r>
          </w:p>
          <w:p w:rsidR="00000000" w:rsidRPr="00C4624B" w:rsidP="00C4624B">
            <w:pPr>
              <w:pStyle w:val="ListBullet"/>
            </w:pPr>
            <w:r w:rsidRPr="00C4624B">
              <w:t>specifications and documentation relating to planned work</w:t>
            </w:r>
          </w:p>
          <w:p w:rsidR="00000000" w:rsidRPr="00C4624B" w:rsidP="00C4624B">
            <w:pPr>
              <w:pStyle w:val="ListBullet"/>
            </w:pPr>
            <w:r w:rsidRPr="00C4624B">
              <w:t>documentation relating to the plant, process and materials</w:t>
            </w:r>
          </w:p>
          <w:p w:rsidR="00000000" w:rsidRPr="00C4624B" w:rsidP="00C4624B">
            <w:pPr>
              <w:pStyle w:val="ListBullet"/>
            </w:pPr>
            <w:r w:rsidRPr="00C4624B">
              <w:t>the isolation and preparation plan</w:t>
            </w:r>
          </w:p>
          <w:p w:rsidR="00000000" w:rsidP="00C4624B">
            <w:pPr>
              <w:pStyle w:val="ListBullet"/>
              <w:rPr>
                <w:lang w:val="en-NZ"/>
              </w:rPr>
            </w:pPr>
            <w:r w:rsidRPr="00C4624B">
              <w:t>any other materials which would normally be availab</w:t>
            </w:r>
            <w:r w:rsidRPr="00C4624B">
              <w:t>le in the workplace while conducting this activity.</w:t>
            </w:r>
          </w:p>
        </w:tc>
      </w:tr>
      <w:tr w:rsidTr="00C4624B">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Guidance information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Assessment processes and techniques must be culturally appropriate and appropriate to the oracy, language and literacy capacity of the assessee and the work being perf</w:t>
            </w:r>
            <w:r w:rsidRPr="00C4624B">
              <w:t>ormed.</w:t>
            </w:r>
          </w:p>
        </w:tc>
      </w:tr>
    </w:tbl>
    <w:p w:rsidR="003D2A27" w:rsidP="00C4624B">
      <w:pPr>
        <w:pStyle w:val="BodyText"/>
      </w:pPr>
    </w:p>
    <w:p w:rsidR="003D2A27" w:rsidP="00C4624B">
      <w:pPr>
        <w:pStyle w:val="BodyText"/>
      </w:pPr>
    </w:p>
    <w:p w:rsidR="00000000" w:rsidRPr="00C4624B" w:rsidP="00C4624B">
      <w:pPr>
        <w:pStyle w:val="Heading1"/>
      </w:pPr>
      <w:bookmarkStart w:id="11" w:name="O_376595"/>
      <w:bookmarkEnd w:id="11"/>
      <w:r w:rsidRPr="00C4624B">
        <w:t>Range Statement</w:t>
      </w:r>
    </w:p>
    <w:tbl>
      <w:tblPr>
        <w:tblW w:w="0" w:type="auto"/>
        <w:tblLayout w:type="fixed"/>
        <w:tblCellMar>
          <w:left w:w="62" w:type="dxa"/>
          <w:right w:w="62" w:type="dxa"/>
        </w:tblCellMar>
        <w:tblLook w:val="0000"/>
      </w:tblPr>
      <w:tblGrid>
        <w:gridCol w:w="3674"/>
        <w:gridCol w:w="5398"/>
      </w:tblGrid>
      <w:tr w:rsidTr="00C4624B">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C4624B">
            <w:pPr>
              <w:pStyle w:val="BodyText"/>
              <w:rPr>
                <w:lang w:val="en-NZ"/>
              </w:rPr>
            </w:pPr>
            <w:r w:rsidRPr="00C4624B">
              <w:t>The range statement relates to the unit of competency as a whole. It allows for different work environments and situations that may affect performan</w:t>
            </w:r>
            <w:r w:rsidRPr="00C4624B">
              <w:t>ce. Bold italicised wording, if used in the performance criteria, is detailed below. Essential operating conditions that may be present with training and assessment (depending on the work situation, needs of the candidate, accessibility of the item, and lo</w:t>
            </w:r>
            <w:r w:rsidRPr="00C4624B">
              <w:t>cal industry and regional contexts) may also be included.</w:t>
            </w:r>
          </w:p>
        </w:tc>
      </w:tr>
      <w:tr w:rsidTr="00C462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Isolation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Isolation is a process for ensuring no energy or material can enter the isolated area</w:t>
            </w:r>
          </w:p>
        </w:tc>
      </w:tr>
      <w:tr w:rsidTr="00C462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Plant energy sources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Plant energy sources may include, but are not limited to:</w:t>
            </w:r>
          </w:p>
          <w:p w:rsidR="00000000" w:rsidRPr="00C4624B" w:rsidP="00C4624B">
            <w:pPr>
              <w:pStyle w:val="ListBullet"/>
            </w:pPr>
            <w:r w:rsidRPr="00C4624B">
              <w:t>electricity (mains,</w:t>
            </w:r>
            <w:r w:rsidRPr="00C4624B">
              <w:t xml:space="preserve"> solar and by generator)</w:t>
            </w:r>
          </w:p>
          <w:p w:rsidR="00000000" w:rsidRPr="00C4624B" w:rsidP="00C4624B">
            <w:pPr>
              <w:pStyle w:val="ListBullet"/>
            </w:pPr>
            <w:r w:rsidRPr="00C4624B">
              <w:t>chemicals and fuels</w:t>
            </w:r>
          </w:p>
          <w:p w:rsidR="00000000" w:rsidRPr="00C4624B" w:rsidP="00C4624B">
            <w:pPr>
              <w:pStyle w:val="ListBullet"/>
            </w:pPr>
            <w:r w:rsidRPr="00C4624B">
              <w:t>heat and steam</w:t>
            </w:r>
          </w:p>
          <w:p w:rsidR="00000000" w:rsidRPr="00C4624B" w:rsidP="00C4624B">
            <w:pPr>
              <w:pStyle w:val="ListBullet"/>
            </w:pPr>
            <w:r w:rsidRPr="00C4624B">
              <w:t>pneumatic pressure (compressed air, and other fluids under pressure, such as water or hydraulic oil)</w:t>
            </w:r>
          </w:p>
          <w:p w:rsidR="00000000" w:rsidRPr="00C4624B" w:rsidP="00C4624B">
            <w:pPr>
              <w:pStyle w:val="ListBullet"/>
            </w:pPr>
            <w:r w:rsidRPr="00C4624B">
              <w:t>energy storing devices, such as batteries, springs, flywheels, accumulators and capacitors</w:t>
            </w:r>
          </w:p>
          <w:p w:rsidR="00000000" w:rsidRPr="00C4624B" w:rsidP="00C4624B">
            <w:pPr>
              <w:pStyle w:val="ListBullet"/>
            </w:pPr>
            <w:r w:rsidRPr="00C4624B">
              <w:t>gravity (and its ability to cause items to fall)</w:t>
            </w:r>
          </w:p>
          <w:p w:rsidR="00000000" w:rsidP="00C4624B">
            <w:pPr>
              <w:pStyle w:val="ListBullet"/>
              <w:rPr>
                <w:lang w:val="en-NZ"/>
              </w:rPr>
            </w:pPr>
            <w:r w:rsidRPr="00C4624B">
              <w:t>radiation</w:t>
            </w:r>
          </w:p>
        </w:tc>
      </w:tr>
      <w:tr w:rsidTr="00C462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Control releases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Controlling releases to the environment may include, but is not limited to:</w:t>
            </w:r>
          </w:p>
          <w:p w:rsidR="00000000" w:rsidRPr="00C4624B" w:rsidP="00C4624B">
            <w:pPr>
              <w:pStyle w:val="ListBullet"/>
            </w:pPr>
            <w:r w:rsidRPr="00C4624B">
              <w:t>preventing any release</w:t>
            </w:r>
          </w:p>
          <w:p w:rsidR="00000000" w:rsidRPr="00C4624B" w:rsidP="00C4624B">
            <w:pPr>
              <w:pStyle w:val="ListBullet"/>
            </w:pPr>
            <w:r w:rsidRPr="00C4624B">
              <w:t>containing any release</w:t>
            </w:r>
          </w:p>
          <w:p w:rsidR="00000000" w:rsidP="00C4624B">
            <w:pPr>
              <w:pStyle w:val="ListBullet"/>
              <w:rPr>
                <w:lang w:val="en-NZ"/>
              </w:rPr>
            </w:pPr>
            <w:r w:rsidRPr="00C4624B">
              <w:t>recovery and reuse or disposal of any release</w:t>
            </w:r>
          </w:p>
        </w:tc>
      </w:tr>
      <w:tr w:rsidTr="00C462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Preparati</w:t>
            </w:r>
            <w:r w:rsidRPr="00C4624B">
              <w:t>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Preparation is a process for ensuring that plant and equipment is in a safe and appropriate condition for the required work. Preparation may include, but is not limited to:</w:t>
            </w:r>
          </w:p>
          <w:p w:rsidR="00000000" w:rsidRPr="00C4624B" w:rsidP="00C4624B">
            <w:pPr>
              <w:pStyle w:val="ListBullet"/>
            </w:pPr>
            <w:r w:rsidRPr="00C4624B">
              <w:t>draining</w:t>
            </w:r>
          </w:p>
          <w:p w:rsidR="00000000" w:rsidRPr="00C4624B" w:rsidP="00C4624B">
            <w:pPr>
              <w:pStyle w:val="ListBullet"/>
            </w:pPr>
            <w:r w:rsidRPr="00C4624B">
              <w:t>purging</w:t>
            </w:r>
          </w:p>
          <w:p w:rsidR="00000000" w:rsidRPr="00C4624B" w:rsidP="00C4624B">
            <w:pPr>
              <w:pStyle w:val="ListBullet"/>
            </w:pPr>
            <w:r w:rsidRPr="00C4624B">
              <w:t>inerting</w:t>
            </w:r>
          </w:p>
          <w:p w:rsidR="00000000" w:rsidRPr="00C4624B" w:rsidP="00C4624B">
            <w:pPr>
              <w:pStyle w:val="ListBullet"/>
            </w:pPr>
            <w:r w:rsidRPr="00C4624B">
              <w:t>ventilating</w:t>
            </w:r>
          </w:p>
          <w:p w:rsidR="00000000" w:rsidRPr="00C4624B" w:rsidP="00C4624B">
            <w:pPr>
              <w:pStyle w:val="ListBullet"/>
            </w:pPr>
            <w:r w:rsidRPr="00C4624B">
              <w:t>controlling atmosphere (e.g. to ensure it is breathable, and is not within the flammable range)</w:t>
            </w:r>
          </w:p>
          <w:p w:rsidR="00000000" w:rsidRPr="00C4624B" w:rsidP="00C4624B">
            <w:pPr>
              <w:pStyle w:val="ListBullet"/>
            </w:pPr>
            <w:r w:rsidRPr="00C4624B">
              <w:t>adjusting temperature to make a workable environment</w:t>
            </w:r>
          </w:p>
          <w:p w:rsidR="00000000" w:rsidRPr="00C4624B" w:rsidP="00C4624B">
            <w:pPr>
              <w:pStyle w:val="ListBullet"/>
            </w:pPr>
            <w:r w:rsidRPr="00C4624B">
              <w:t>adjusting pressure (usually to atmospheric)</w:t>
            </w:r>
          </w:p>
          <w:p w:rsidR="00000000" w:rsidP="00C4624B">
            <w:pPr>
              <w:pStyle w:val="ListBullet"/>
              <w:rPr>
                <w:lang w:val="en-NZ"/>
              </w:rPr>
            </w:pPr>
            <w:r w:rsidRPr="00C4624B">
              <w:t>ensuring adequate access and egress</w:t>
            </w:r>
          </w:p>
        </w:tc>
      </w:tr>
      <w:tr w:rsidTr="00C462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Isolation plan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Execution o</w:t>
            </w:r>
            <w:r w:rsidRPr="00C4624B">
              <w:t>f the isolation plan may include, but is not limited to:</w:t>
            </w:r>
          </w:p>
          <w:p w:rsidR="00000000" w:rsidRPr="00C4624B" w:rsidP="00C4624B">
            <w:pPr>
              <w:pStyle w:val="ListBullet"/>
            </w:pPr>
            <w:r w:rsidRPr="00C4624B">
              <w:t>confirming availability of plant, equipment and/or systems</w:t>
            </w:r>
          </w:p>
          <w:p w:rsidR="00000000" w:rsidRPr="00C4624B" w:rsidP="00C4624B">
            <w:pPr>
              <w:pStyle w:val="ListBullet"/>
            </w:pPr>
            <w:r w:rsidRPr="00C4624B">
              <w:t>verifying plant, equipment and/or systems</w:t>
            </w:r>
          </w:p>
          <w:p w:rsidR="00000000" w:rsidRPr="00C4624B" w:rsidP="00C4624B">
            <w:pPr>
              <w:pStyle w:val="ListBullet"/>
            </w:pPr>
            <w:r w:rsidRPr="00C4624B">
              <w:t>verifying isolation location</w:t>
            </w:r>
          </w:p>
          <w:p w:rsidR="00000000" w:rsidRPr="00C4624B" w:rsidP="00C4624B">
            <w:pPr>
              <w:pStyle w:val="ListBullet"/>
            </w:pPr>
            <w:r w:rsidRPr="00C4624B">
              <w:t>securing and identifying isolation points</w:t>
            </w:r>
          </w:p>
          <w:p w:rsidR="00000000" w:rsidRPr="00C4624B" w:rsidP="00C4624B">
            <w:pPr>
              <w:pStyle w:val="ListBullet"/>
            </w:pPr>
            <w:r w:rsidRPr="00C4624B">
              <w:t>labelling isolation points</w:t>
            </w:r>
          </w:p>
          <w:p w:rsidR="00000000" w:rsidRPr="00C4624B" w:rsidP="00C4624B">
            <w:pPr>
              <w:pStyle w:val="ListBullet"/>
            </w:pPr>
            <w:r w:rsidRPr="00C4624B">
              <w:t>doing the isolations</w:t>
            </w:r>
          </w:p>
          <w:p w:rsidR="00000000" w:rsidRPr="00C4624B" w:rsidP="00C4624B">
            <w:pPr>
              <w:pStyle w:val="ListBullet"/>
            </w:pPr>
            <w:r w:rsidRPr="00C4624B">
              <w:t>managing the isolations</w:t>
            </w:r>
          </w:p>
          <w:p w:rsidR="00000000" w:rsidRPr="00C4624B" w:rsidP="00C4624B">
            <w:pPr>
              <w:pStyle w:val="ListBullet"/>
            </w:pPr>
            <w:r w:rsidRPr="00C4624B">
              <w:t>managing lock out/tag out to procedure</w:t>
            </w:r>
          </w:p>
          <w:p w:rsidR="00000000" w:rsidRPr="00C4624B" w:rsidP="00C4624B">
            <w:pPr>
              <w:pStyle w:val="ListBullet"/>
            </w:pPr>
            <w:r w:rsidRPr="00C4624B">
              <w:t>cross checking isolations</w:t>
            </w:r>
          </w:p>
          <w:p w:rsidR="00000000" w:rsidP="00C4624B">
            <w:pPr>
              <w:pStyle w:val="ListBullet"/>
              <w:rPr>
                <w:lang w:val="en-NZ"/>
              </w:rPr>
            </w:pPr>
            <w:r w:rsidRPr="00C4624B">
              <w:t>undertaking self-isolation, were appropriate</w:t>
            </w:r>
          </w:p>
        </w:tc>
      </w:tr>
      <w:tr w:rsidTr="00C462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Remove materials and energy</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Removing materials and energy may include, but is not limited to:</w:t>
            </w:r>
          </w:p>
          <w:p w:rsidR="00000000" w:rsidRPr="00C4624B" w:rsidP="00C4624B">
            <w:pPr>
              <w:pStyle w:val="ListBullet"/>
            </w:pPr>
            <w:r w:rsidRPr="00C4624B">
              <w:t>drai</w:t>
            </w:r>
            <w:r w:rsidRPr="00C4624B">
              <w:t>ning, purging and venting of process materials</w:t>
            </w:r>
          </w:p>
          <w:p w:rsidR="00000000" w:rsidRPr="00C4624B" w:rsidP="00C4624B">
            <w:pPr>
              <w:pStyle w:val="ListBullet"/>
            </w:pPr>
            <w:r w:rsidRPr="00C4624B">
              <w:t>mitigation of stored energy</w:t>
            </w:r>
          </w:p>
          <w:p w:rsidR="00000000" w:rsidP="00C4624B">
            <w:pPr>
              <w:pStyle w:val="ListBullet"/>
              <w:rPr>
                <w:lang w:val="en-NZ"/>
              </w:rPr>
            </w:pPr>
            <w:r w:rsidRPr="00C4624B">
              <w:t>appropriately catching and disposing of any removed materials</w:t>
            </w:r>
          </w:p>
        </w:tc>
      </w:tr>
      <w:tr w:rsidTr="00C462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Effectiveness of isolation</w:t>
            </w:r>
          </w:p>
          <w:p w:rsidR="00000000">
            <w:pPr>
              <w:pStyle w:val="BodyText"/>
              <w:keepNext w:val="0"/>
              <w:keepLines w:val="0"/>
              <w:contextualSpacing w:val="0"/>
              <w:rPr>
                <w:rFonts w:ascii="Tahoma" w:hAnsi="Tahoma"/>
                <w:color w:val="000000"/>
                <w:sz w:val="20"/>
                <w:lang w:val="en-NZ"/>
              </w:rPr>
            </w:pP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Proving the effectiveness of the isolation may include, but will not be limited to:</w:t>
            </w:r>
          </w:p>
          <w:p w:rsidR="00000000" w:rsidRPr="00C4624B" w:rsidP="00C4624B">
            <w:pPr>
              <w:pStyle w:val="ListBullet"/>
            </w:pPr>
            <w:r w:rsidRPr="00C4624B">
              <w:t>checking that any leaks are acceptable</w:t>
            </w:r>
          </w:p>
          <w:p w:rsidR="00000000" w:rsidRPr="00C4624B" w:rsidP="00C4624B">
            <w:pPr>
              <w:pStyle w:val="ListBullet"/>
            </w:pPr>
            <w:r w:rsidRPr="00C4624B">
              <w:t>proving depressuring</w:t>
            </w:r>
          </w:p>
          <w:p w:rsidR="00000000" w:rsidRPr="00C4624B" w:rsidP="00C4624B">
            <w:pPr>
              <w:pStyle w:val="ListBullet"/>
            </w:pPr>
            <w:r w:rsidRPr="00C4624B">
              <w:t>proving purging</w:t>
            </w:r>
          </w:p>
          <w:p w:rsidR="00000000" w:rsidRPr="00C4624B" w:rsidP="00C4624B">
            <w:pPr>
              <w:pStyle w:val="ListBullet"/>
            </w:pPr>
            <w:r w:rsidRPr="00C4624B">
              <w:t>checking bleed from double block and bleed, where appropriate</w:t>
            </w:r>
          </w:p>
          <w:p w:rsidR="00000000" w:rsidRPr="00C4624B" w:rsidP="00C4624B">
            <w:pPr>
              <w:pStyle w:val="ListBullet"/>
            </w:pPr>
            <w:r w:rsidRPr="00C4624B">
              <w:t>proving the atmosphere is as required</w:t>
            </w:r>
          </w:p>
          <w:p w:rsidR="00000000" w:rsidRPr="00C4624B" w:rsidP="00C4624B">
            <w:pPr>
              <w:pStyle w:val="ListBullet"/>
            </w:pPr>
            <w:r w:rsidRPr="00C4624B">
              <w:t>using gas detectors/meters</w:t>
            </w:r>
          </w:p>
          <w:p w:rsidR="00000000" w:rsidRPr="00C4624B" w:rsidP="00C4624B">
            <w:pPr>
              <w:pStyle w:val="ListBullet"/>
            </w:pPr>
            <w:r w:rsidRPr="00C4624B">
              <w:t>proving the isolation is effective</w:t>
            </w:r>
          </w:p>
          <w:p w:rsidR="00000000" w:rsidP="00C4624B">
            <w:pPr>
              <w:pStyle w:val="ListBullet"/>
              <w:rPr>
                <w:lang w:val="en-NZ"/>
              </w:rPr>
            </w:pPr>
            <w:r w:rsidRPr="00C4624B">
              <w:t>surveillance of is</w:t>
            </w:r>
            <w:r w:rsidRPr="00C4624B">
              <w:t>olations</w:t>
            </w:r>
          </w:p>
        </w:tc>
      </w:tr>
      <w:tr w:rsidTr="00C462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Required paperwork</w:t>
            </w:r>
          </w:p>
          <w:p w:rsidR="00000000">
            <w:pPr>
              <w:pStyle w:val="BodyText"/>
              <w:keepNext w:val="0"/>
              <w:keepLines w:val="0"/>
              <w:contextualSpacing w:val="0"/>
              <w:rPr>
                <w:rFonts w:ascii="Tahoma" w:hAnsi="Tahoma"/>
                <w:color w:val="000000"/>
                <w:sz w:val="20"/>
                <w:lang w:val="en-NZ"/>
              </w:rPr>
            </w:pP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Required paperwork may include, but is not limited to:</w:t>
            </w:r>
          </w:p>
          <w:p w:rsidR="00000000" w:rsidRPr="00C4624B" w:rsidP="00C4624B">
            <w:pPr>
              <w:pStyle w:val="ListBullet"/>
            </w:pPr>
            <w:r w:rsidRPr="00C4624B">
              <w:t>isolation register</w:t>
            </w:r>
          </w:p>
          <w:p w:rsidR="00000000" w:rsidRPr="00C4624B" w:rsidP="00C4624B">
            <w:pPr>
              <w:pStyle w:val="ListBullet"/>
            </w:pPr>
            <w:r w:rsidRPr="00C4624B">
              <w:t>lock out/tag out register</w:t>
            </w:r>
          </w:p>
          <w:p w:rsidR="00000000" w:rsidRPr="00C4624B" w:rsidP="00C4624B">
            <w:pPr>
              <w:pStyle w:val="ListBullet"/>
            </w:pPr>
            <w:r w:rsidRPr="00C4624B">
              <w:t>required reports</w:t>
            </w:r>
          </w:p>
          <w:p w:rsidR="00000000" w:rsidRPr="00C4624B" w:rsidP="00C4624B">
            <w:pPr>
              <w:pStyle w:val="ListBullet"/>
            </w:pPr>
            <w:r w:rsidRPr="00C4624B">
              <w:t>required permits/work packs</w:t>
            </w:r>
          </w:p>
          <w:p w:rsidR="00000000" w:rsidRPr="00C4624B" w:rsidP="00C4624B">
            <w:pPr>
              <w:pStyle w:val="ListBullet"/>
            </w:pPr>
            <w:r w:rsidRPr="00C4624B">
              <w:t>filing of documentation</w:t>
            </w:r>
          </w:p>
          <w:p w:rsidR="00000000" w:rsidRPr="00C4624B" w:rsidP="00C4624B">
            <w:pPr>
              <w:pStyle w:val="BodyText"/>
            </w:pPr>
            <w:r w:rsidRPr="00C4624B">
              <w:t>Paperwork will conform to the site requirements and document control systems</w:t>
            </w:r>
          </w:p>
          <w:p w:rsidR="00000000" w:rsidRPr="00C4624B" w:rsidP="00C4624B">
            <w:pPr>
              <w:pStyle w:val="BodyText"/>
            </w:pPr>
            <w:r w:rsidRPr="00C4624B">
              <w:t>Paperwork may be:</w:t>
            </w:r>
          </w:p>
          <w:p w:rsidR="00000000" w:rsidP="00C4624B">
            <w:pPr>
              <w:pStyle w:val="ListBullet"/>
              <w:rPr>
                <w:lang w:val="en-NZ"/>
              </w:rPr>
            </w:pPr>
            <w:r w:rsidRPr="00C4624B">
              <w:t>paper, electronic or other approved form</w:t>
            </w:r>
          </w:p>
        </w:tc>
      </w:tr>
      <w:tr w:rsidTr="00C462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4B">
            <w:pPr>
              <w:pStyle w:val="BodyText"/>
              <w:rPr>
                <w:lang w:val="en-NZ"/>
              </w:rPr>
            </w:pPr>
            <w:r w:rsidRPr="00C4624B">
              <w:t>Test as required</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4B" w:rsidP="00C4624B">
            <w:pPr>
              <w:pStyle w:val="BodyText"/>
            </w:pPr>
            <w:r w:rsidRPr="00C4624B">
              <w:t>Testing of plant as required as part of preparation for return to service may include, but is not lim</w:t>
            </w:r>
            <w:r w:rsidRPr="00C4624B">
              <w:t>ited to:</w:t>
            </w:r>
          </w:p>
          <w:p w:rsidR="00000000" w:rsidRPr="00C4624B" w:rsidP="00C4624B">
            <w:pPr>
              <w:pStyle w:val="ListBullet"/>
            </w:pPr>
            <w:r w:rsidRPr="00C4624B">
              <w:t>pressure and leak testing</w:t>
            </w:r>
          </w:p>
          <w:p w:rsidR="00000000" w:rsidRPr="00C4624B" w:rsidP="00C4624B">
            <w:pPr>
              <w:pStyle w:val="ListBullet"/>
            </w:pPr>
            <w:r w:rsidRPr="00C4624B">
              <w:t>atmosphere/gas testing</w:t>
            </w:r>
          </w:p>
          <w:p w:rsidR="00000000" w:rsidRPr="00C4624B" w:rsidP="00C4624B">
            <w:pPr>
              <w:pStyle w:val="ListBullet"/>
            </w:pPr>
            <w:r w:rsidRPr="00C4624B">
              <w:t>testing the restoration of utilities and services</w:t>
            </w:r>
          </w:p>
        </w:tc>
      </w:tr>
    </w:tbl>
    <w:p w:rsidR="00000000" w:rsidRPr="00C4624B" w:rsidP="00C4624B">
      <w:pPr>
        <w:pStyle w:val="BodyText"/>
      </w:pPr>
    </w:p>
    <w:p w:rsidR="00000000" w:rsidRPr="00C4624B" w:rsidP="00C4624B">
      <w:pPr>
        <w:pStyle w:val="AllowPageBreak"/>
      </w:pPr>
    </w:p>
    <w:p w:rsidR="00000000" w:rsidRPr="00C4624B" w:rsidP="00C4624B">
      <w:pPr>
        <w:pStyle w:val="Heading1"/>
      </w:pPr>
      <w:bookmarkStart w:id="12" w:name="O_376596"/>
      <w:bookmarkEnd w:id="12"/>
      <w:r w:rsidRPr="00C4624B">
        <w:t>Unit Sector(s)</w:t>
      </w:r>
    </w:p>
    <w:p w:rsidR="00000000" w:rsidRPr="00C4624B" w:rsidP="00C4624B">
      <w:pPr>
        <w:pStyle w:val="BodyText"/>
      </w:pPr>
      <w:r w:rsidRPr="00C4624B">
        <w:t>Support</w:t>
      </w:r>
    </w:p>
    <w:p w:rsidR="00000000" w:rsidRPr="00C4624B" w:rsidP="00C4624B">
      <w:pPr>
        <w:pStyle w:val="AllowPageBreak"/>
      </w:pPr>
    </w:p>
    <w:p w:rsidR="00000000" w:rsidRPr="00C4624B" w:rsidP="00C4624B">
      <w:pPr>
        <w:pStyle w:val="Heading1"/>
      </w:pPr>
      <w:bookmarkStart w:id="13" w:name="O_376597"/>
      <w:bookmarkEnd w:id="13"/>
      <w:r w:rsidRPr="00C4624B">
        <w:t>Custom Content Section</w:t>
      </w:r>
    </w:p>
    <w:p w:rsidR="00000000" w:rsidRPr="00C4624B" w:rsidP="00C4624B">
      <w:pPr>
        <w:pStyle w:val="BodyText"/>
      </w:pPr>
      <w:r w:rsidRPr="00C4624B">
        <w:t>Not applicable.</w:t>
      </w:r>
    </w:p>
    <w:p w:rsidR="00000000" w:rsidRPr="00C4624B" w:rsidP="00C4624B"/>
    <w:sectPr w:rsidSect="00C462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2A27" w:rsidP="003D2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27" w:rsidP="00C46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2A27" w:rsidP="00C462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D2A27" w:rsidP="00C462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2A27" w:rsidP="003D2A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27" w:rsidP="00C4624B">
    <w:pPr>
      <w:pStyle w:val="Header"/>
      <w:framePr w:wrap="around"/>
    </w:pPr>
    <w:r>
      <w:fldChar w:fldCharType="begin"/>
    </w:r>
    <w:r>
      <w:instrText xml:space="preserve"> TITLE   \* MERGEFORMAT </w:instrText>
    </w:r>
    <w:r>
      <w:fldChar w:fldCharType="separate"/>
    </w:r>
    <w:r>
      <w:t>PMASUP244A Prepare and isolate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2A27" w:rsidP="00C462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6A69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261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526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2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624B"/>
    <w:pPr>
      <w:spacing w:before="360" w:after="60"/>
      <w:outlineLvl w:val="0"/>
    </w:pPr>
    <w:rPr>
      <w:sz w:val="32"/>
    </w:rPr>
  </w:style>
  <w:style w:type="paragraph" w:styleId="Heading2">
    <w:name w:val="heading 2"/>
    <w:basedOn w:val="HeadingBase"/>
    <w:next w:val="BodyText"/>
    <w:link w:val="Heading2Char"/>
    <w:qFormat/>
    <w:rsid w:val="00C4624B"/>
    <w:pPr>
      <w:keepLines/>
      <w:spacing w:before="240" w:after="120"/>
      <w:outlineLvl w:val="1"/>
    </w:pPr>
    <w:rPr>
      <w:sz w:val="28"/>
      <w:szCs w:val="40"/>
    </w:rPr>
  </w:style>
  <w:style w:type="paragraph" w:styleId="Heading3">
    <w:name w:val="heading 3"/>
    <w:basedOn w:val="HeadingBase"/>
    <w:next w:val="BodyText"/>
    <w:link w:val="Heading3Char"/>
    <w:qFormat/>
    <w:rsid w:val="00C4624B"/>
    <w:pPr>
      <w:spacing w:before="180" w:after="120"/>
      <w:outlineLvl w:val="2"/>
    </w:pPr>
    <w:rPr>
      <w:spacing w:val="-10"/>
      <w:kern w:val="32"/>
    </w:rPr>
  </w:style>
  <w:style w:type="paragraph" w:styleId="Heading4">
    <w:name w:val="heading 4"/>
    <w:basedOn w:val="HeadingBase"/>
    <w:next w:val="BodyText"/>
    <w:link w:val="Heading4Char"/>
    <w:qFormat/>
    <w:rsid w:val="00C4624B"/>
    <w:pPr>
      <w:spacing w:before="160" w:after="120"/>
      <w:outlineLvl w:val="3"/>
    </w:pPr>
    <w:rPr>
      <w:sz w:val="22"/>
    </w:rPr>
  </w:style>
  <w:style w:type="paragraph" w:styleId="Heading5">
    <w:name w:val="heading 5"/>
    <w:basedOn w:val="HeadingBase"/>
    <w:next w:val="Normal"/>
    <w:link w:val="Heading5Char"/>
    <w:qFormat/>
    <w:rsid w:val="00C4624B"/>
    <w:pPr>
      <w:spacing w:before="80"/>
      <w:outlineLvl w:val="4"/>
    </w:pPr>
    <w:rPr>
      <w:color w:val="918585"/>
      <w:sz w:val="20"/>
    </w:rPr>
  </w:style>
  <w:style w:type="paragraph" w:styleId="Heading6">
    <w:name w:val="heading 6"/>
    <w:basedOn w:val="HeadingBase"/>
    <w:next w:val="Normal"/>
    <w:link w:val="Heading6Char"/>
    <w:qFormat/>
    <w:rsid w:val="00C4624B"/>
    <w:pPr>
      <w:spacing w:before="60"/>
      <w:outlineLvl w:val="5"/>
    </w:pPr>
    <w:rPr>
      <w:color w:val="918585"/>
      <w:sz w:val="20"/>
    </w:rPr>
  </w:style>
  <w:style w:type="paragraph" w:styleId="Heading7">
    <w:name w:val="heading 7"/>
    <w:basedOn w:val="Normal"/>
    <w:next w:val="Normal"/>
    <w:link w:val="Heading7Char"/>
    <w:qFormat/>
    <w:rsid w:val="00C4624B"/>
    <w:pPr>
      <w:ind w:left="720"/>
      <w:outlineLvl w:val="6"/>
    </w:pPr>
    <w:rPr>
      <w:i/>
    </w:rPr>
  </w:style>
  <w:style w:type="paragraph" w:styleId="Heading8">
    <w:name w:val="heading 8"/>
    <w:basedOn w:val="Normal"/>
    <w:next w:val="Normal"/>
    <w:link w:val="Heading8Char"/>
    <w:qFormat/>
    <w:rsid w:val="00C4624B"/>
    <w:pPr>
      <w:ind w:left="720"/>
      <w:outlineLvl w:val="7"/>
    </w:pPr>
    <w:rPr>
      <w:i/>
    </w:rPr>
  </w:style>
  <w:style w:type="paragraph" w:styleId="Heading9">
    <w:name w:val="heading 9"/>
    <w:basedOn w:val="Normal"/>
    <w:next w:val="Normal"/>
    <w:link w:val="Heading9Char"/>
    <w:qFormat/>
    <w:rsid w:val="00C4624B"/>
    <w:pPr>
      <w:ind w:left="720"/>
      <w:outlineLvl w:val="8"/>
    </w:pPr>
    <w:rPr>
      <w:i/>
    </w:rPr>
  </w:style>
  <w:style w:type="character" w:default="1" w:styleId="DefaultParagraphFont">
    <w:name w:val="Default Paragraph Font"/>
    <w:uiPriority w:val="1"/>
    <w:unhideWhenUsed/>
    <w:rsid w:val="00C46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24B"/>
  </w:style>
  <w:style w:type="character" w:customStyle="1" w:styleId="Heading1Char">
    <w:name w:val="Heading 1 Char"/>
    <w:link w:val="Heading1"/>
    <w:rsid w:val="00C4624B"/>
    <w:rPr>
      <w:rFonts w:ascii="Times New Roman" w:eastAsia="Times New Roman" w:hAnsi="Times New Roman" w:cs="Times New Roman"/>
      <w:b/>
      <w:sz w:val="32"/>
      <w:szCs w:val="20"/>
      <w:lang w:eastAsia="en-US"/>
    </w:rPr>
  </w:style>
  <w:style w:type="paragraph" w:styleId="BodyText">
    <w:name w:val="Body Text"/>
    <w:basedOn w:val="Normal"/>
    <w:link w:val="BodyTextChar"/>
    <w:rsid w:val="00C4624B"/>
    <w:pPr>
      <w:spacing w:before="120" w:after="120"/>
      <w:contextualSpacing/>
    </w:pPr>
    <w:rPr>
      <w:rFonts w:ascii="Times New Roman" w:hAnsi="Times New Roman"/>
      <w:sz w:val="24"/>
      <w:szCs w:val="22"/>
    </w:rPr>
  </w:style>
  <w:style w:type="character" w:customStyle="1" w:styleId="BodyTextChar">
    <w:name w:val="Body Text Char"/>
    <w:link w:val="BodyText"/>
    <w:rsid w:val="00C4624B"/>
    <w:rPr>
      <w:rFonts w:ascii="Times New Roman" w:eastAsia="Times New Roman" w:hAnsi="Times New Roman" w:cs="Times New Roman"/>
      <w:sz w:val="24"/>
      <w:lang w:val="en-US" w:eastAsia="en-US"/>
    </w:rPr>
  </w:style>
  <w:style w:type="paragraph" w:styleId="Footer">
    <w:name w:val="footer"/>
    <w:basedOn w:val="Normal"/>
    <w:link w:val="FooterChar"/>
    <w:rsid w:val="00C46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4624B"/>
    <w:rPr>
      <w:rFonts w:ascii="Times New Roman" w:eastAsia="Times New Roman" w:hAnsi="Times New Roman" w:cs="Times New Roman"/>
      <w:sz w:val="16"/>
      <w:lang w:val="en-US" w:eastAsia="en-US"/>
    </w:rPr>
  </w:style>
  <w:style w:type="paragraph" w:styleId="ListBullet">
    <w:name w:val="List Bullet"/>
    <w:basedOn w:val="List"/>
    <w:rsid w:val="00C4624B"/>
    <w:pPr>
      <w:numPr>
        <w:numId w:val="13"/>
      </w:numPr>
      <w:tabs>
        <w:tab w:val="clear" w:pos="340"/>
      </w:tabs>
      <w:spacing w:before="40" w:after="40"/>
    </w:pPr>
  </w:style>
  <w:style w:type="character" w:customStyle="1" w:styleId="SpecialBold">
    <w:name w:val="Special Bold"/>
    <w:rsid w:val="00C4624B"/>
    <w:rPr>
      <w:b/>
      <w:spacing w:val="0"/>
    </w:rPr>
  </w:style>
  <w:style w:type="paragraph" w:styleId="ListBullet2">
    <w:name w:val="List Bullet 2"/>
    <w:basedOn w:val="List2"/>
    <w:rsid w:val="00C4624B"/>
    <w:pPr>
      <w:numPr>
        <w:numId w:val="14"/>
      </w:numPr>
      <w:tabs>
        <w:tab w:val="clear" w:pos="680"/>
      </w:tabs>
    </w:pPr>
  </w:style>
  <w:style w:type="paragraph" w:styleId="Header">
    <w:name w:val="header"/>
    <w:basedOn w:val="Normal"/>
    <w:link w:val="HeaderChar"/>
    <w:rsid w:val="00C46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462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624B"/>
    <w:pPr>
      <w:spacing w:before="240" w:after="120"/>
      <w:outlineLvl w:val="0"/>
    </w:pPr>
    <w:rPr>
      <w:rFonts w:ascii="Times New Roman" w:hAnsi="Times New Roman"/>
      <w:b/>
      <w:sz w:val="28"/>
    </w:rPr>
  </w:style>
  <w:style w:type="paragraph" w:customStyle="1" w:styleId="AllowPageBreak">
    <w:name w:val="AllowPageBreak"/>
    <w:rsid w:val="00C462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4624B"/>
    <w:rPr>
      <w:rFonts w:ascii="Times New Roman" w:eastAsia="Times New Roman" w:hAnsi="Times New Roman" w:cs="Times New Roman"/>
      <w:b/>
      <w:sz w:val="28"/>
      <w:szCs w:val="40"/>
      <w:lang w:eastAsia="en-US"/>
    </w:rPr>
  </w:style>
  <w:style w:type="character" w:customStyle="1" w:styleId="Heading3Char">
    <w:name w:val="Heading 3 Char"/>
    <w:link w:val="Heading3"/>
    <w:rsid w:val="00C4624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4624B"/>
    <w:rPr>
      <w:rFonts w:ascii="Times New Roman" w:eastAsia="Times New Roman" w:hAnsi="Times New Roman" w:cs="Times New Roman"/>
      <w:b/>
      <w:szCs w:val="20"/>
      <w:lang w:eastAsia="en-US"/>
    </w:rPr>
  </w:style>
  <w:style w:type="character" w:customStyle="1" w:styleId="Heading5Char">
    <w:name w:val="Heading 5 Char"/>
    <w:link w:val="Heading5"/>
    <w:rsid w:val="00C4624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46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2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62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624B"/>
    <w:rPr>
      <w:rFonts w:ascii="Courier New" w:eastAsia="Times New Roman" w:hAnsi="Courier New" w:cs="Times New Roman"/>
      <w:i/>
      <w:szCs w:val="20"/>
      <w:lang w:val="en-US" w:eastAsia="en-US"/>
    </w:rPr>
  </w:style>
  <w:style w:type="paragraph" w:customStyle="1" w:styleId="HeadingBase">
    <w:name w:val="Heading Base"/>
    <w:rsid w:val="00C46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24B"/>
    <w:pPr>
      <w:tabs>
        <w:tab w:val="right" w:leader="dot" w:pos="9072"/>
      </w:tabs>
      <w:ind w:left="567"/>
    </w:pPr>
    <w:rPr>
      <w:szCs w:val="22"/>
    </w:rPr>
  </w:style>
  <w:style w:type="paragraph" w:customStyle="1" w:styleId="TOCBase">
    <w:name w:val="TOC Base"/>
    <w:rsid w:val="00C46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24B"/>
    <w:pPr>
      <w:tabs>
        <w:tab w:val="right" w:leader="dot" w:pos="9072"/>
      </w:tabs>
      <w:spacing w:before="40" w:after="40"/>
      <w:ind w:left="284"/>
    </w:pPr>
    <w:rPr>
      <w:rFonts w:ascii="Times New Roman" w:hAnsi="Times New Roman"/>
    </w:rPr>
  </w:style>
  <w:style w:type="paragraph" w:styleId="TOC1">
    <w:name w:val="toc 1"/>
    <w:basedOn w:val="TOCBase"/>
    <w:next w:val="Normal"/>
    <w:rsid w:val="00C462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624B"/>
    <w:pPr>
      <w:spacing w:before="5040"/>
      <w:jc w:val="center"/>
    </w:pPr>
    <w:rPr>
      <w:sz w:val="48"/>
      <w:szCs w:val="72"/>
      <w:lang w:val="en-US"/>
    </w:rPr>
  </w:style>
  <w:style w:type="character" w:customStyle="1" w:styleId="TitleChar">
    <w:name w:val="Title Char"/>
    <w:link w:val="Title"/>
    <w:rsid w:val="00C46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24B"/>
    <w:pPr>
      <w:tabs>
        <w:tab w:val="left" w:pos="3600"/>
        <w:tab w:val="left" w:pos="3958"/>
      </w:tabs>
    </w:pPr>
  </w:style>
  <w:style w:type="paragraph" w:styleId="List">
    <w:name w:val="List"/>
    <w:basedOn w:val="BodyText"/>
    <w:next w:val="BodyText"/>
    <w:rsid w:val="00C4624B"/>
    <w:pPr>
      <w:tabs>
        <w:tab w:val="left" w:pos="340"/>
      </w:tabs>
      <w:spacing w:before="60" w:after="60"/>
      <w:ind w:left="340" w:hanging="340"/>
    </w:pPr>
  </w:style>
  <w:style w:type="paragraph" w:customStyle="1" w:styleId="Note">
    <w:name w:val="Note"/>
    <w:basedOn w:val="BodyText"/>
    <w:rsid w:val="00C46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24B"/>
    <w:pPr>
      <w:framePr w:wrap="auto" w:hAnchor="text" w:y="6049"/>
    </w:pPr>
    <w:rPr>
      <w:color w:val="000000"/>
      <w:sz w:val="40"/>
    </w:rPr>
  </w:style>
  <w:style w:type="paragraph" w:customStyle="1" w:styleId="TOCTitle">
    <w:name w:val="TOCTitle"/>
    <w:basedOn w:val="Heading1"/>
    <w:rsid w:val="00C4624B"/>
    <w:pPr>
      <w:spacing w:after="240"/>
      <w:jc w:val="center"/>
      <w:outlineLvl w:val="9"/>
    </w:pPr>
    <w:rPr>
      <w:caps/>
    </w:rPr>
  </w:style>
  <w:style w:type="paragraph" w:customStyle="1" w:styleId="Version">
    <w:name w:val="Version"/>
    <w:rsid w:val="00C462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24B"/>
    <w:pPr>
      <w:keepNext w:val="0"/>
      <w:tabs>
        <w:tab w:val="right" w:pos="4176"/>
      </w:tabs>
      <w:ind w:left="198" w:hanging="198"/>
    </w:pPr>
    <w:rPr>
      <w:rFonts w:ascii="Garamond" w:hAnsi="Garamond"/>
    </w:rPr>
  </w:style>
  <w:style w:type="paragraph" w:styleId="IndexHeading">
    <w:name w:val="index heading"/>
    <w:basedOn w:val="Normal"/>
    <w:next w:val="Index1"/>
    <w:semiHidden/>
    <w:rsid w:val="00C4624B"/>
    <w:pPr>
      <w:spacing w:before="120" w:after="120"/>
    </w:pPr>
    <w:rPr>
      <w:rFonts w:ascii="Arial" w:hAnsi="Arial"/>
      <w:b/>
      <w:color w:val="918585"/>
      <w:sz w:val="24"/>
    </w:rPr>
  </w:style>
  <w:style w:type="paragraph" w:customStyle="1" w:styleId="Chapter">
    <w:name w:val="Chapter"/>
    <w:basedOn w:val="Normal"/>
    <w:rsid w:val="00C4624B"/>
    <w:pPr>
      <w:spacing w:before="240"/>
    </w:pPr>
    <w:rPr>
      <w:rFonts w:ascii="Times New Roman" w:hAnsi="Times New Roman"/>
      <w:smallCaps/>
      <w:spacing w:val="80"/>
      <w:sz w:val="28"/>
    </w:rPr>
  </w:style>
  <w:style w:type="paragraph" w:customStyle="1" w:styleId="InChapter">
    <w:name w:val="InChapter"/>
    <w:basedOn w:val="Heading3"/>
    <w:rsid w:val="00C4624B"/>
    <w:pPr>
      <w:spacing w:after="240"/>
      <w:outlineLvl w:val="9"/>
    </w:pPr>
    <w:rPr>
      <w:noProof/>
    </w:rPr>
  </w:style>
  <w:style w:type="paragraph" w:styleId="Index2">
    <w:name w:val="index 2"/>
    <w:basedOn w:val="Normal"/>
    <w:next w:val="Normal"/>
    <w:semiHidden/>
    <w:rsid w:val="00C4624B"/>
    <w:pPr>
      <w:tabs>
        <w:tab w:val="right" w:pos="4176"/>
      </w:tabs>
      <w:ind w:left="568" w:hanging="284"/>
    </w:pPr>
    <w:rPr>
      <w:rFonts w:ascii="Garamond" w:hAnsi="Garamond"/>
    </w:rPr>
  </w:style>
  <w:style w:type="paragraph" w:customStyle="1" w:styleId="Byline">
    <w:name w:val="Byline"/>
    <w:rsid w:val="00C46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24B"/>
    <w:pPr>
      <w:tabs>
        <w:tab w:val="clear" w:pos="3600"/>
        <w:tab w:val="clear" w:pos="3958"/>
      </w:tabs>
      <w:jc w:val="right"/>
    </w:pPr>
  </w:style>
  <w:style w:type="character" w:styleId="Emphasis">
    <w:name w:val="Emphasis"/>
    <w:qFormat/>
    <w:rsid w:val="00C4624B"/>
    <w:rPr>
      <w:i/>
    </w:rPr>
  </w:style>
  <w:style w:type="paragraph" w:styleId="Caption">
    <w:name w:val="caption"/>
    <w:basedOn w:val="BodyText"/>
    <w:next w:val="Normal"/>
    <w:qFormat/>
    <w:rsid w:val="00C4624B"/>
    <w:pPr>
      <w:framePr w:w="2268" w:hSpace="181" w:vSpace="181" w:wrap="around" w:vAnchor="text" w:hAnchor="page" w:x="1135" w:y="285" w:anchorLock="1"/>
    </w:pPr>
    <w:rPr>
      <w:i/>
    </w:rPr>
  </w:style>
  <w:style w:type="paragraph" w:customStyle="1" w:styleId="MiniTOCTitle">
    <w:name w:val="MiniTOCTitle"/>
    <w:basedOn w:val="Heading4"/>
    <w:rsid w:val="00C4624B"/>
    <w:pPr>
      <w:spacing w:before="240"/>
      <w:outlineLvl w:val="9"/>
    </w:pPr>
    <w:rPr>
      <w:noProof/>
      <w:sz w:val="24"/>
    </w:rPr>
  </w:style>
  <w:style w:type="paragraph" w:customStyle="1" w:styleId="MiniTOCItem">
    <w:name w:val="MiniTOCItem"/>
    <w:basedOn w:val="ListBullet"/>
    <w:rsid w:val="00C4624B"/>
    <w:pPr>
      <w:numPr>
        <w:numId w:val="0"/>
      </w:numPr>
      <w:tabs>
        <w:tab w:val="right" w:leader="dot" w:pos="6521"/>
      </w:tabs>
      <w:spacing w:before="0" w:after="0"/>
    </w:pPr>
  </w:style>
  <w:style w:type="paragraph" w:customStyle="1" w:styleId="TOFTitle">
    <w:name w:val="TOFTitle"/>
    <w:basedOn w:val="TOCTitle"/>
    <w:rsid w:val="00C4624B"/>
  </w:style>
  <w:style w:type="paragraph" w:styleId="TableofFigures">
    <w:name w:val="table of figures"/>
    <w:basedOn w:val="Normal"/>
    <w:next w:val="Normal"/>
    <w:semiHidden/>
    <w:rsid w:val="00C4624B"/>
    <w:pPr>
      <w:tabs>
        <w:tab w:val="right" w:leader="dot" w:pos="9072"/>
      </w:tabs>
      <w:ind w:left="970" w:hanging="403"/>
    </w:pPr>
    <w:rPr>
      <w:rFonts w:ascii="Times New Roman" w:hAnsi="Times New Roman"/>
      <w:b/>
    </w:rPr>
  </w:style>
  <w:style w:type="paragraph" w:styleId="ListNumber">
    <w:name w:val="List Number"/>
    <w:basedOn w:val="List"/>
    <w:rsid w:val="00C4624B"/>
    <w:pPr>
      <w:numPr>
        <w:numId w:val="11"/>
      </w:numPr>
    </w:pPr>
  </w:style>
  <w:style w:type="character" w:customStyle="1" w:styleId="WingdingSymbols">
    <w:name w:val="Wingding Symbols"/>
    <w:rsid w:val="00C4624B"/>
    <w:rPr>
      <w:rFonts w:ascii="Wingdings" w:hAnsi="Wingdings"/>
    </w:rPr>
  </w:style>
  <w:style w:type="paragraph" w:customStyle="1" w:styleId="TableHeading">
    <w:name w:val="Table Heading"/>
    <w:basedOn w:val="HeadingBase"/>
    <w:rsid w:val="00C4624B"/>
    <w:pPr>
      <w:keepLines/>
      <w:pBdr>
        <w:bottom w:val="single" w:sz="6" w:space="1" w:color="918585"/>
      </w:pBdr>
      <w:spacing w:before="240"/>
    </w:pPr>
  </w:style>
  <w:style w:type="character" w:customStyle="1" w:styleId="HotSpot">
    <w:name w:val="HotSpot"/>
    <w:rsid w:val="00C4624B"/>
    <w:rPr>
      <w:color w:val="0033CC"/>
      <w:u w:val="none"/>
    </w:rPr>
  </w:style>
  <w:style w:type="paragraph" w:customStyle="1" w:styleId="BodyTextRight">
    <w:name w:val="Body Text Right"/>
    <w:basedOn w:val="BodyText"/>
    <w:rsid w:val="00C4624B"/>
    <w:pPr>
      <w:spacing w:before="0" w:after="0"/>
      <w:jc w:val="right"/>
    </w:pPr>
  </w:style>
  <w:style w:type="paragraph" w:styleId="Index3">
    <w:name w:val="index 3"/>
    <w:basedOn w:val="ListNumber2"/>
    <w:next w:val="Normal"/>
    <w:semiHidden/>
    <w:rsid w:val="00C4624B"/>
    <w:pPr>
      <w:numPr>
        <w:numId w:val="0"/>
      </w:numPr>
      <w:tabs>
        <w:tab w:val="right" w:leader="dot" w:pos="4176"/>
      </w:tabs>
    </w:pPr>
  </w:style>
  <w:style w:type="paragraph" w:styleId="ListNumber2">
    <w:name w:val="List Number 2"/>
    <w:basedOn w:val="List2"/>
    <w:rsid w:val="00C4624B"/>
    <w:pPr>
      <w:numPr>
        <w:numId w:val="10"/>
      </w:numPr>
      <w:tabs>
        <w:tab w:val="clear" w:pos="1060"/>
      </w:tabs>
    </w:pPr>
  </w:style>
  <w:style w:type="paragraph" w:customStyle="1" w:styleId="MarginNote">
    <w:name w:val="Margin Note"/>
    <w:basedOn w:val="BodyText"/>
    <w:rsid w:val="00C46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462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624B"/>
    <w:rPr>
      <w:sz w:val="32"/>
    </w:rPr>
  </w:style>
  <w:style w:type="paragraph" w:customStyle="1" w:styleId="HeadingProcedure">
    <w:name w:val="Heading Procedure"/>
    <w:basedOn w:val="HeadingBase"/>
    <w:next w:val="Normal"/>
    <w:rsid w:val="00C4624B"/>
    <w:pPr>
      <w:tabs>
        <w:tab w:val="left" w:pos="0"/>
      </w:tabs>
      <w:spacing w:before="120" w:after="60"/>
    </w:pPr>
    <w:rPr>
      <w:i/>
      <w:color w:val="918585"/>
      <w:sz w:val="22"/>
    </w:rPr>
  </w:style>
  <w:style w:type="paragraph" w:customStyle="1" w:styleId="TableBodyText">
    <w:name w:val="Table Body Text"/>
    <w:basedOn w:val="BodyText"/>
    <w:rsid w:val="00C4624B"/>
    <w:pPr>
      <w:spacing w:before="60" w:after="60"/>
    </w:pPr>
  </w:style>
  <w:style w:type="paragraph" w:styleId="ListContinue">
    <w:name w:val="List Continue"/>
    <w:basedOn w:val="List"/>
    <w:rsid w:val="00C4624B"/>
    <w:pPr>
      <w:ind w:firstLine="0"/>
    </w:pPr>
  </w:style>
  <w:style w:type="paragraph" w:customStyle="1" w:styleId="ListNote">
    <w:name w:val="List Note"/>
    <w:basedOn w:val="List"/>
    <w:rsid w:val="00C4624B"/>
    <w:pPr>
      <w:pBdr>
        <w:top w:val="single" w:sz="6" w:space="2" w:color="918585"/>
        <w:bottom w:val="single" w:sz="6" w:space="2" w:color="918585"/>
      </w:pBdr>
      <w:tabs>
        <w:tab w:val="left" w:pos="1021"/>
      </w:tabs>
      <w:ind w:firstLine="0"/>
    </w:pPr>
  </w:style>
  <w:style w:type="paragraph" w:customStyle="1" w:styleId="Warning">
    <w:name w:val="Warning"/>
    <w:basedOn w:val="BodyText"/>
    <w:rsid w:val="00C4624B"/>
    <w:pPr>
      <w:shd w:val="clear" w:color="auto" w:fill="D9D9D9"/>
      <w:tabs>
        <w:tab w:val="left" w:pos="992"/>
      </w:tabs>
      <w:ind w:left="119" w:right="119"/>
    </w:pPr>
    <w:rPr>
      <w:sz w:val="20"/>
    </w:rPr>
  </w:style>
  <w:style w:type="paragraph" w:customStyle="1" w:styleId="MarginIcons">
    <w:name w:val="Margin Icons"/>
    <w:basedOn w:val="BodyText"/>
    <w:rsid w:val="00C4624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4624B"/>
    <w:rPr>
      <w:rFonts w:ascii="Courier New" w:hAnsi="Courier New"/>
    </w:rPr>
  </w:style>
  <w:style w:type="paragraph" w:customStyle="1" w:styleId="NoteBullet">
    <w:name w:val="Note Bullet"/>
    <w:basedOn w:val="Note"/>
    <w:rsid w:val="00C4624B"/>
    <w:pPr>
      <w:tabs>
        <w:tab w:val="clear" w:pos="680"/>
      </w:tabs>
      <w:spacing w:before="60" w:after="60"/>
    </w:pPr>
  </w:style>
  <w:style w:type="paragraph" w:customStyle="1" w:styleId="SubHeading2">
    <w:name w:val="SubHeading2"/>
    <w:basedOn w:val="HeadingBase"/>
    <w:rsid w:val="00C4624B"/>
    <w:pPr>
      <w:spacing w:before="240" w:after="60"/>
    </w:pPr>
    <w:rPr>
      <w:sz w:val="20"/>
    </w:rPr>
  </w:style>
  <w:style w:type="paragraph" w:customStyle="1" w:styleId="SubHeading1">
    <w:name w:val="SubHeading1"/>
    <w:basedOn w:val="HeadingBase"/>
    <w:rsid w:val="00C4624B"/>
    <w:pPr>
      <w:spacing w:before="240" w:after="60"/>
    </w:pPr>
    <w:rPr>
      <w:color w:val="918585"/>
      <w:sz w:val="22"/>
    </w:rPr>
  </w:style>
  <w:style w:type="paragraph" w:customStyle="1" w:styleId="SideHeading">
    <w:name w:val="Side Heading"/>
    <w:basedOn w:val="HeadingBase"/>
    <w:rsid w:val="00C46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24B"/>
    <w:pPr>
      <w:numPr>
        <w:numId w:val="12"/>
      </w:numPr>
    </w:pPr>
  </w:style>
  <w:style w:type="paragraph" w:styleId="PlainText">
    <w:name w:val="Plain Text"/>
    <w:basedOn w:val="Normal"/>
    <w:link w:val="PlainTextChar"/>
    <w:rsid w:val="00C4624B"/>
    <w:rPr>
      <w:sz w:val="20"/>
    </w:rPr>
  </w:style>
  <w:style w:type="character" w:customStyle="1" w:styleId="PlainTextChar">
    <w:name w:val="Plain Text Char"/>
    <w:basedOn w:val="DefaultParagraphFont"/>
    <w:link w:val="PlainText"/>
    <w:rsid w:val="00C4624B"/>
    <w:rPr>
      <w:rFonts w:ascii="Courier New" w:eastAsia="Times New Roman" w:hAnsi="Courier New" w:cs="Times New Roman"/>
      <w:sz w:val="20"/>
      <w:szCs w:val="20"/>
      <w:lang w:val="en-US" w:eastAsia="en-US"/>
    </w:rPr>
  </w:style>
  <w:style w:type="character" w:customStyle="1" w:styleId="MenuOption">
    <w:name w:val="Menu Option"/>
    <w:rsid w:val="00C4624B"/>
    <w:rPr>
      <w:b/>
      <w:smallCaps/>
    </w:rPr>
  </w:style>
  <w:style w:type="paragraph" w:customStyle="1" w:styleId="TableListNumber">
    <w:name w:val="Table List Number"/>
    <w:basedOn w:val="ListNumber"/>
    <w:rsid w:val="00C4624B"/>
    <w:pPr>
      <w:numPr>
        <w:numId w:val="0"/>
      </w:numPr>
    </w:pPr>
  </w:style>
  <w:style w:type="paragraph" w:styleId="TOC4">
    <w:name w:val="toc 4"/>
    <w:basedOn w:val="TOCBase"/>
    <w:next w:val="Normal"/>
    <w:semiHidden/>
    <w:rsid w:val="00C4624B"/>
    <w:pPr>
      <w:tabs>
        <w:tab w:val="right" w:leader="dot" w:pos="9071"/>
      </w:tabs>
      <w:ind w:left="1701"/>
    </w:pPr>
  </w:style>
  <w:style w:type="paragraph" w:customStyle="1" w:styleId="ListAlpha">
    <w:name w:val="List Alpha"/>
    <w:basedOn w:val="List"/>
    <w:rsid w:val="00C4624B"/>
    <w:pPr>
      <w:numPr>
        <w:numId w:val="9"/>
      </w:numPr>
    </w:pPr>
  </w:style>
  <w:style w:type="paragraph" w:customStyle="1" w:styleId="ListAlpha2">
    <w:name w:val="List Alpha 2"/>
    <w:basedOn w:val="List2"/>
    <w:rsid w:val="00C4624B"/>
    <w:pPr>
      <w:numPr>
        <w:numId w:val="8"/>
      </w:numPr>
    </w:pPr>
  </w:style>
  <w:style w:type="paragraph" w:styleId="List2">
    <w:name w:val="List 2"/>
    <w:basedOn w:val="BodyText"/>
    <w:rsid w:val="00C4624B"/>
    <w:pPr>
      <w:tabs>
        <w:tab w:val="left" w:pos="680"/>
      </w:tabs>
      <w:spacing w:before="60" w:after="60"/>
      <w:ind w:left="680" w:hanging="340"/>
    </w:pPr>
  </w:style>
  <w:style w:type="paragraph" w:styleId="List3">
    <w:name w:val="List 3"/>
    <w:basedOn w:val="BodyText"/>
    <w:rsid w:val="00C4624B"/>
    <w:pPr>
      <w:tabs>
        <w:tab w:val="left" w:pos="1021"/>
      </w:tabs>
      <w:spacing w:before="60" w:after="60"/>
      <w:ind w:left="1020" w:hanging="340"/>
    </w:pPr>
  </w:style>
  <w:style w:type="paragraph" w:styleId="List4">
    <w:name w:val="List 4"/>
    <w:basedOn w:val="BodyText"/>
    <w:rsid w:val="00C4624B"/>
    <w:pPr>
      <w:tabs>
        <w:tab w:val="left" w:pos="1361"/>
      </w:tabs>
      <w:spacing w:before="60" w:after="60"/>
      <w:ind w:left="1361" w:hanging="340"/>
    </w:pPr>
  </w:style>
  <w:style w:type="paragraph" w:styleId="List5">
    <w:name w:val="List 5"/>
    <w:basedOn w:val="BodyText"/>
    <w:rsid w:val="00C4624B"/>
    <w:pPr>
      <w:tabs>
        <w:tab w:val="left" w:pos="1701"/>
      </w:tabs>
      <w:spacing w:before="60" w:after="60"/>
      <w:ind w:left="1701" w:hanging="340"/>
    </w:pPr>
  </w:style>
  <w:style w:type="paragraph" w:styleId="ListBullet3">
    <w:name w:val="List Bullet 3"/>
    <w:basedOn w:val="List3"/>
    <w:rsid w:val="00C4624B"/>
    <w:pPr>
      <w:numPr>
        <w:numId w:val="15"/>
      </w:numPr>
      <w:tabs>
        <w:tab w:val="clear" w:pos="1021"/>
      </w:tabs>
      <w:ind w:left="1037" w:hanging="357"/>
    </w:pPr>
  </w:style>
  <w:style w:type="paragraph" w:styleId="ListBullet4">
    <w:name w:val="List Bullet 4"/>
    <w:basedOn w:val="List4"/>
    <w:rsid w:val="00C4624B"/>
    <w:pPr>
      <w:numPr>
        <w:numId w:val="3"/>
      </w:numPr>
    </w:pPr>
  </w:style>
  <w:style w:type="paragraph" w:styleId="ListBullet5">
    <w:name w:val="List Bullet 5"/>
    <w:basedOn w:val="List5"/>
    <w:rsid w:val="00C4624B"/>
    <w:pPr>
      <w:numPr>
        <w:numId w:val="4"/>
      </w:numPr>
    </w:pPr>
  </w:style>
  <w:style w:type="paragraph" w:styleId="ListContinue2">
    <w:name w:val="List Continue 2"/>
    <w:basedOn w:val="List2"/>
    <w:rsid w:val="00C4624B"/>
    <w:pPr>
      <w:ind w:firstLine="0"/>
    </w:pPr>
  </w:style>
  <w:style w:type="paragraph" w:styleId="ListContinue3">
    <w:name w:val="List Continue 3"/>
    <w:basedOn w:val="List3"/>
    <w:rsid w:val="00C4624B"/>
    <w:pPr>
      <w:ind w:left="1021" w:firstLine="0"/>
    </w:pPr>
  </w:style>
  <w:style w:type="paragraph" w:styleId="ListContinue4">
    <w:name w:val="List Continue 4"/>
    <w:basedOn w:val="List4"/>
    <w:rsid w:val="00C4624B"/>
    <w:pPr>
      <w:ind w:firstLine="0"/>
    </w:pPr>
  </w:style>
  <w:style w:type="paragraph" w:styleId="ListContinue5">
    <w:name w:val="List Continue 5"/>
    <w:basedOn w:val="List5"/>
    <w:rsid w:val="00C4624B"/>
    <w:pPr>
      <w:ind w:firstLine="0"/>
    </w:pPr>
  </w:style>
  <w:style w:type="paragraph" w:styleId="ListNumber3">
    <w:name w:val="List Number 3"/>
    <w:basedOn w:val="List3"/>
    <w:rsid w:val="00C4624B"/>
    <w:pPr>
      <w:numPr>
        <w:numId w:val="5"/>
      </w:numPr>
    </w:pPr>
  </w:style>
  <w:style w:type="paragraph" w:styleId="ListNumber4">
    <w:name w:val="List Number 4"/>
    <w:basedOn w:val="List4"/>
    <w:rsid w:val="00C4624B"/>
    <w:pPr>
      <w:numPr>
        <w:numId w:val="6"/>
      </w:numPr>
    </w:pPr>
  </w:style>
  <w:style w:type="paragraph" w:styleId="ListNumber5">
    <w:name w:val="List Number 5"/>
    <w:basedOn w:val="List5"/>
    <w:rsid w:val="00C4624B"/>
    <w:pPr>
      <w:numPr>
        <w:numId w:val="7"/>
      </w:numPr>
    </w:pPr>
  </w:style>
  <w:style w:type="paragraph" w:styleId="BlockText">
    <w:name w:val="Block Text"/>
    <w:basedOn w:val="Normal"/>
    <w:rsid w:val="00C4624B"/>
    <w:pPr>
      <w:spacing w:after="120"/>
      <w:ind w:left="1440" w:right="1440"/>
    </w:pPr>
  </w:style>
  <w:style w:type="character" w:customStyle="1" w:styleId="Subscript">
    <w:name w:val="Subscript"/>
    <w:rsid w:val="00C4624B"/>
    <w:rPr>
      <w:sz w:val="16"/>
      <w:vertAlign w:val="subscript"/>
    </w:rPr>
  </w:style>
  <w:style w:type="character" w:customStyle="1" w:styleId="Superscript">
    <w:name w:val="Superscript"/>
    <w:rsid w:val="00C4624B"/>
    <w:rPr>
      <w:sz w:val="16"/>
      <w:vertAlign w:val="superscript"/>
    </w:rPr>
  </w:style>
  <w:style w:type="character" w:customStyle="1" w:styleId="Symbols">
    <w:name w:val="Symbols"/>
    <w:rsid w:val="00C4624B"/>
    <w:rPr>
      <w:rFonts w:ascii="Symbol" w:hAnsi="Symbol"/>
    </w:rPr>
  </w:style>
  <w:style w:type="character" w:customStyle="1" w:styleId="MenuOptions">
    <w:name w:val="Menu Options"/>
    <w:rsid w:val="00C4624B"/>
    <w:rPr>
      <w:rFonts w:ascii="Arial Narrow" w:hAnsi="Arial Narrow"/>
      <w:smallCaps/>
    </w:rPr>
  </w:style>
  <w:style w:type="character" w:customStyle="1" w:styleId="Buttons">
    <w:name w:val="Buttons"/>
    <w:rsid w:val="00C4624B"/>
    <w:rPr>
      <w:b/>
    </w:rPr>
  </w:style>
  <w:style w:type="character" w:customStyle="1" w:styleId="Underlined">
    <w:name w:val="Underlined"/>
    <w:rsid w:val="00C4624B"/>
    <w:rPr>
      <w:u w:val="single"/>
    </w:rPr>
  </w:style>
  <w:style w:type="paragraph" w:customStyle="1" w:styleId="TableBodyTextRight">
    <w:name w:val="Table Body Text Right"/>
    <w:basedOn w:val="TableBodyText"/>
    <w:rsid w:val="00C4624B"/>
    <w:pPr>
      <w:widowControl w:val="0"/>
      <w:autoSpaceDE w:val="0"/>
      <w:autoSpaceDN w:val="0"/>
      <w:adjustRightInd w:val="0"/>
      <w:jc w:val="right"/>
    </w:pPr>
    <w:rPr>
      <w:rFonts w:cs="Arial"/>
      <w:szCs w:val="18"/>
    </w:rPr>
  </w:style>
  <w:style w:type="paragraph" w:customStyle="1" w:styleId="CopyrightText">
    <w:name w:val="Copyright Text"/>
    <w:basedOn w:val="BodyText"/>
    <w:rsid w:val="00C4624B"/>
    <w:rPr>
      <w:sz w:val="18"/>
    </w:rPr>
  </w:style>
  <w:style w:type="paragraph" w:customStyle="1" w:styleId="BodySmallRight">
    <w:name w:val="Body Small Right"/>
    <w:basedOn w:val="BodyTextRight"/>
    <w:rsid w:val="00C4624B"/>
    <w:rPr>
      <w:sz w:val="18"/>
      <w:szCs w:val="18"/>
    </w:rPr>
  </w:style>
  <w:style w:type="paragraph" w:customStyle="1" w:styleId="MarginEdition">
    <w:name w:val="Margin Edition"/>
    <w:basedOn w:val="MarginNote"/>
    <w:rsid w:val="00C4624B"/>
    <w:pPr>
      <w:spacing w:before="0" w:after="0"/>
    </w:pPr>
    <w:rPr>
      <w:rFonts w:ascii="Times New Roman" w:hAnsi="Times New Roman"/>
      <w:color w:val="999999"/>
    </w:rPr>
  </w:style>
  <w:style w:type="paragraph" w:customStyle="1" w:styleId="Spacer">
    <w:name w:val="Spacer"/>
    <w:basedOn w:val="Normal"/>
    <w:rsid w:val="00C4624B"/>
    <w:rPr>
      <w:sz w:val="2"/>
      <w:szCs w:val="2"/>
    </w:rPr>
  </w:style>
  <w:style w:type="character" w:customStyle="1" w:styleId="Small">
    <w:name w:val="Small"/>
    <w:rsid w:val="00C4624B"/>
    <w:rPr>
      <w:sz w:val="16"/>
    </w:rPr>
  </w:style>
  <w:style w:type="paragraph" w:customStyle="1" w:styleId="WideTable">
    <w:name w:val="Wide Table"/>
    <w:basedOn w:val="Normal"/>
    <w:rsid w:val="00C4624B"/>
    <w:pPr>
      <w:ind w:left="-1418"/>
    </w:pPr>
    <w:rPr>
      <w:sz w:val="2"/>
      <w:szCs w:val="2"/>
    </w:rPr>
  </w:style>
  <w:style w:type="character" w:styleId="PageNumber">
    <w:name w:val="page number"/>
    <w:rsid w:val="00C4624B"/>
  </w:style>
  <w:style w:type="paragraph" w:styleId="Quote">
    <w:name w:val="Quote"/>
    <w:basedOn w:val="Heading1"/>
    <w:link w:val="QuoteChar"/>
    <w:qFormat/>
    <w:rsid w:val="00C4624B"/>
    <w:rPr>
      <w:b w:val="0"/>
      <w:sz w:val="72"/>
      <w:szCs w:val="72"/>
      <w:lang w:val="en-NZ"/>
    </w:rPr>
  </w:style>
  <w:style w:type="character" w:customStyle="1" w:styleId="QuoteChar">
    <w:name w:val="Quote Char"/>
    <w:link w:val="Quote"/>
    <w:rsid w:val="00C46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24B"/>
    <w:pPr>
      <w:pageBreakBefore/>
    </w:pPr>
  </w:style>
  <w:style w:type="paragraph" w:customStyle="1" w:styleId="Border">
    <w:name w:val="Border"/>
    <w:basedOn w:val="Normal"/>
    <w:qFormat/>
    <w:rsid w:val="00C4624B"/>
    <w:pPr>
      <w:pBdr>
        <w:top w:val="single" w:sz="18" w:space="1" w:color="auto"/>
      </w:pBdr>
    </w:pPr>
    <w:rPr>
      <w:rFonts w:ascii="Times New Roman" w:hAnsi="Times New Roman"/>
      <w:color w:val="FFFFFF"/>
      <w:sz w:val="2"/>
    </w:rPr>
  </w:style>
  <w:style w:type="character" w:styleId="IntenseEmphasis">
    <w:name w:val="Intense Emphasis"/>
    <w:uiPriority w:val="21"/>
    <w:qFormat/>
    <w:rsid w:val="00C4624B"/>
    <w:rPr>
      <w:b/>
      <w:bCs/>
      <w:i/>
      <w:iCs/>
      <w:color w:val="auto"/>
    </w:rPr>
  </w:style>
  <w:style w:type="paragraph" w:styleId="IntenseQuote">
    <w:name w:val="Intense Quote"/>
    <w:basedOn w:val="Normal"/>
    <w:next w:val="Normal"/>
    <w:link w:val="IntenseQuoteChar"/>
    <w:uiPriority w:val="30"/>
    <w:qFormat/>
    <w:rsid w:val="00C4624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4624B"/>
    <w:rPr>
      <w:rFonts w:ascii="Courier New" w:eastAsia="Times New Roman" w:hAnsi="Courier New" w:cs="Times New Roman"/>
      <w:b/>
      <w:bCs/>
      <w:i/>
      <w:iCs/>
      <w:szCs w:val="20"/>
      <w:lang w:val="en-US" w:eastAsia="en-US"/>
    </w:rPr>
  </w:style>
  <w:style w:type="character" w:styleId="SubtleReference">
    <w:name w:val="Subtle Reference"/>
    <w:uiPriority w:val="31"/>
    <w:qFormat/>
    <w:rsid w:val="00C4624B"/>
    <w:rPr>
      <w:smallCaps/>
      <w:color w:val="auto"/>
      <w:u w:val="single"/>
    </w:rPr>
  </w:style>
  <w:style w:type="character" w:styleId="IntenseReference">
    <w:name w:val="Intense Reference"/>
    <w:uiPriority w:val="32"/>
    <w:qFormat/>
    <w:rsid w:val="00C4624B"/>
    <w:rPr>
      <w:b/>
      <w:bCs/>
      <w:smallCaps/>
      <w:color w:val="auto"/>
      <w:spacing w:val="5"/>
      <w:u w:val="single"/>
    </w:rPr>
  </w:style>
  <w:style w:type="paragraph" w:customStyle="1" w:styleId="2ColumnHeading">
    <w:name w:val="2Column Heading"/>
    <w:basedOn w:val="BodyText"/>
    <w:qFormat/>
    <w:rsid w:val="00C4624B"/>
    <w:pPr>
      <w:spacing w:after="60"/>
      <w:ind w:left="-2268"/>
    </w:pPr>
    <w:rPr>
      <w:b/>
    </w:rPr>
  </w:style>
  <w:style w:type="paragraph" w:customStyle="1" w:styleId="Heading1TOC">
    <w:name w:val="Heading1 TOC"/>
    <w:basedOn w:val="Normal"/>
    <w:qFormat/>
    <w:rsid w:val="00C4624B"/>
    <w:pPr>
      <w:spacing w:before="240" w:after="120"/>
    </w:pPr>
    <w:rPr>
      <w:rFonts w:ascii="Times New Roman" w:hAnsi="Times New Roman"/>
      <w:b/>
      <w:sz w:val="32"/>
    </w:rPr>
  </w:style>
  <w:style w:type="paragraph" w:customStyle="1" w:styleId="Heading2TOC">
    <w:name w:val="Heading2 TOC"/>
    <w:basedOn w:val="Normal"/>
    <w:qFormat/>
    <w:rsid w:val="00C4624B"/>
    <w:pPr>
      <w:spacing w:before="240" w:after="60"/>
    </w:pPr>
    <w:rPr>
      <w:rFonts w:ascii="Times New Roman" w:hAnsi="Times New Roman"/>
      <w:b/>
      <w:sz w:val="28"/>
    </w:rPr>
  </w:style>
  <w:style w:type="character" w:customStyle="1" w:styleId="Underline">
    <w:name w:val="Underline"/>
    <w:qFormat/>
    <w:rsid w:val="00C4624B"/>
    <w:rPr>
      <w:u w:val="single"/>
    </w:rPr>
  </w:style>
  <w:style w:type="character" w:customStyle="1" w:styleId="BoldandItalics">
    <w:name w:val="Bold and Italics"/>
    <w:qFormat/>
    <w:rsid w:val="00C4624B"/>
    <w:rPr>
      <w:b/>
      <w:i/>
      <w:u w:val="none"/>
    </w:rPr>
  </w:style>
  <w:style w:type="paragraph" w:styleId="BalloonText">
    <w:name w:val="Balloon Text"/>
    <w:basedOn w:val="Normal"/>
    <w:link w:val="BalloonTextChar"/>
    <w:rsid w:val="00C4624B"/>
    <w:rPr>
      <w:rFonts w:ascii="Tahoma" w:hAnsi="Tahoma" w:cs="Tahoma"/>
      <w:sz w:val="16"/>
      <w:szCs w:val="16"/>
    </w:rPr>
  </w:style>
  <w:style w:type="character" w:customStyle="1" w:styleId="BalloonTextChar">
    <w:name w:val="Balloon Text Char"/>
    <w:link w:val="BalloonText"/>
    <w:rsid w:val="00C462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624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4624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1504</Words>
  <Characters>8804</Characters>
  <Application>Microsoft Office Word</Application>
  <DocSecurity>0</DocSecurity>
  <Lines>353</Lines>
  <Paragraphs>207</Paragraphs>
  <ScaleCrop>false</ScaleCrop>
  <Company>Author-it Software Corporation Ltd.</Company>
  <LinksUpToDate>false</LinksUpToDate>
  <CharactersWithSpaces>10185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PMASUP244A Prepare and isolate plant</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2012-05-26T19:05:00Z</dcterms:created>
  <dcterms:modified xsi:type="dcterms:W3CDTF">2012-05-26T19:05:00Z</dcterms:modified>
</cp:coreProperties>
</file>