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D26" w:rsidP="007D3D26">
      <w:pPr>
        <w:pStyle w:val="Title"/>
      </w:pPr>
      <w:r>
        <w:fldChar w:fldCharType="begin"/>
      </w:r>
      <w:r>
        <w:instrText xml:space="preserve"> TITLE   \* MERGEFORMAT </w:instrText>
      </w:r>
      <w:r>
        <w:fldChar w:fldCharType="separate"/>
      </w:r>
      <w:r>
        <w:t>PMASMELT269A Operate cell tending equipment</w:t>
      </w:r>
      <w:r>
        <w:fldChar w:fldCharType="end"/>
      </w:r>
    </w:p>
    <w:p w:rsidR="007D3D26" w:rsidP="007D3D26">
      <w:pPr>
        <w:pStyle w:val="Version"/>
        <w:sectPr w:rsidSect="00A212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124B" w:rsidP="00A2124B">
      <w:pPr>
        <w:pStyle w:val="SuperHeading"/>
      </w:pPr>
      <w:r w:rsidRPr="00A2124B">
        <w:t>PMASMELT269A Operate cell tending equipment</w:t>
      </w:r>
    </w:p>
    <w:p w:rsidR="00000000" w:rsidRPr="00A2124B" w:rsidP="00A2124B">
      <w:pPr>
        <w:pStyle w:val="SuperHeading"/>
      </w:pPr>
    </w:p>
    <w:p w:rsidR="00000000" w:rsidRPr="00A2124B" w:rsidP="00A2124B">
      <w:pPr>
        <w:pStyle w:val="Heading1"/>
      </w:pPr>
      <w:bookmarkStart w:id="1" w:name="O_107535"/>
      <w:bookmarkEnd w:id="1"/>
      <w:r w:rsidRPr="00A2124B">
        <w:t>Modification History</w:t>
      </w:r>
    </w:p>
    <w:p w:rsidR="00000000" w:rsidRPr="00A2124B" w:rsidP="00A2124B">
      <w:pPr>
        <w:pStyle w:val="BodyText"/>
      </w:pPr>
      <w:r w:rsidRPr="00A2124B">
        <w:t>Not applicable.</w:t>
      </w:r>
    </w:p>
    <w:p w:rsidR="00000000" w:rsidRPr="00A2124B" w:rsidP="00A2124B">
      <w:pPr>
        <w:pStyle w:val="AllowPageBreak"/>
      </w:pPr>
    </w:p>
    <w:p w:rsidR="00000000" w:rsidRPr="00A2124B" w:rsidP="00A2124B">
      <w:pPr>
        <w:pStyle w:val="Heading1"/>
      </w:pPr>
      <w:bookmarkStart w:id="2" w:name="O_107536"/>
      <w:bookmarkEnd w:id="2"/>
      <w:r w:rsidRPr="00A2124B">
        <w:t>Unit Descriptor</w:t>
      </w:r>
    </w:p>
    <w:tbl>
      <w:tblPr>
        <w:tblW w:w="0" w:type="auto"/>
        <w:tblCellMar>
          <w:left w:w="62" w:type="dxa"/>
          <w:right w:w="62" w:type="dxa"/>
        </w:tblCellMar>
        <w:tblLook w:val="0000"/>
      </w:tblPr>
      <w:tblGrid>
        <w:gridCol w:w="2819"/>
        <w:gridCol w:w="6377"/>
      </w:tblGrid>
      <w:tr w:rsidTr="007D3D2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This competency applies to plant technicians who operate cell tending equipment used to adjust and suppor</w:t>
            </w:r>
            <w:r w:rsidRPr="00A2124B">
              <w:t xml:space="preserve">t the operation of reduction cells for the aluminium smelting process. </w:t>
            </w:r>
          </w:p>
        </w:tc>
      </w:tr>
    </w:tbl>
    <w:p w:rsidR="00000000" w:rsidRPr="00A2124B" w:rsidP="00A2124B">
      <w:pPr>
        <w:pStyle w:val="BodyText"/>
      </w:pPr>
    </w:p>
    <w:p w:rsidR="00000000" w:rsidRPr="00A2124B" w:rsidP="00A2124B">
      <w:pPr>
        <w:pStyle w:val="AllowPageBreak"/>
      </w:pPr>
    </w:p>
    <w:p w:rsidR="00000000" w:rsidRPr="00A2124B" w:rsidP="00A2124B">
      <w:pPr>
        <w:pStyle w:val="Heading1"/>
      </w:pPr>
      <w:bookmarkStart w:id="3" w:name="O_107537"/>
      <w:bookmarkEnd w:id="3"/>
      <w:r w:rsidRPr="00A2124B">
        <w:t>Application of the Unit</w:t>
      </w:r>
    </w:p>
    <w:tbl>
      <w:tblPr>
        <w:tblW w:w="0" w:type="auto"/>
        <w:tblCellMar>
          <w:left w:w="62" w:type="dxa"/>
          <w:right w:w="62" w:type="dxa"/>
        </w:tblCellMar>
        <w:tblLook w:val="0000"/>
      </w:tblPr>
      <w:tblGrid>
        <w:gridCol w:w="2819"/>
        <w:gridCol w:w="6377"/>
      </w:tblGrid>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Typically cell tending equipment comprises a gantry crane with purpose built attachments for reductio</w:t>
            </w:r>
            <w:r w:rsidRPr="00A2124B">
              <w:t xml:space="preserve">n beam raising, anode changing, transport and operation of cell tapping crucibles, and feed-hopper delivery of feed and bath materials. </w:t>
            </w:r>
          </w:p>
          <w:p w:rsidR="00000000" w:rsidRPr="00A2124B" w:rsidP="00A2124B">
            <w:pPr>
              <w:pStyle w:val="BodyText"/>
            </w:pPr>
            <w:r w:rsidRPr="00A2124B">
              <w:t xml:space="preserve">Note that the operation of cell tending equipment may require: </w:t>
            </w:r>
          </w:p>
          <w:p w:rsidR="00000000" w:rsidRPr="00A2124B" w:rsidP="00A2124B">
            <w:pPr>
              <w:pStyle w:val="ListBullet"/>
            </w:pPr>
            <w:r w:rsidRPr="00A2124B">
              <w:rPr>
                <w:rStyle w:val="Emphasis"/>
              </w:rPr>
              <w:t>PMASUP237B Undertake crane</w:t>
            </w:r>
            <w:r w:rsidRPr="00A2124B">
              <w:t xml:space="preserve">, </w:t>
            </w:r>
            <w:r w:rsidRPr="00A2124B">
              <w:rPr>
                <w:rStyle w:val="Emphasis"/>
              </w:rPr>
              <w:t>dogging and load transfer operations</w:t>
            </w:r>
          </w:p>
          <w:p w:rsidR="00000000" w:rsidRPr="00A2124B" w:rsidP="00A2124B">
            <w:pPr>
              <w:pStyle w:val="ListBullet"/>
            </w:pPr>
            <w:r w:rsidRPr="00A2124B">
              <w:t>a licence to operate the equipment, depending on State and Federal requirements.</w:t>
            </w:r>
          </w:p>
          <w:p w:rsidR="00000000" w:rsidRPr="00A2124B" w:rsidP="00A2124B">
            <w:pPr>
              <w:pStyle w:val="BodyText"/>
            </w:pPr>
            <w:r w:rsidRPr="00A2124B">
              <w:t>In a typical situation, the plant technician would operate cell tending equipment in conjunction with other technicians to support and adj</w:t>
            </w:r>
            <w:r w:rsidRPr="00A2124B">
              <w:t xml:space="preserve">ust the operation of the reduction cells, including cell maintenance, beam raising, cell feed and cell tapping activities. </w:t>
            </w:r>
          </w:p>
          <w:p w:rsidR="00000000" w:rsidRPr="00A2124B" w:rsidP="00A2124B">
            <w:pPr>
              <w:pStyle w:val="BodyText"/>
            </w:pPr>
            <w:r w:rsidRPr="00A2124B">
              <w:t>This competency unit typically covers items of equipment, such as:</w:t>
            </w:r>
          </w:p>
          <w:p w:rsidR="00000000" w:rsidRPr="00A2124B" w:rsidP="00A2124B">
            <w:pPr>
              <w:pStyle w:val="ListBullet"/>
            </w:pPr>
            <w:r w:rsidRPr="00A2124B">
              <w:t>reduction cell (pot)</w:t>
            </w:r>
          </w:p>
          <w:p w:rsidR="00000000" w:rsidRPr="00A2124B" w:rsidP="00A2124B">
            <w:pPr>
              <w:pStyle w:val="ListBullet"/>
            </w:pPr>
            <w:r w:rsidRPr="00A2124B">
              <w:t>carbon anodes and beams</w:t>
            </w:r>
          </w:p>
          <w:p w:rsidR="00000000" w:rsidRPr="00A2124B" w:rsidP="00A2124B">
            <w:pPr>
              <w:pStyle w:val="ListBullet"/>
            </w:pPr>
            <w:r w:rsidRPr="00A2124B">
              <w:t>cell tending equipm</w:t>
            </w:r>
            <w:r w:rsidRPr="00A2124B">
              <w:t xml:space="preserve">ent </w:t>
            </w:r>
          </w:p>
          <w:p w:rsidR="00000000" w:rsidRPr="00A2124B" w:rsidP="00A2124B">
            <w:pPr>
              <w:pStyle w:val="BodyText"/>
            </w:pPr>
            <w:r w:rsidRPr="00A2124B">
              <w:t>The plant technician would operate cell tending equipment to:</w:t>
            </w:r>
          </w:p>
          <w:p w:rsidR="00000000" w:rsidRPr="00A2124B" w:rsidP="00A2124B">
            <w:pPr>
              <w:pStyle w:val="ListBullet"/>
            </w:pPr>
            <w:r w:rsidRPr="00A2124B">
              <w:t>change anodes as required</w:t>
            </w:r>
          </w:p>
          <w:p w:rsidR="00000000" w:rsidRPr="00A2124B" w:rsidP="00A2124B">
            <w:pPr>
              <w:pStyle w:val="ListBullet"/>
            </w:pPr>
            <w:r w:rsidRPr="00A2124B">
              <w:t>conduct beam raising</w:t>
            </w:r>
          </w:p>
          <w:p w:rsidR="00000000" w:rsidRPr="00A2124B" w:rsidP="00A2124B">
            <w:pPr>
              <w:pStyle w:val="ListBullet"/>
            </w:pPr>
            <w:r w:rsidRPr="00A2124B">
              <w:t>conduct metal tapping</w:t>
            </w:r>
          </w:p>
          <w:p w:rsidR="00000000" w:rsidRPr="00A2124B" w:rsidP="00A2124B">
            <w:pPr>
              <w:pStyle w:val="ListBullet"/>
            </w:pPr>
            <w:r w:rsidRPr="00A2124B">
              <w:t>conduct bath tapping</w:t>
            </w:r>
          </w:p>
          <w:p w:rsidR="00000000" w:rsidRPr="00A2124B" w:rsidP="00A2124B">
            <w:pPr>
              <w:pStyle w:val="ListBullet"/>
            </w:pPr>
            <w:r w:rsidRPr="00A2124B">
              <w:t>cell feed replenishment</w:t>
            </w:r>
          </w:p>
          <w:p w:rsidR="00000000" w:rsidRPr="00A2124B" w:rsidP="00A2124B">
            <w:pPr>
              <w:pStyle w:val="ListBullet"/>
            </w:pPr>
            <w:r w:rsidRPr="00A2124B">
              <w:t>other cell maintenance and crane operations</w:t>
            </w:r>
          </w:p>
          <w:p w:rsidR="00000000" w:rsidRPr="00A2124B" w:rsidP="00A2124B">
            <w:pPr>
              <w:pStyle w:val="ListBullet"/>
            </w:pPr>
            <w:r w:rsidRPr="00A2124B">
              <w:t>recognise and respond to 'out-of-parameter' issues</w:t>
            </w:r>
          </w:p>
          <w:p w:rsidR="00000000" w:rsidRPr="00A2124B" w:rsidP="00A2124B">
            <w:pPr>
              <w:pStyle w:val="ListBullet"/>
            </w:pPr>
            <w:r w:rsidRPr="00A2124B">
              <w:t>respond to emergency situations</w:t>
            </w:r>
          </w:p>
          <w:p w:rsidR="00000000" w:rsidRPr="00A2124B" w:rsidP="00A2124B">
            <w:pPr>
              <w:pStyle w:val="ListBullet"/>
            </w:pPr>
            <w:r w:rsidRPr="00A2124B">
              <w:t>identify and control hazards in the workplace.</w:t>
            </w:r>
          </w:p>
          <w:p w:rsidR="00000000" w:rsidRPr="00A2124B" w:rsidP="00A2124B">
            <w:pPr>
              <w:pStyle w:val="BodyText"/>
            </w:pPr>
            <w:r w:rsidRPr="00A2124B">
              <w:t>Generally the operator would be part of a team during start up and shut down procedures and would be expected to be capable of</w:t>
            </w:r>
            <w:r w:rsidRPr="00A2124B">
              <w:t xml:space="preserve"> demonstrating competence in all parts of this unit.  At all times they would be liaising and cooperating with other members of the team.</w:t>
            </w:r>
          </w:p>
        </w:tc>
      </w:tr>
    </w:tbl>
    <w:p w:rsidR="00000000" w:rsidRPr="00A2124B" w:rsidP="00A2124B">
      <w:pPr>
        <w:pStyle w:val="BodyText"/>
      </w:pPr>
    </w:p>
    <w:p w:rsidR="00000000" w:rsidRPr="00A2124B" w:rsidP="00A2124B">
      <w:pPr>
        <w:pStyle w:val="AllowPageBreak"/>
      </w:pPr>
    </w:p>
    <w:p w:rsidR="00000000" w:rsidRPr="00A2124B" w:rsidP="00A2124B">
      <w:pPr>
        <w:pStyle w:val="Heading1"/>
      </w:pPr>
      <w:bookmarkStart w:id="4" w:name="O_107538"/>
      <w:bookmarkEnd w:id="4"/>
      <w:r w:rsidRPr="00A2124B">
        <w:t>Licensing/Regulatory Information</w:t>
      </w:r>
    </w:p>
    <w:p w:rsidR="00000000" w:rsidRPr="00A2124B" w:rsidP="00A2124B">
      <w:pPr>
        <w:pStyle w:val="BodyText"/>
      </w:pPr>
      <w:r w:rsidRPr="00A2124B">
        <w:t>Not applicable.</w:t>
      </w:r>
    </w:p>
    <w:p w:rsidR="00000000" w:rsidRPr="00A2124B" w:rsidP="00A2124B">
      <w:pPr>
        <w:pStyle w:val="AllowPageBreak"/>
      </w:pPr>
    </w:p>
    <w:p w:rsidR="00000000" w:rsidRPr="00A2124B" w:rsidP="00A2124B">
      <w:pPr>
        <w:pStyle w:val="Heading1"/>
      </w:pPr>
      <w:bookmarkStart w:id="5" w:name="O_107540"/>
      <w:bookmarkEnd w:id="5"/>
      <w:r w:rsidRPr="00A2124B">
        <w:t>Pre-Requisites</w:t>
      </w:r>
    </w:p>
    <w:tbl>
      <w:tblPr>
        <w:tblW w:w="0" w:type="auto"/>
        <w:tblCellMar>
          <w:left w:w="62" w:type="dxa"/>
          <w:right w:w="62" w:type="dxa"/>
        </w:tblCellMar>
        <w:tblLook w:val="0000"/>
      </w:tblPr>
      <w:tblGrid>
        <w:gridCol w:w="2819"/>
        <w:gridCol w:w="3188"/>
        <w:gridCol w:w="3189"/>
      </w:tblGrid>
      <w:tr w:rsidTr="007D3D2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p>
        </w:tc>
      </w:tr>
    </w:tbl>
    <w:p w:rsidR="00000000" w:rsidRPr="00A2124B" w:rsidP="00A2124B">
      <w:pPr>
        <w:pStyle w:val="BodyText"/>
      </w:pPr>
    </w:p>
    <w:p w:rsidR="00000000" w:rsidRPr="00A2124B" w:rsidP="00A2124B">
      <w:pPr>
        <w:pStyle w:val="AllowPageBreak"/>
      </w:pPr>
    </w:p>
    <w:p w:rsidR="00000000" w:rsidRPr="00A2124B" w:rsidP="00A2124B">
      <w:pPr>
        <w:pStyle w:val="Heading1"/>
      </w:pPr>
      <w:bookmarkStart w:id="6" w:name="O_107539"/>
      <w:bookmarkEnd w:id="6"/>
      <w:r w:rsidRPr="00A2124B">
        <w:t>Employability Skills Information</w:t>
      </w:r>
    </w:p>
    <w:tbl>
      <w:tblPr>
        <w:tblW w:w="0" w:type="auto"/>
        <w:tblCellMar>
          <w:left w:w="62" w:type="dxa"/>
          <w:right w:w="62" w:type="dxa"/>
        </w:tblCellMar>
        <w:tblLook w:val="0000"/>
      </w:tblPr>
      <w:tblGrid>
        <w:gridCol w:w="2819"/>
        <w:gridCol w:w="6377"/>
      </w:tblGrid>
      <w:tr w:rsidTr="007D3D2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This unit contains employability skills.</w:t>
            </w:r>
          </w:p>
        </w:tc>
      </w:tr>
    </w:tbl>
    <w:p w:rsidR="00000000" w:rsidRPr="00A2124B" w:rsidP="00A2124B">
      <w:pPr>
        <w:pStyle w:val="BodyText"/>
      </w:pPr>
    </w:p>
    <w:p w:rsidR="00000000" w:rsidRPr="00A2124B" w:rsidP="00A2124B">
      <w:pPr>
        <w:pStyle w:val="AllowPageBreak"/>
      </w:pPr>
    </w:p>
    <w:p w:rsidR="00000000" w:rsidRPr="00A2124B" w:rsidP="00A2124B">
      <w:pPr>
        <w:pStyle w:val="Heading1"/>
      </w:pPr>
      <w:bookmarkStart w:id="7" w:name="O_107541"/>
      <w:bookmarkEnd w:id="7"/>
      <w:r w:rsidRPr="00A2124B">
        <w:t>Elements and Performance Criteria Pre-Content</w:t>
      </w:r>
    </w:p>
    <w:tbl>
      <w:tblPr>
        <w:tblW w:w="0" w:type="auto"/>
        <w:tblCellMar>
          <w:left w:w="62" w:type="dxa"/>
          <w:right w:w="62" w:type="dxa"/>
        </w:tblCellMar>
        <w:tblLook w:val="0000"/>
      </w:tblPr>
      <w:tblGrid>
        <w:gridCol w:w="2644"/>
        <w:gridCol w:w="6552"/>
      </w:tblGrid>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Performance criteria describe the performance needed to demonstrate achievement of the element.  Where bold italicised text is used, further information is detailed in the required skills and knowledge section and the range statement.  Assessment of perfor</w:t>
            </w:r>
            <w:r w:rsidRPr="00A2124B">
              <w:t>mance is to be consistent with the evidence guide.</w:t>
            </w:r>
          </w:p>
        </w:tc>
      </w:tr>
    </w:tbl>
    <w:p w:rsidR="00000000" w:rsidRPr="00A2124B" w:rsidP="00A2124B">
      <w:pPr>
        <w:pStyle w:val="BodyText"/>
      </w:pPr>
    </w:p>
    <w:p w:rsidR="00000000" w:rsidRPr="00A2124B" w:rsidP="00A2124B">
      <w:pPr>
        <w:pStyle w:val="AllowPageBreak"/>
      </w:pPr>
    </w:p>
    <w:p w:rsidR="00000000" w:rsidRPr="00A2124B" w:rsidP="00A2124B">
      <w:pPr>
        <w:pStyle w:val="Heading1"/>
      </w:pPr>
      <w:bookmarkStart w:id="8" w:name="O_107542"/>
      <w:bookmarkEnd w:id="8"/>
      <w:r w:rsidRPr="00A2124B">
        <w:t>Elements and Performance Criteria</w:t>
      </w:r>
    </w:p>
    <w:tbl>
      <w:tblPr>
        <w:tblW w:w="0" w:type="auto"/>
        <w:tblCellMar>
          <w:left w:w="62" w:type="dxa"/>
          <w:right w:w="62" w:type="dxa"/>
        </w:tblCellMar>
        <w:tblLook w:val="0000"/>
      </w:tblPr>
      <w:tblGrid>
        <w:gridCol w:w="2644"/>
        <w:gridCol w:w="6552"/>
      </w:tblGrid>
      <w:tr w:rsidTr="007D3D2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PERFORMANCE CRITERIA</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List"/>
              <w:rPr>
                <w:lang w:val="en-NZ"/>
              </w:rPr>
            </w:pPr>
            <w:r w:rsidRPr="00A2124B">
              <w:t>1.</w:t>
            </w:r>
            <w:r w:rsidRPr="00A2124B">
              <w:tab/>
              <w:t>Plan and prepare for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List2"/>
            </w:pPr>
            <w:r w:rsidRPr="00A2124B">
              <w:t>1.1.</w:t>
            </w:r>
            <w:r w:rsidRPr="00A2124B">
              <w:tab/>
              <w:t>Interpret and confirm work requirements before proceeding</w:t>
            </w:r>
          </w:p>
          <w:p w:rsidR="00000000" w:rsidRPr="00A2124B" w:rsidP="00A2124B">
            <w:pPr>
              <w:pStyle w:val="List2"/>
            </w:pPr>
            <w:r w:rsidRPr="00A2124B">
              <w:t>1.2.</w:t>
            </w:r>
            <w:r w:rsidRPr="00A2124B">
              <w:tab/>
            </w:r>
            <w:r w:rsidRPr="00A2124B">
              <w:t xml:space="preserve">Identify and control hazards </w:t>
            </w:r>
          </w:p>
          <w:p w:rsidR="00000000" w:rsidRPr="00A2124B" w:rsidP="00A2124B">
            <w:pPr>
              <w:pStyle w:val="List2"/>
            </w:pPr>
            <w:r w:rsidRPr="00A2124B">
              <w:t>1.3.</w:t>
            </w:r>
            <w:r w:rsidRPr="00A2124B">
              <w:tab/>
              <w:t>Ensure appropriate authorisations have been obtained/issued</w:t>
            </w:r>
          </w:p>
          <w:p w:rsidR="00000000" w:rsidP="00A2124B">
            <w:pPr>
              <w:pStyle w:val="List2"/>
              <w:rPr>
                <w:lang w:val="en-NZ"/>
              </w:rPr>
            </w:pPr>
            <w:r w:rsidRPr="00A2124B">
              <w:t>1.4.</w:t>
            </w:r>
            <w:r w:rsidRPr="00A2124B">
              <w:tab/>
              <w:t>Identify work flow path (interruptions or bottlenecks) blockage.</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List"/>
              <w:rPr>
                <w:lang w:val="en-NZ"/>
              </w:rPr>
            </w:pPr>
            <w:r w:rsidRPr="00A2124B">
              <w:t>2.</w:t>
            </w:r>
            <w:r w:rsidRPr="00A2124B">
              <w:tab/>
              <w:t>Conduct pre-start requirements to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List2"/>
            </w:pPr>
            <w:r w:rsidRPr="00A2124B">
              <w:t>2.1.</w:t>
            </w:r>
            <w:r w:rsidRPr="00A2124B">
              <w:tab/>
              <w:t xml:space="preserve">Conduct routine pre-start equipment </w:t>
            </w:r>
            <w:r w:rsidRPr="00A2124B">
              <w:t>checks</w:t>
            </w:r>
          </w:p>
          <w:p w:rsidR="00000000" w:rsidRPr="00A2124B" w:rsidP="00A2124B">
            <w:pPr>
              <w:pStyle w:val="List2"/>
            </w:pPr>
            <w:r w:rsidRPr="00A2124B">
              <w:t>2.2.</w:t>
            </w:r>
            <w:r w:rsidRPr="00A2124B">
              <w:tab/>
              <w:t>Conduct isolation as appropriate for pre-start inspections</w:t>
            </w:r>
          </w:p>
          <w:p w:rsidR="00000000" w:rsidRPr="00A2124B" w:rsidP="00A2124B">
            <w:pPr>
              <w:pStyle w:val="List2"/>
            </w:pPr>
            <w:r w:rsidRPr="00A2124B">
              <w:t>2.3.</w:t>
            </w:r>
            <w:r w:rsidRPr="00A2124B">
              <w:tab/>
              <w:t>Prepare equipment for operation</w:t>
            </w:r>
          </w:p>
          <w:p w:rsidR="00000000" w:rsidRPr="00A2124B" w:rsidP="00A2124B">
            <w:pPr>
              <w:pStyle w:val="List2"/>
            </w:pPr>
            <w:r w:rsidRPr="00A2124B">
              <w:t>2.4.</w:t>
            </w:r>
            <w:r w:rsidRPr="00A2124B">
              <w:tab/>
              <w:t>Complete routine equipment checklists</w:t>
            </w:r>
          </w:p>
          <w:p w:rsidR="00000000" w:rsidP="00A2124B">
            <w:pPr>
              <w:pStyle w:val="List2"/>
              <w:rPr>
                <w:lang w:val="en-NZ"/>
              </w:rPr>
            </w:pPr>
            <w:r w:rsidRPr="00A2124B">
              <w:t>2.5.</w:t>
            </w:r>
            <w:r w:rsidRPr="00A2124B">
              <w:tab/>
              <w:t>Complete reports as required for equipment inspections.</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List"/>
              <w:rPr>
                <w:lang w:val="en-NZ"/>
              </w:rPr>
            </w:pPr>
            <w:r w:rsidRPr="00A2124B">
              <w:t>3.</w:t>
            </w:r>
            <w:r w:rsidRPr="00A2124B">
              <w:tab/>
              <w:t>Operate cell tending equipment to proced</w:t>
            </w:r>
            <w:r w:rsidRPr="00A2124B">
              <w:t>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List2"/>
            </w:pPr>
            <w:r w:rsidRPr="00A2124B">
              <w:t>3.1.</w:t>
            </w:r>
            <w:r w:rsidRPr="00A2124B">
              <w:tab/>
              <w:t>Start up cell tending equipment and perform start up checks as required</w:t>
            </w:r>
          </w:p>
          <w:p w:rsidR="00000000" w:rsidRPr="00A2124B" w:rsidP="00A2124B">
            <w:pPr>
              <w:pStyle w:val="List2"/>
            </w:pPr>
            <w:r w:rsidRPr="00A2124B">
              <w:t>3.2.</w:t>
            </w:r>
            <w:r w:rsidRPr="00A2124B">
              <w:tab/>
              <w:t>Conduct beam raising and anode changing as required</w:t>
            </w:r>
          </w:p>
          <w:p w:rsidR="00000000" w:rsidRPr="00A2124B" w:rsidP="00A2124B">
            <w:pPr>
              <w:pStyle w:val="List2"/>
            </w:pPr>
            <w:r w:rsidRPr="00A2124B">
              <w:t>3.3.</w:t>
            </w:r>
            <w:r w:rsidRPr="00A2124B">
              <w:tab/>
              <w:t>Conduct cell replenishment as required</w:t>
            </w:r>
          </w:p>
          <w:p w:rsidR="00000000" w:rsidRPr="00A2124B" w:rsidP="00A2124B">
            <w:pPr>
              <w:pStyle w:val="List2"/>
            </w:pPr>
            <w:r w:rsidRPr="00A2124B">
              <w:t>3.4.</w:t>
            </w:r>
            <w:r w:rsidRPr="00A2124B">
              <w:tab/>
              <w:t>Conduct metal tapping as required</w:t>
            </w:r>
          </w:p>
          <w:p w:rsidR="00000000" w:rsidRPr="00A2124B" w:rsidP="00A2124B">
            <w:pPr>
              <w:pStyle w:val="List2"/>
            </w:pPr>
            <w:r w:rsidRPr="00A2124B">
              <w:t>3.5.</w:t>
            </w:r>
            <w:r w:rsidRPr="00A2124B">
              <w:tab/>
              <w:t xml:space="preserve">Transfer metal crucibles as </w:t>
            </w:r>
            <w:r w:rsidRPr="00A2124B">
              <w:t>required</w:t>
            </w:r>
          </w:p>
          <w:p w:rsidR="00000000" w:rsidRPr="00A2124B" w:rsidP="00A2124B">
            <w:pPr>
              <w:pStyle w:val="List2"/>
            </w:pPr>
            <w:r w:rsidRPr="00A2124B">
              <w:t>3.6.</w:t>
            </w:r>
            <w:r w:rsidRPr="00A2124B">
              <w:tab/>
              <w:t>Conduct bath tapping as required</w:t>
            </w:r>
          </w:p>
          <w:p w:rsidR="00000000" w:rsidP="00A2124B">
            <w:pPr>
              <w:pStyle w:val="List2"/>
              <w:rPr>
                <w:lang w:val="en-NZ"/>
              </w:rPr>
            </w:pPr>
            <w:r w:rsidRPr="00A2124B">
              <w:t>3.7.</w:t>
            </w:r>
            <w:r w:rsidRPr="00A2124B">
              <w:tab/>
              <w:t>Communicate with others in the reduction cell area</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List"/>
              <w:rPr>
                <w:lang w:val="en-NZ"/>
              </w:rPr>
            </w:pPr>
            <w:r w:rsidRPr="00A2124B">
              <w:t>4.</w:t>
            </w:r>
            <w:r w:rsidRPr="00A2124B">
              <w:tab/>
              <w:t>Shutdown cell tending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List2"/>
            </w:pPr>
            <w:r w:rsidRPr="00A2124B">
              <w:t>4.1.</w:t>
            </w:r>
            <w:r w:rsidRPr="00A2124B">
              <w:tab/>
              <w:t>Manoeuvre equipment to suitable parking position</w:t>
            </w:r>
          </w:p>
          <w:p w:rsidR="00000000" w:rsidRPr="00A2124B" w:rsidP="00A2124B">
            <w:pPr>
              <w:pStyle w:val="List2"/>
            </w:pPr>
            <w:r w:rsidRPr="00A2124B">
              <w:t>4.2.</w:t>
            </w:r>
            <w:r w:rsidRPr="00A2124B">
              <w:tab/>
              <w:t>Shutdown equipment</w:t>
            </w:r>
          </w:p>
          <w:p w:rsidR="00000000" w:rsidRPr="00A2124B" w:rsidP="00A2124B">
            <w:pPr>
              <w:pStyle w:val="List2"/>
            </w:pPr>
            <w:r w:rsidRPr="00A2124B">
              <w:t>4.3.</w:t>
            </w:r>
            <w:r w:rsidRPr="00A2124B">
              <w:tab/>
            </w:r>
            <w:r w:rsidRPr="00A2124B">
              <w:t>Conduct shutdown checks of equipment</w:t>
            </w:r>
          </w:p>
          <w:p w:rsidR="00000000" w:rsidRPr="00A2124B" w:rsidP="00A2124B">
            <w:pPr>
              <w:pStyle w:val="List2"/>
            </w:pPr>
            <w:r w:rsidRPr="00A2124B">
              <w:t>4.4.</w:t>
            </w:r>
            <w:r w:rsidRPr="00A2124B">
              <w:tab/>
              <w:t>Complete reports as required</w:t>
            </w:r>
          </w:p>
        </w:tc>
      </w:tr>
    </w:tbl>
    <w:p w:rsidR="00000000" w:rsidRPr="00A2124B" w:rsidP="00A2124B">
      <w:pPr>
        <w:pStyle w:val="BodyText"/>
      </w:pPr>
    </w:p>
    <w:p w:rsidR="00000000" w:rsidRPr="00A2124B" w:rsidP="00A2124B">
      <w:pPr>
        <w:pStyle w:val="AllowPageBreak"/>
      </w:pPr>
    </w:p>
    <w:p w:rsidR="00000000" w:rsidRPr="00A2124B" w:rsidP="00A2124B">
      <w:pPr>
        <w:pStyle w:val="Heading1"/>
      </w:pPr>
      <w:bookmarkStart w:id="9" w:name="O_107543"/>
      <w:bookmarkEnd w:id="9"/>
      <w:r w:rsidRPr="00A2124B">
        <w:t>Required Skills and Knowledge</w:t>
      </w:r>
    </w:p>
    <w:tbl>
      <w:tblPr>
        <w:tblW w:w="0" w:type="auto"/>
        <w:tblCellMar>
          <w:left w:w="62" w:type="dxa"/>
          <w:right w:w="62" w:type="dxa"/>
        </w:tblCellMar>
        <w:tblLook w:val="0000"/>
      </w:tblPr>
      <w:tblGrid>
        <w:gridCol w:w="9196"/>
      </w:tblGrid>
      <w:tr w:rsidTr="007D3D2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REQUIRED SKILLS AND KNOWLEDGE</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This describes the essential skills and knowledge and their level, required for this unit.</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Required skills</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Competence includes being able to demonstrate the following:</w:t>
            </w:r>
          </w:p>
          <w:p w:rsidR="00000000" w:rsidRPr="00A2124B" w:rsidP="00A2124B">
            <w:pPr>
              <w:pStyle w:val="ListBullet"/>
            </w:pPr>
            <w:r w:rsidRPr="00A2124B">
              <w:t>efficient and effective operation of plant/equipment</w:t>
            </w:r>
          </w:p>
          <w:p w:rsidR="00000000" w:rsidRPr="00A2124B" w:rsidP="00A2124B">
            <w:pPr>
              <w:pStyle w:val="ListBullet"/>
            </w:pPr>
            <w:r w:rsidRPr="00A2124B">
              <w:t>hazard analysis</w:t>
            </w:r>
          </w:p>
          <w:p w:rsidR="00000000" w:rsidRPr="00A2124B" w:rsidP="00A2124B">
            <w:pPr>
              <w:pStyle w:val="ListBullet"/>
            </w:pPr>
            <w:r w:rsidRPr="00A2124B">
              <w:t>completing plant records</w:t>
            </w:r>
          </w:p>
          <w:p w:rsidR="00000000" w:rsidRPr="00A2124B" w:rsidP="00A2124B">
            <w:pPr>
              <w:pStyle w:val="ListBullet"/>
            </w:pPr>
            <w:r w:rsidRPr="00A2124B">
              <w:t>communication</w:t>
            </w:r>
          </w:p>
          <w:p w:rsidR="00000000" w:rsidRPr="00A2124B" w:rsidP="00A2124B">
            <w:pPr>
              <w:pStyle w:val="ListBullet"/>
            </w:pPr>
            <w:r w:rsidRPr="00A2124B">
              <w:t>problem solving.</w:t>
            </w:r>
          </w:p>
          <w:p w:rsidR="00000000" w:rsidRPr="00A2124B" w:rsidP="00A2124B">
            <w:pPr>
              <w:pStyle w:val="BodyText"/>
            </w:pPr>
            <w:r w:rsidRPr="00A2124B">
              <w:t>Competence also includes responding to emergency situations such as:</w:t>
            </w:r>
          </w:p>
          <w:p w:rsidR="00000000" w:rsidRPr="00A2124B" w:rsidP="00A2124B">
            <w:pPr>
              <w:pStyle w:val="ListBullet"/>
            </w:pPr>
            <w:r w:rsidRPr="00A2124B">
              <w:t xml:space="preserve">tap outs </w:t>
            </w:r>
          </w:p>
          <w:p w:rsidR="00000000" w:rsidRPr="00A2124B" w:rsidP="00A2124B">
            <w:pPr>
              <w:pStyle w:val="ListBullet"/>
            </w:pPr>
            <w:r w:rsidRPr="00A2124B">
              <w:t xml:space="preserve">evacuation due to fire </w:t>
            </w:r>
          </w:p>
          <w:p w:rsidR="00000000" w:rsidRPr="00A2124B" w:rsidP="00A2124B">
            <w:pPr>
              <w:pStyle w:val="ListBullet"/>
            </w:pPr>
            <w:r w:rsidRPr="00A2124B">
              <w:t xml:space="preserve">loss of power and excessive emissions of fumes or particulate </w:t>
            </w:r>
          </w:p>
          <w:p w:rsidR="00000000" w:rsidRPr="00A2124B" w:rsidP="00A2124B">
            <w:pPr>
              <w:pStyle w:val="ListBullet"/>
            </w:pPr>
            <w:r w:rsidRPr="00A2124B">
              <w:t xml:space="preserve">equipment failure  </w:t>
            </w:r>
          </w:p>
          <w:p w:rsidR="00000000" w:rsidRPr="00A2124B" w:rsidP="00A2124B">
            <w:pPr>
              <w:pStyle w:val="ListBullet"/>
            </w:pPr>
            <w:r w:rsidRPr="00A2124B">
              <w:t>recognising hazards associated with electromagnetic effects, moisture</w:t>
            </w:r>
            <w:r w:rsidRPr="00A2124B">
              <w:t>, wet bath and wet soda ash.</w:t>
            </w:r>
          </w:p>
          <w:p w:rsidR="00000000" w:rsidRPr="00A2124B" w:rsidP="00A2124B">
            <w:pPr>
              <w:pStyle w:val="BodyText"/>
            </w:pPr>
            <w:r w:rsidRPr="00A2124B">
              <w:t xml:space="preserve">Troubleshooting a range of problems which could include or be related to: </w:t>
            </w:r>
          </w:p>
          <w:p w:rsidR="00000000" w:rsidRPr="00A2124B" w:rsidP="00A2124B">
            <w:pPr>
              <w:pStyle w:val="ListBullet"/>
            </w:pPr>
            <w:r w:rsidRPr="00A2124B">
              <w:t xml:space="preserve">equipment faults </w:t>
            </w:r>
          </w:p>
          <w:p w:rsidR="00000000" w:rsidRPr="00A2124B" w:rsidP="00A2124B">
            <w:pPr>
              <w:pStyle w:val="ListBullet"/>
            </w:pPr>
            <w:r w:rsidRPr="00A2124B">
              <w:t xml:space="preserve">electrical faults </w:t>
            </w:r>
          </w:p>
          <w:p w:rsidR="00000000" w:rsidRPr="00A2124B" w:rsidP="00A2124B">
            <w:pPr>
              <w:pStyle w:val="ListBullet"/>
            </w:pPr>
            <w:r w:rsidRPr="00A2124B">
              <w:t xml:space="preserve">interpreting information from process control system </w:t>
            </w:r>
          </w:p>
          <w:p w:rsidR="00000000" w:rsidRPr="00A2124B" w:rsidP="00A2124B">
            <w:pPr>
              <w:pStyle w:val="ListBullet"/>
            </w:pPr>
            <w:r w:rsidRPr="00A2124B">
              <w:t>equipment failure</w:t>
            </w:r>
          </w:p>
          <w:p w:rsidR="00000000" w:rsidRPr="00A2124B" w:rsidP="00A2124B">
            <w:pPr>
              <w:pStyle w:val="ListBullet"/>
            </w:pPr>
            <w:r w:rsidRPr="00A2124B">
              <w:t xml:space="preserve">cell instability </w:t>
            </w:r>
          </w:p>
          <w:p w:rsidR="00000000" w:rsidRPr="00A2124B" w:rsidP="00A2124B">
            <w:pPr>
              <w:pStyle w:val="ListBullet"/>
            </w:pPr>
            <w:r w:rsidRPr="00A2124B">
              <w:t>feeder problems</w:t>
            </w:r>
          </w:p>
          <w:p w:rsidR="00000000" w:rsidRPr="00A2124B" w:rsidP="00A2124B">
            <w:pPr>
              <w:pStyle w:val="ListBullet"/>
            </w:pPr>
            <w:r w:rsidRPr="00A2124B">
              <w:t>anode ef</w:t>
            </w:r>
            <w:r w:rsidRPr="00A2124B">
              <w:t xml:space="preserve">fect poles </w:t>
            </w:r>
          </w:p>
          <w:p w:rsidR="00000000" w:rsidRPr="00A2124B" w:rsidP="00A2124B">
            <w:pPr>
              <w:pStyle w:val="ListBullet"/>
            </w:pPr>
            <w:r w:rsidRPr="00A2124B">
              <w:t>metal tapping</w:t>
            </w:r>
          </w:p>
          <w:p w:rsidR="00000000" w:rsidRPr="00A2124B" w:rsidP="00A2124B">
            <w:pPr>
              <w:pStyle w:val="ListBullet"/>
            </w:pPr>
            <w:r w:rsidRPr="00A2124B">
              <w:t xml:space="preserve">bath tapping </w:t>
            </w:r>
          </w:p>
          <w:p w:rsidR="00000000" w:rsidRPr="00A2124B" w:rsidP="00A2124B">
            <w:pPr>
              <w:pStyle w:val="ListBullet"/>
            </w:pPr>
            <w:r w:rsidRPr="00A2124B">
              <w:t xml:space="preserve">beam height </w:t>
            </w:r>
          </w:p>
          <w:p w:rsidR="00000000" w:rsidRPr="00A2124B" w:rsidP="00A2124B">
            <w:pPr>
              <w:pStyle w:val="ListBullet"/>
            </w:pPr>
            <w:r w:rsidRPr="00A2124B">
              <w:t xml:space="preserve">anodes </w:t>
            </w:r>
          </w:p>
          <w:p w:rsidR="00000000" w:rsidRPr="00A2124B" w:rsidP="00A2124B">
            <w:pPr>
              <w:pStyle w:val="ListBullet"/>
            </w:pPr>
            <w:r w:rsidRPr="00A2124B">
              <w:t xml:space="preserve">materials handling systems </w:t>
            </w:r>
          </w:p>
          <w:p w:rsidR="00000000" w:rsidP="00A2124B">
            <w:pPr>
              <w:pStyle w:val="ListBullet"/>
              <w:rPr>
                <w:lang w:val="en-NZ"/>
              </w:rPr>
            </w:pPr>
            <w:r w:rsidRPr="00A2124B">
              <w:t>loading anodes and anode effect.</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Required knowledge</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Competence inclu</w:t>
            </w:r>
            <w:r w:rsidRPr="00A2124B">
              <w:t>des a comprehensive understanding of the reduction line process and equipment principles and typical problems to a level needed to support the operation of the reduction cells.  Additionally an operational knowledge of the cell tending equipment will be re</w:t>
            </w:r>
            <w:r w:rsidRPr="00A2124B">
              <w:t xml:space="preserve">quired.  In particular it includes: </w:t>
            </w:r>
          </w:p>
          <w:p w:rsidR="00000000" w:rsidRPr="00A2124B" w:rsidP="00A2124B">
            <w:pPr>
              <w:pStyle w:val="ListBullet"/>
            </w:pPr>
            <w:r w:rsidRPr="00A2124B">
              <w:t xml:space="preserve">awareness of hazardous materials, recognition of spills or escapes, personal protective equipment required, isolation and clean up requirements </w:t>
            </w:r>
          </w:p>
          <w:p w:rsidR="00000000" w:rsidRPr="00A2124B" w:rsidP="00A2124B">
            <w:pPr>
              <w:pStyle w:val="BodyText"/>
            </w:pPr>
            <w:r w:rsidRPr="00A2124B">
              <w:t>and knowledge of:</w:t>
            </w:r>
          </w:p>
          <w:p w:rsidR="00000000" w:rsidRPr="00A2124B" w:rsidP="00A2124B">
            <w:pPr>
              <w:pStyle w:val="ListBullet"/>
            </w:pPr>
            <w:r w:rsidRPr="00A2124B">
              <w:t>all items on a schematic of the reduction cell process</w:t>
            </w:r>
            <w:r w:rsidRPr="00A2124B">
              <w:t xml:space="preserve"> and the function of each</w:t>
            </w:r>
          </w:p>
          <w:p w:rsidR="00000000" w:rsidRPr="00A2124B" w:rsidP="00A2124B">
            <w:pPr>
              <w:pStyle w:val="ListBullet"/>
            </w:pPr>
            <w:r w:rsidRPr="00A2124B">
              <w:t>basic principles of operation of reduction cell equipment items, including cathode bed, anodes and adjusters, feeders, bath conditions, current distribution</w:t>
            </w:r>
          </w:p>
          <w:p w:rsidR="00000000" w:rsidRPr="00A2124B" w:rsidP="00A2124B">
            <w:pPr>
              <w:pStyle w:val="ListBullet"/>
            </w:pPr>
            <w:r w:rsidRPr="00A2124B">
              <w:t>basic understanding of the product specifications, including depth of cov</w:t>
            </w:r>
            <w:r w:rsidRPr="00A2124B">
              <w:t>er and uniformity of aluminium layer</w:t>
            </w:r>
          </w:p>
          <w:p w:rsidR="00000000" w:rsidRPr="00A2124B" w:rsidP="00A2124B">
            <w:pPr>
              <w:pStyle w:val="ListBullet"/>
            </w:pPr>
            <w:r w:rsidRPr="00A2124B">
              <w:t>basic principles of operation of the cell tending equipment, including the crane and all attachments</w:t>
            </w:r>
          </w:p>
          <w:p w:rsidR="00000000" w:rsidRPr="00A2124B" w:rsidP="00A2124B">
            <w:pPr>
              <w:pStyle w:val="ListBullet"/>
            </w:pPr>
            <w:r w:rsidRPr="00A2124B">
              <w:t>methods of resolving problems.</w:t>
            </w:r>
          </w:p>
        </w:tc>
      </w:tr>
    </w:tbl>
    <w:p w:rsidR="00000000" w:rsidRPr="00A2124B" w:rsidP="00A2124B">
      <w:pPr>
        <w:pStyle w:val="BodyText"/>
      </w:pPr>
    </w:p>
    <w:p w:rsidR="00000000" w:rsidRPr="00A2124B" w:rsidP="00A2124B">
      <w:pPr>
        <w:pStyle w:val="AllowPageBreak"/>
      </w:pPr>
    </w:p>
    <w:p w:rsidR="00000000" w:rsidRPr="00A2124B" w:rsidP="00A2124B">
      <w:pPr>
        <w:pStyle w:val="Heading1"/>
      </w:pPr>
      <w:bookmarkStart w:id="10" w:name="O_107544"/>
      <w:bookmarkEnd w:id="10"/>
      <w:r w:rsidRPr="00A2124B">
        <w:t>Evidence Guide</w:t>
      </w:r>
    </w:p>
    <w:tbl>
      <w:tblPr>
        <w:tblW w:w="0" w:type="auto"/>
        <w:tblCellMar>
          <w:left w:w="62" w:type="dxa"/>
          <w:right w:w="62" w:type="dxa"/>
        </w:tblCellMar>
        <w:tblLook w:val="0000"/>
      </w:tblPr>
      <w:tblGrid>
        <w:gridCol w:w="2515"/>
        <w:gridCol w:w="6681"/>
      </w:tblGrid>
      <w:tr w:rsidTr="007D3D2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EVIDENCE GUIDE</w:t>
            </w:r>
          </w:p>
        </w:tc>
      </w:tr>
      <w:tr w:rsidTr="007D3D2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The Evidence Guide provides advice on assessment and must be read in conjunction with the Performance Criteria, Required Skills and Knowledge, the Range Statement and the Assessment Guidelines for theTraining Package.</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Assessment fo</w:t>
            </w:r>
            <w:r w:rsidRPr="00A2124B">
              <w:t>r this unit of competency will be on an operating plant.  The unit will be assessed in as holistic a manner as is practical and may be integrated with the assessment of other relevant units of competency.  Assessment will occur over a range of situations w</w:t>
            </w:r>
            <w:r w:rsidRPr="00A2124B">
              <w:t>hich will include disruptions to normal, smooth operation.</w:t>
            </w:r>
          </w:p>
          <w:p w:rsidR="00000000" w:rsidP="00A2124B">
            <w:pPr>
              <w:pStyle w:val="BodyText"/>
              <w:rPr>
                <w:lang w:val="en-NZ"/>
              </w:rPr>
            </w:pPr>
            <w:r w:rsidRPr="00A2124B">
              <w:t xml:space="preserve">Simulation may be required to allow for timely assessment of parts of this competency unit (eg Elements 2, 5).  Simulation should be based on the actual plant and will include walk-throughs of the </w:t>
            </w:r>
            <w:r w:rsidRPr="00A2124B">
              <w:t>relevant competency components.  Simulations may also include the use of case studies/scenarios and role plays.</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Competence must be demonstrated in the ability to recognise and analyse potential situations requiring action and then in implementing appropriate corrective action.</w:t>
            </w:r>
          </w:p>
          <w:p w:rsidR="00000000" w:rsidRPr="00A2124B" w:rsidP="00A2124B">
            <w:pPr>
              <w:pStyle w:val="BodyText"/>
            </w:pPr>
            <w:r w:rsidRPr="00A2124B">
              <w:t xml:space="preserve">The emphasis should be on the ability to stay out of trouble rather than on recovery from </w:t>
            </w:r>
            <w:r w:rsidRPr="00A2124B">
              <w:t>a disaster.</w:t>
            </w:r>
          </w:p>
          <w:p w:rsidR="00000000" w:rsidRPr="00A2124B" w:rsidP="00A2124B">
            <w:pPr>
              <w:pStyle w:val="BodyText"/>
            </w:pPr>
            <w:r w:rsidRPr="00A2124B">
              <w:t>Consistent performance should be demonstrated.  In particular look to see that:</w:t>
            </w:r>
          </w:p>
          <w:p w:rsidR="00000000" w:rsidRPr="00A2124B" w:rsidP="00A2124B">
            <w:pPr>
              <w:pStyle w:val="ListBullet"/>
            </w:pPr>
            <w:r w:rsidRPr="00A2124B">
              <w:t>emergency responses are known.</w:t>
            </w:r>
          </w:p>
          <w:p w:rsidR="00000000" w:rsidRPr="00A2124B" w:rsidP="00A2124B">
            <w:pPr>
              <w:pStyle w:val="ListBullet"/>
            </w:pPr>
            <w:r w:rsidRPr="00A2124B">
              <w:t>hazards are recognised and all site requirements to reduce or remove hazards are known and completed as part of the job.</w:t>
            </w:r>
          </w:p>
          <w:p w:rsidR="00000000" w:rsidRPr="00A2124B" w:rsidP="00A2124B">
            <w:pPr>
              <w:pStyle w:val="ListBullet"/>
            </w:pPr>
            <w:r w:rsidRPr="00A2124B">
              <w:t>early warni</w:t>
            </w:r>
            <w:r w:rsidRPr="00A2124B">
              <w:t>ng signs of equipment needing attention or with potential problems are recognised, that is, alarms, indicators or unusual noises or performance in equipment.</w:t>
            </w:r>
          </w:p>
          <w:p w:rsidR="00000000" w:rsidP="00A2124B">
            <w:pPr>
              <w:pStyle w:val="BodyText"/>
              <w:rPr>
                <w:lang w:val="en-NZ"/>
              </w:rPr>
            </w:pPr>
            <w:r w:rsidRPr="00A2124B">
              <w:t>These aspects may be best assessed using a range of scenarios/case studies/what-ifs as the stimulu</w:t>
            </w:r>
            <w:r w:rsidRPr="00A2124B">
              <w:t>s with a walk-through forming part of the response.  These assessment activities should include a range of problems, including new, unusual and improbable situations that may have been generated from the past incident history of the plant, incidents on sim</w:t>
            </w:r>
            <w:r w:rsidRPr="00A2124B">
              <w:t>ilar plants around the world, hazard analysis activities and similar sources.</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Assessment will require access to an operating plant over an extended period of time, or a suitable method of gathering evidence</w:t>
            </w:r>
            <w:r w:rsidRPr="00A2124B">
              <w:t xml:space="preserve"> of operating ability over a range of situations.  A bank of scenarios/case studies/what-ifs will be required as will a bank of questions which will be used to probe the reasoning behind the observable actions.</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Method of assessment</w:t>
            </w:r>
            <w:r w:rsidRPr="00A2124B">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In all plants it may b</w:t>
            </w:r>
            <w:r w:rsidRPr="00A2124B">
              <w:t>e appropriate to assess this unit concurrently with relevant teamwork and communication units.  Consider co-assessment with other relevant units.</w:t>
            </w:r>
          </w:p>
          <w:p w:rsidR="00000000" w:rsidRPr="00A2124B" w:rsidP="00A2124B">
            <w:pPr>
              <w:pStyle w:val="BodyText"/>
            </w:pPr>
            <w:r w:rsidRPr="00A2124B">
              <w:t>This competency may be assessed in conjunction with:</w:t>
            </w:r>
          </w:p>
          <w:p w:rsidR="00000000" w:rsidRPr="00A2124B" w:rsidP="00A2124B">
            <w:pPr>
              <w:pStyle w:val="ListBullet"/>
            </w:pPr>
            <w:r w:rsidRPr="00A2124B">
              <w:rPr>
                <w:rStyle w:val="Emphasis"/>
              </w:rPr>
              <w:t>MSAPMOHS200A Work safely</w:t>
            </w:r>
          </w:p>
          <w:p w:rsidR="00000000" w:rsidRPr="00A2124B" w:rsidP="00A2124B">
            <w:pPr>
              <w:pStyle w:val="ListBullet"/>
            </w:pPr>
            <w:r w:rsidRPr="00A2124B">
              <w:rPr>
                <w:rStyle w:val="Emphasis"/>
              </w:rPr>
              <w:t>MSAPMOHS110A Follow emergency response procedures</w:t>
            </w:r>
          </w:p>
          <w:p w:rsidR="00000000" w:rsidRPr="00A2124B" w:rsidP="00A2124B">
            <w:pPr>
              <w:pStyle w:val="ListBullet"/>
            </w:pPr>
            <w:r w:rsidRPr="00A2124B">
              <w:rPr>
                <w:rStyle w:val="Emphasis"/>
              </w:rPr>
              <w:t>MSAPMSUP205A</w:t>
            </w:r>
            <w:r w:rsidRPr="00A2124B">
              <w:t xml:space="preserve"> Transfer loads.</w:t>
            </w:r>
          </w:p>
          <w:p w:rsidR="00000000" w:rsidP="00A2124B">
            <w:pPr>
              <w:pStyle w:val="BodyText"/>
              <w:rPr>
                <w:lang w:val="en-NZ"/>
              </w:rPr>
            </w:pPr>
            <w:r w:rsidRPr="00A2124B">
              <w:t>Other units which are relevant to the job.</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Assessment processes and techniques must be culturally appropriate and appropriate to the oracy, language and literacy capacity of the assessee and the work being performed.</w:t>
            </w:r>
          </w:p>
        </w:tc>
      </w:tr>
    </w:tbl>
    <w:p w:rsidR="00000000" w:rsidRPr="00A2124B" w:rsidP="00A2124B">
      <w:pPr>
        <w:pStyle w:val="BodyText"/>
      </w:pPr>
    </w:p>
    <w:p w:rsidR="00000000" w:rsidRPr="00A2124B" w:rsidP="00A2124B">
      <w:pPr>
        <w:pStyle w:val="AllowPageBreak"/>
      </w:pPr>
    </w:p>
    <w:p w:rsidR="00000000" w:rsidRPr="00A2124B" w:rsidP="00A2124B">
      <w:pPr>
        <w:pStyle w:val="Heading1"/>
      </w:pPr>
      <w:bookmarkStart w:id="11" w:name="O_107545"/>
      <w:bookmarkEnd w:id="11"/>
      <w:r w:rsidRPr="00A2124B">
        <w:t>Range Statement</w:t>
      </w:r>
    </w:p>
    <w:tbl>
      <w:tblPr>
        <w:tblW w:w="0" w:type="auto"/>
        <w:tblCellMar>
          <w:left w:w="62" w:type="dxa"/>
          <w:right w:w="62" w:type="dxa"/>
        </w:tblCellMar>
        <w:tblLook w:val="0000"/>
      </w:tblPr>
      <w:tblGrid>
        <w:gridCol w:w="2510"/>
        <w:gridCol w:w="6686"/>
      </w:tblGrid>
      <w:tr w:rsidTr="007D3D2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RANGE STATEMENT</w:t>
            </w:r>
          </w:p>
        </w:tc>
      </w:tr>
      <w:tr w:rsidTr="007D3D26">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The Range Statement relates to the unit of competency as a whole. It allows for different work environments and situations that may affect performance. Bold italicized wording, if used in the Performance Criteria, is detailed below. Add any essential opera</w:t>
            </w:r>
            <w:r w:rsidRPr="00A2124B">
              <w:t>ting conditions that may be present with training and assessment depending on the work situation, needs if the candidate, accessibility of the item, and local industry and regional contexts.</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Codes of practice</w:t>
            </w:r>
            <w:r w:rsidRPr="00A2124B">
              <w:t xml:space="preserve">/ </w:t>
            </w:r>
            <w:r w:rsidRPr="00A2124B">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Where reference is made to industr</w:t>
            </w:r>
            <w:r w:rsidRPr="00A2124B">
              <w:t>y codes of practice, and/or Australian/international standards, the latest version must be used.</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Appropriate action includes:</w:t>
            </w:r>
          </w:p>
          <w:p w:rsidR="00000000" w:rsidRPr="00A2124B" w:rsidP="00A2124B">
            <w:pPr>
              <w:pStyle w:val="ListBullet"/>
            </w:pPr>
            <w:r w:rsidRPr="00A2124B">
              <w:t>determining problems needing action</w:t>
            </w:r>
          </w:p>
          <w:p w:rsidR="00000000" w:rsidRPr="00A2124B" w:rsidP="00A2124B">
            <w:pPr>
              <w:pStyle w:val="ListBullet"/>
            </w:pPr>
            <w:r w:rsidRPr="00A2124B">
              <w:t>determining possible fault causes</w:t>
            </w:r>
          </w:p>
          <w:p w:rsidR="00000000" w:rsidRPr="00A2124B" w:rsidP="00A2124B">
            <w:pPr>
              <w:pStyle w:val="ListBullet"/>
            </w:pPr>
            <w:r w:rsidRPr="00A2124B">
              <w:t>rectifying problem using appropriate solution within area of responsibility</w:t>
            </w:r>
          </w:p>
          <w:p w:rsidR="00000000" w:rsidRPr="00A2124B" w:rsidP="00A2124B">
            <w:pPr>
              <w:pStyle w:val="ListBullet"/>
            </w:pPr>
            <w:r w:rsidRPr="00A2124B">
              <w:t>following through items initiated until final resolution has occurred</w:t>
            </w:r>
          </w:p>
          <w:p w:rsidR="00000000" w:rsidP="00A2124B">
            <w:pPr>
              <w:pStyle w:val="ListBullet"/>
              <w:rPr>
                <w:lang w:val="en-NZ"/>
              </w:rPr>
            </w:pPr>
            <w:r w:rsidRPr="00A2124B">
              <w:t>reporting problems outside area of responsibility to designated person.</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Cell maintenance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Reduction cell maint</w:t>
            </w:r>
            <w:r w:rsidRPr="00A2124B">
              <w:t>enance activities includes:</w:t>
            </w:r>
          </w:p>
          <w:p w:rsidR="00000000" w:rsidRPr="00A2124B" w:rsidP="00A2124B">
            <w:pPr>
              <w:pStyle w:val="ListBullet"/>
            </w:pPr>
            <w:r w:rsidRPr="00A2124B">
              <w:t>adjusting bath cover</w:t>
            </w:r>
          </w:p>
          <w:p w:rsidR="00000000" w:rsidRPr="00A2124B" w:rsidP="00A2124B">
            <w:pPr>
              <w:pStyle w:val="ListBullet"/>
            </w:pPr>
            <w:r w:rsidRPr="00A2124B">
              <w:t>housekeeping</w:t>
            </w:r>
          </w:p>
          <w:p w:rsidR="00000000" w:rsidP="00A2124B">
            <w:pPr>
              <w:pStyle w:val="ListBullet"/>
              <w:rPr>
                <w:lang w:val="en-NZ"/>
              </w:rPr>
            </w:pPr>
            <w:r w:rsidRPr="00A2124B">
              <w:t>ensuring covers, safety equipment and guards are in place</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Emergency responses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 xml:space="preserve">Emergency responses include those related to: </w:t>
            </w:r>
          </w:p>
          <w:p w:rsidR="00000000" w:rsidRPr="00A2124B" w:rsidP="00A2124B">
            <w:pPr>
              <w:pStyle w:val="ListBullet"/>
            </w:pPr>
            <w:r w:rsidRPr="00A2124B">
              <w:t xml:space="preserve">leak/loss of containment </w:t>
            </w:r>
          </w:p>
          <w:p w:rsidR="00000000" w:rsidRPr="00A2124B" w:rsidP="00A2124B">
            <w:pPr>
              <w:pStyle w:val="ListBullet"/>
            </w:pPr>
            <w:r w:rsidRPr="00A2124B">
              <w:t>evacuation due to fire or open circuit c</w:t>
            </w:r>
            <w:r w:rsidRPr="00A2124B">
              <w:t>ell</w:t>
            </w:r>
          </w:p>
          <w:p w:rsidR="00000000" w:rsidRPr="00A2124B" w:rsidP="00A2124B">
            <w:pPr>
              <w:pStyle w:val="ListBullet"/>
            </w:pPr>
            <w:r w:rsidRPr="00A2124B">
              <w:t>loss of power</w:t>
            </w:r>
          </w:p>
          <w:p w:rsidR="00000000" w:rsidRPr="00A2124B" w:rsidP="00A2124B">
            <w:pPr>
              <w:pStyle w:val="ListBullet"/>
            </w:pPr>
            <w:r w:rsidRPr="00A2124B">
              <w:t>excessive emissions of fumes or particulate</w:t>
            </w:r>
          </w:p>
          <w:p w:rsidR="00000000" w:rsidRPr="00A2124B" w:rsidP="00A2124B">
            <w:pPr>
              <w:pStyle w:val="ListBullet"/>
            </w:pPr>
            <w:r w:rsidRPr="00A2124B">
              <w:t>major oil spill</w:t>
            </w:r>
          </w:p>
          <w:p w:rsidR="00000000" w:rsidP="00A2124B">
            <w:pPr>
              <w:pStyle w:val="ListBullet"/>
              <w:rPr>
                <w:lang w:val="en-NZ"/>
              </w:rPr>
            </w:pPr>
            <w:r w:rsidRPr="00A2124B">
              <w:t>equipment failure.</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Equipment and tools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Equipment and tools may include:</w:t>
            </w:r>
          </w:p>
          <w:p w:rsidR="00000000" w:rsidRPr="00A2124B" w:rsidP="00A2124B">
            <w:pPr>
              <w:pStyle w:val="ListBullet"/>
            </w:pPr>
            <w:r w:rsidRPr="00A2124B">
              <w:t>cell tending equipment</w:t>
            </w:r>
          </w:p>
          <w:p w:rsidR="00000000" w:rsidRPr="00A2124B" w:rsidP="00A2124B">
            <w:pPr>
              <w:pStyle w:val="ListBullet"/>
            </w:pPr>
            <w:r w:rsidRPr="00A2124B">
              <w:t>hand tools</w:t>
            </w:r>
          </w:p>
          <w:p w:rsidR="00000000" w:rsidRPr="00A2124B" w:rsidP="00A2124B">
            <w:pPr>
              <w:pStyle w:val="ListBullet"/>
            </w:pPr>
            <w:r w:rsidRPr="00A2124B">
              <w:t>harnesses and slings</w:t>
            </w:r>
          </w:p>
          <w:p w:rsidR="00000000" w:rsidP="00A2124B">
            <w:pPr>
              <w:pStyle w:val="ListBullet"/>
              <w:rPr>
                <w:lang w:val="en-NZ"/>
              </w:rPr>
            </w:pPr>
            <w:r w:rsidRPr="00A2124B">
              <w:t>materials handling equipment.</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Haz</w:t>
            </w:r>
            <w:r w:rsidRPr="00A2124B">
              <w:t>ards may include:</w:t>
            </w:r>
          </w:p>
          <w:p w:rsidR="00000000" w:rsidRPr="00A2124B" w:rsidP="00A2124B">
            <w:pPr>
              <w:pStyle w:val="ListBullet"/>
            </w:pPr>
            <w:r w:rsidRPr="00A2124B">
              <w:t>heat (burns, dehydration and heat stress)</w:t>
            </w:r>
          </w:p>
          <w:p w:rsidR="00000000" w:rsidRPr="00A2124B" w:rsidP="00A2124B">
            <w:pPr>
              <w:pStyle w:val="ListBullet"/>
            </w:pPr>
            <w:r w:rsidRPr="00A2124B">
              <w:t>energy sources, eg hydraulic, pneumatic and electric</w:t>
            </w:r>
          </w:p>
          <w:p w:rsidR="00000000" w:rsidRPr="00A2124B" w:rsidP="00A2124B">
            <w:pPr>
              <w:pStyle w:val="ListBullet"/>
            </w:pPr>
            <w:r w:rsidRPr="00A2124B">
              <w:t>electro magnetic effects</w:t>
            </w:r>
          </w:p>
          <w:p w:rsidR="00000000" w:rsidRPr="00A2124B" w:rsidP="00A2124B">
            <w:pPr>
              <w:pStyle w:val="ListBullet"/>
            </w:pPr>
            <w:r w:rsidRPr="00A2124B">
              <w:t>high pressure piping and valves</w:t>
            </w:r>
          </w:p>
          <w:p w:rsidR="00000000" w:rsidRPr="00A2124B" w:rsidP="00A2124B">
            <w:pPr>
              <w:pStyle w:val="ListBullet"/>
            </w:pPr>
            <w:r w:rsidRPr="00A2124B">
              <w:t>pinch and crush points</w:t>
            </w:r>
          </w:p>
          <w:p w:rsidR="00000000" w:rsidRPr="00A2124B" w:rsidP="00A2124B">
            <w:pPr>
              <w:pStyle w:val="ListBullet"/>
            </w:pPr>
            <w:r w:rsidRPr="00A2124B">
              <w:t>moisture</w:t>
            </w:r>
          </w:p>
          <w:p w:rsidR="00000000" w:rsidRPr="00A2124B" w:rsidP="00A2124B">
            <w:pPr>
              <w:pStyle w:val="ListBullet"/>
            </w:pPr>
            <w:r w:rsidRPr="00A2124B">
              <w:t>banned items</w:t>
            </w:r>
          </w:p>
          <w:p w:rsidR="00000000" w:rsidRPr="00A2124B" w:rsidP="00A2124B">
            <w:pPr>
              <w:pStyle w:val="ListBullet"/>
            </w:pPr>
            <w:r w:rsidRPr="00A2124B">
              <w:t>mobile equipment and pedestrian interaction</w:t>
            </w:r>
          </w:p>
          <w:p w:rsidR="00000000" w:rsidRPr="00A2124B" w:rsidP="00A2124B">
            <w:pPr>
              <w:pStyle w:val="ListBullet"/>
            </w:pPr>
            <w:r w:rsidRPr="00A2124B">
              <w:t>suspended loads and roller conveyors</w:t>
            </w:r>
          </w:p>
          <w:p w:rsidR="00000000" w:rsidRPr="00A2124B" w:rsidP="00A2124B">
            <w:pPr>
              <w:pStyle w:val="ListBullet"/>
            </w:pPr>
            <w:r w:rsidRPr="00A2124B">
              <w:t>hazardous materials, eg reactive alumina, kaowool, tar and pitch</w:t>
            </w:r>
          </w:p>
          <w:p w:rsidR="00000000" w:rsidP="00A2124B">
            <w:pPr>
              <w:pStyle w:val="ListBullet"/>
              <w:rPr>
                <w:lang w:val="en-NZ"/>
              </w:rPr>
            </w:pPr>
            <w:r w:rsidRPr="00A2124B">
              <w:t>molten materials.</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Hazard control methods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Hazard control measures should follow the hierarchy of control, be s</w:t>
            </w:r>
            <w:r w:rsidRPr="00A2124B">
              <w:t>pecific to the hazard and work area and include relevant Personal Protective Equipment</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Housekeeping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Housekeeping procedure may include cleaning the area, removal of contaminants, safety inspections and rectification of issues that could compromise safety.</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Isolation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Isolation refers to the complete isolation of the equipment from all sources of power or energy or isolate process flows and movement of machinery such to render it safe to work on as per site procedure.</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Personal protective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 xml:space="preserve">Personal </w:t>
            </w:r>
            <w:r w:rsidRPr="00A2124B">
              <w:t>Protective Equipment (PPE) requirements relate to the specified PPE for the task or job to be undertaken.  PPE may include specific insulated boots, heat resistant material, full-ventilated suits, full-face masks or situation specific equipment.</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Pre-start</w:t>
            </w:r>
            <w:r w:rsidRPr="00A2124B">
              <w:rPr>
                <w:rStyle w:val="SpecialBold"/>
              </w:rPr>
              <w:t xml:space="preserve"> checks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Pre-start checks relate to the required site or equipment pre-start checklist and must be completed before the equipment is operated or as otherwise stated in the procedures.</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 xml:space="preserve">Procedures may be written, verbal, computer-based or in some </w:t>
            </w:r>
            <w:r w:rsidRPr="00A2124B">
              <w:t>other form.  They include:</w:t>
            </w:r>
          </w:p>
          <w:p w:rsidR="00000000" w:rsidRPr="00A2124B" w:rsidP="00A2124B">
            <w:pPr>
              <w:pStyle w:val="ListBullet"/>
            </w:pPr>
            <w:r w:rsidRPr="00A2124B">
              <w:t>all work instructions</w:t>
            </w:r>
          </w:p>
          <w:p w:rsidR="00000000" w:rsidRPr="00A2124B" w:rsidP="00A2124B">
            <w:pPr>
              <w:pStyle w:val="ListBullet"/>
            </w:pPr>
            <w:r w:rsidRPr="00A2124B">
              <w:t xml:space="preserve">standard operating procedures </w:t>
            </w:r>
          </w:p>
          <w:p w:rsidR="00000000" w:rsidRPr="00A2124B" w:rsidP="00A2124B">
            <w:pPr>
              <w:pStyle w:val="ListBullet"/>
            </w:pPr>
            <w:r w:rsidRPr="00A2124B">
              <w:t xml:space="preserve">formulas/recipes </w:t>
            </w:r>
          </w:p>
          <w:p w:rsidR="00000000" w:rsidRPr="00A2124B" w:rsidP="00A2124B">
            <w:pPr>
              <w:pStyle w:val="ListBullet"/>
            </w:pPr>
            <w:r w:rsidRPr="00A2124B">
              <w:t xml:space="preserve">batch sheets </w:t>
            </w:r>
          </w:p>
          <w:p w:rsidR="00000000" w:rsidRPr="00A2124B" w:rsidP="00A2124B">
            <w:pPr>
              <w:pStyle w:val="ListBullet"/>
            </w:pPr>
            <w:r w:rsidRPr="00A2124B">
              <w:t xml:space="preserve">temporary instructions </w:t>
            </w:r>
          </w:p>
          <w:p w:rsidR="00000000" w:rsidRPr="00A2124B" w:rsidP="00A2124B">
            <w:pPr>
              <w:pStyle w:val="ListBullet"/>
            </w:pPr>
            <w:r w:rsidRPr="00A2124B">
              <w:t>any similar instructions provided for the smooth running of the plant.</w:t>
            </w:r>
          </w:p>
          <w:p w:rsidR="00000000" w:rsidP="00A2124B">
            <w:pPr>
              <w:pStyle w:val="BodyText"/>
              <w:rPr>
                <w:lang w:val="en-NZ"/>
              </w:rPr>
            </w:pPr>
            <w:r w:rsidRPr="00A2124B">
              <w:t>For the purposes of this Training Package, 'procedures' also includes good operating practice as may be defined by industry codes of practice (eg Responsible Care) and government regulations.</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Shutdown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Shut down procedure must follow equipment a</w:t>
            </w:r>
            <w:r w:rsidRPr="00A2124B">
              <w:t>nd site authorised checklist and may include:</w:t>
            </w:r>
          </w:p>
          <w:p w:rsidR="00000000" w:rsidRPr="00A2124B" w:rsidP="00A2124B">
            <w:pPr>
              <w:pStyle w:val="ListBullet"/>
            </w:pPr>
            <w:r w:rsidRPr="00A2124B">
              <w:t>communication to supply and delivery areas</w:t>
            </w:r>
          </w:p>
          <w:p w:rsidR="00000000" w:rsidRPr="00A2124B" w:rsidP="00A2124B">
            <w:pPr>
              <w:pStyle w:val="ListBullet"/>
            </w:pPr>
            <w:r w:rsidRPr="00A2124B">
              <w:t>communication to impacting areas</w:t>
            </w:r>
          </w:p>
          <w:p w:rsidR="00000000" w:rsidRPr="00A2124B" w:rsidP="00A2124B">
            <w:pPr>
              <w:pStyle w:val="ListBullet"/>
            </w:pPr>
            <w:r w:rsidRPr="00A2124B">
              <w:t>obtaining appropriate authorisations</w:t>
            </w:r>
          </w:p>
          <w:p w:rsidR="00000000" w:rsidRPr="00A2124B" w:rsidP="00A2124B">
            <w:pPr>
              <w:pStyle w:val="ListBullet"/>
            </w:pPr>
            <w:r w:rsidRPr="00A2124B">
              <w:t>rescheduling operations</w:t>
            </w:r>
          </w:p>
          <w:p w:rsidR="00000000" w:rsidP="00A2124B">
            <w:pPr>
              <w:pStyle w:val="ListBullet"/>
              <w:rPr>
                <w:lang w:val="en-NZ"/>
              </w:rPr>
            </w:pPr>
            <w:r w:rsidRPr="00A2124B">
              <w:t>liaison with maintenance teams.</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Reports and records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Reports and records may include:</w:t>
            </w:r>
          </w:p>
          <w:p w:rsidR="00000000" w:rsidRPr="00A2124B" w:rsidP="00A2124B">
            <w:pPr>
              <w:pStyle w:val="ListBullet"/>
            </w:pPr>
            <w:r w:rsidRPr="00A2124B">
              <w:t>computer readouts locally or in the control room</w:t>
            </w:r>
          </w:p>
          <w:p w:rsidR="00000000" w:rsidRPr="00A2124B" w:rsidP="00A2124B">
            <w:pPr>
              <w:pStyle w:val="ListBullet"/>
            </w:pPr>
            <w:r w:rsidRPr="00A2124B">
              <w:t>routine inspections (daily readings, monthly checks)</w:t>
            </w:r>
          </w:p>
          <w:p w:rsidR="00000000" w:rsidRPr="00A2124B" w:rsidP="00A2124B">
            <w:pPr>
              <w:pStyle w:val="ListBullet"/>
            </w:pPr>
            <w:r w:rsidRPr="00A2124B">
              <w:t>scheduled maintenance activities</w:t>
            </w:r>
          </w:p>
          <w:p w:rsidR="00000000" w:rsidRPr="00A2124B" w:rsidP="00A2124B">
            <w:pPr>
              <w:pStyle w:val="ListBullet"/>
            </w:pPr>
            <w:r w:rsidRPr="00A2124B">
              <w:t>shift log sheet</w:t>
            </w:r>
          </w:p>
          <w:p w:rsidR="00000000" w:rsidRPr="00A2124B" w:rsidP="00A2124B">
            <w:pPr>
              <w:pStyle w:val="ListBullet"/>
            </w:pPr>
            <w:r w:rsidRPr="00A2124B">
              <w:t>mandatory or statutory inspections</w:t>
            </w:r>
          </w:p>
          <w:p w:rsidR="00000000" w:rsidRPr="00A2124B" w:rsidP="00A2124B">
            <w:pPr>
              <w:pStyle w:val="ListBullet"/>
            </w:pPr>
            <w:r w:rsidRPr="00A2124B">
              <w:t>hazard, accident and incident report</w:t>
            </w:r>
            <w:r w:rsidRPr="00A2124B">
              <w:t>s</w:t>
            </w:r>
          </w:p>
          <w:p w:rsidR="00000000" w:rsidP="00A2124B">
            <w:pPr>
              <w:pStyle w:val="ListBullet"/>
              <w:rPr>
                <w:lang w:val="en-NZ"/>
              </w:rPr>
            </w:pPr>
            <w:r w:rsidRPr="00A2124B">
              <w:t>quality inspection reports of the product.</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Work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t>Work requirements includes shift briefings, shift logs supervisor or crew leader meetings, toolbox talks and handover details.</w:t>
            </w:r>
          </w:p>
        </w:tc>
      </w:tr>
      <w:tr w:rsidTr="007D3D2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Health</w:t>
            </w:r>
            <w:r w:rsidRPr="00A2124B">
              <w:t xml:space="preserve">, </w:t>
            </w:r>
            <w:r w:rsidRPr="00A2124B">
              <w:rPr>
                <w:rStyle w:val="SpecialBold"/>
              </w:rPr>
              <w:t>safety and environment</w:t>
            </w:r>
            <w:r w:rsidRPr="00A2124B">
              <w:t xml:space="preserve"> (</w:t>
            </w:r>
            <w:r w:rsidRPr="00A2124B">
              <w:rPr>
                <w:rStyle w:val="SpecialBold"/>
              </w:rPr>
              <w:t>HSE</w:t>
            </w:r>
            <w:r w:rsidRPr="00A2124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All operations to which thi</w:t>
            </w:r>
            <w:r w:rsidRPr="00A2124B">
              <w:t>s unit applies are subject to stringent health, safety and environment requirements, which may be imposed through State or Federal legislation, and these must not be compromised at any time.  Where there is an apparent conflict between Performance Criteria</w:t>
            </w:r>
            <w:r w:rsidRPr="00A2124B">
              <w:t xml:space="preserve"> and HSE requirements, the HSE requirements take precedence.</w:t>
            </w:r>
          </w:p>
          <w:p w:rsidR="00000000" w:rsidRPr="00A2124B" w:rsidP="00A2124B">
            <w:pPr>
              <w:pStyle w:val="BodyText"/>
            </w:pPr>
            <w:r w:rsidRPr="00A2124B">
              <w:t>Persons are required to have skills in hazard identification, assessment and application of control measures, eg spills and leaks identified, contained and cleaned up.  Exposure to hazardous mate</w:t>
            </w:r>
            <w:r w:rsidRPr="00A2124B">
              <w:t>rials requires minimal personal contact, recognition of hazards and appropriate controls.</w:t>
            </w:r>
          </w:p>
        </w:tc>
      </w:tr>
    </w:tbl>
    <w:p w:rsidR="007D3D26" w:rsidP="00A2124B">
      <w:pPr>
        <w:pStyle w:val="BodyText"/>
      </w:pPr>
    </w:p>
    <w:p w:rsidR="007D3D26" w:rsidP="00A2124B">
      <w:pPr>
        <w:pStyle w:val="BodyText"/>
      </w:pPr>
    </w:p>
    <w:p w:rsidR="00000000" w:rsidRPr="00A2124B" w:rsidP="00A2124B">
      <w:pPr>
        <w:pStyle w:val="Heading1"/>
      </w:pPr>
      <w:bookmarkStart w:id="12" w:name="O_107546"/>
      <w:bookmarkEnd w:id="12"/>
      <w:r w:rsidRPr="00A2124B">
        <w:t>Unit Sector(s)</w:t>
      </w:r>
    </w:p>
    <w:tbl>
      <w:tblPr>
        <w:tblW w:w="0" w:type="auto"/>
        <w:tblCellMar>
          <w:left w:w="62" w:type="dxa"/>
          <w:right w:w="62" w:type="dxa"/>
        </w:tblCellMar>
        <w:tblLook w:val="0000"/>
      </w:tblPr>
      <w:tblGrid>
        <w:gridCol w:w="2819"/>
        <w:gridCol w:w="6377"/>
      </w:tblGrid>
      <w:tr w:rsidTr="007D3D2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r w:rsidRPr="00A2124B">
              <w:t>Operational/technical</w:t>
            </w:r>
          </w:p>
        </w:tc>
      </w:tr>
    </w:tbl>
    <w:p w:rsidR="00000000" w:rsidRPr="00A2124B" w:rsidP="00A2124B">
      <w:pPr>
        <w:pStyle w:val="BodyText"/>
      </w:pPr>
    </w:p>
    <w:p w:rsidR="00000000" w:rsidRPr="00A2124B" w:rsidP="00A2124B">
      <w:pPr>
        <w:pStyle w:val="AllowPageBreak"/>
      </w:pPr>
    </w:p>
    <w:p w:rsidR="00000000" w:rsidRPr="00A2124B" w:rsidP="00A2124B">
      <w:pPr>
        <w:pStyle w:val="Heading1"/>
      </w:pPr>
      <w:bookmarkStart w:id="13" w:name="O_160045"/>
      <w:bookmarkEnd w:id="13"/>
      <w:r w:rsidRPr="00A2124B">
        <w:t>Competency field</w:t>
      </w:r>
    </w:p>
    <w:tbl>
      <w:tblPr>
        <w:tblW w:w="0" w:type="auto"/>
        <w:tblCellMar>
          <w:left w:w="62" w:type="dxa"/>
          <w:right w:w="62" w:type="dxa"/>
        </w:tblCellMar>
        <w:tblLook w:val="0000"/>
      </w:tblPr>
      <w:tblGrid>
        <w:gridCol w:w="2819"/>
        <w:gridCol w:w="6377"/>
      </w:tblGrid>
      <w:tr w:rsidTr="007D3D2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p>
        </w:tc>
      </w:tr>
    </w:tbl>
    <w:p w:rsidR="00000000" w:rsidRPr="00A2124B" w:rsidP="00A2124B">
      <w:pPr>
        <w:pStyle w:val="BodyText"/>
      </w:pPr>
    </w:p>
    <w:p w:rsidR="00000000" w:rsidRPr="00A2124B" w:rsidP="00A2124B">
      <w:pPr>
        <w:pStyle w:val="AllowPageBreak"/>
      </w:pPr>
    </w:p>
    <w:p w:rsidR="00000000" w:rsidRPr="00A2124B" w:rsidP="00A2124B">
      <w:pPr>
        <w:pStyle w:val="Heading1"/>
      </w:pPr>
      <w:bookmarkStart w:id="14" w:name="O_160044"/>
      <w:bookmarkEnd w:id="14"/>
      <w:r w:rsidRPr="00A2124B">
        <w:t>Co-requisite units</w:t>
      </w:r>
    </w:p>
    <w:tbl>
      <w:tblPr>
        <w:tblW w:w="0" w:type="auto"/>
        <w:tblCellMar>
          <w:left w:w="62" w:type="dxa"/>
          <w:right w:w="62" w:type="dxa"/>
        </w:tblCellMar>
        <w:tblLook w:val="0000"/>
      </w:tblPr>
      <w:tblGrid>
        <w:gridCol w:w="2819"/>
        <w:gridCol w:w="3188"/>
        <w:gridCol w:w="3189"/>
      </w:tblGrid>
      <w:tr w:rsidTr="007D3D2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124B">
            <w:pPr>
              <w:pStyle w:val="BodyText"/>
              <w:rPr>
                <w:lang w:val="en-NZ"/>
              </w:rPr>
            </w:pPr>
            <w:r w:rsidRPr="00A2124B">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124B" w:rsidP="00A2124B">
            <w:pPr>
              <w:pStyle w:val="BodyText"/>
            </w:pPr>
          </w:p>
        </w:tc>
      </w:tr>
    </w:tbl>
    <w:p w:rsidR="00000000" w:rsidRPr="00A2124B" w:rsidP="00A2124B">
      <w:pPr>
        <w:pStyle w:val="BodyText"/>
      </w:pPr>
    </w:p>
    <w:p w:rsidR="00000000" w:rsidRPr="00A2124B" w:rsidP="00A2124B"/>
    <w:sectPr w:rsidSect="00A212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D26" w:rsidP="007D3D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D26" w:rsidP="00A21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D3D26" w:rsidP="00A212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3D26" w:rsidP="00A212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3D26" w:rsidP="007D3D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D26" w:rsidP="00A2124B">
    <w:pPr>
      <w:pStyle w:val="Header"/>
      <w:framePr w:wrap="around"/>
    </w:pPr>
    <w:r>
      <w:fldChar w:fldCharType="begin"/>
    </w:r>
    <w:r>
      <w:instrText xml:space="preserve"> TITLE   \* MERGEFORMAT </w:instrText>
    </w:r>
    <w:r>
      <w:fldChar w:fldCharType="separate"/>
    </w:r>
    <w:r>
      <w:t>PMASMELT269A Operate cell tending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3D26" w:rsidP="00A212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A6D8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80EA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2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124B"/>
    <w:pPr>
      <w:spacing w:before="360" w:after="60"/>
      <w:outlineLvl w:val="0"/>
    </w:pPr>
    <w:rPr>
      <w:sz w:val="32"/>
    </w:rPr>
  </w:style>
  <w:style w:type="paragraph" w:styleId="Heading2">
    <w:name w:val="heading 2"/>
    <w:basedOn w:val="HeadingBase"/>
    <w:next w:val="BodyText"/>
    <w:link w:val="Heading2Char"/>
    <w:qFormat/>
    <w:rsid w:val="00A2124B"/>
    <w:pPr>
      <w:keepLines/>
      <w:spacing w:before="240" w:after="120"/>
      <w:outlineLvl w:val="1"/>
    </w:pPr>
    <w:rPr>
      <w:sz w:val="28"/>
      <w:szCs w:val="40"/>
    </w:rPr>
  </w:style>
  <w:style w:type="paragraph" w:styleId="Heading3">
    <w:name w:val="heading 3"/>
    <w:basedOn w:val="HeadingBase"/>
    <w:next w:val="BodyText"/>
    <w:link w:val="Heading3Char"/>
    <w:qFormat/>
    <w:rsid w:val="00A2124B"/>
    <w:pPr>
      <w:spacing w:before="180" w:after="120"/>
      <w:outlineLvl w:val="2"/>
    </w:pPr>
    <w:rPr>
      <w:spacing w:val="-10"/>
      <w:kern w:val="32"/>
    </w:rPr>
  </w:style>
  <w:style w:type="paragraph" w:styleId="Heading4">
    <w:name w:val="heading 4"/>
    <w:basedOn w:val="HeadingBase"/>
    <w:next w:val="BodyText"/>
    <w:link w:val="Heading4Char"/>
    <w:qFormat/>
    <w:rsid w:val="00A2124B"/>
    <w:pPr>
      <w:spacing w:before="160" w:after="120"/>
      <w:outlineLvl w:val="3"/>
    </w:pPr>
    <w:rPr>
      <w:sz w:val="22"/>
    </w:rPr>
  </w:style>
  <w:style w:type="paragraph" w:styleId="Heading5">
    <w:name w:val="heading 5"/>
    <w:basedOn w:val="HeadingBase"/>
    <w:next w:val="Normal"/>
    <w:link w:val="Heading5Char"/>
    <w:qFormat/>
    <w:rsid w:val="00A2124B"/>
    <w:pPr>
      <w:spacing w:before="80"/>
      <w:outlineLvl w:val="4"/>
    </w:pPr>
    <w:rPr>
      <w:color w:val="918585"/>
      <w:sz w:val="20"/>
    </w:rPr>
  </w:style>
  <w:style w:type="paragraph" w:styleId="Heading6">
    <w:name w:val="heading 6"/>
    <w:basedOn w:val="HeadingBase"/>
    <w:next w:val="Normal"/>
    <w:link w:val="Heading6Char"/>
    <w:qFormat/>
    <w:rsid w:val="00A2124B"/>
    <w:pPr>
      <w:spacing w:before="60"/>
      <w:outlineLvl w:val="5"/>
    </w:pPr>
    <w:rPr>
      <w:color w:val="918585"/>
      <w:sz w:val="20"/>
    </w:rPr>
  </w:style>
  <w:style w:type="paragraph" w:styleId="Heading7">
    <w:name w:val="heading 7"/>
    <w:basedOn w:val="Normal"/>
    <w:next w:val="Normal"/>
    <w:link w:val="Heading7Char"/>
    <w:qFormat/>
    <w:rsid w:val="00A2124B"/>
    <w:pPr>
      <w:ind w:left="720"/>
      <w:outlineLvl w:val="6"/>
    </w:pPr>
    <w:rPr>
      <w:i/>
    </w:rPr>
  </w:style>
  <w:style w:type="paragraph" w:styleId="Heading8">
    <w:name w:val="heading 8"/>
    <w:basedOn w:val="Normal"/>
    <w:next w:val="Normal"/>
    <w:link w:val="Heading8Char"/>
    <w:qFormat/>
    <w:rsid w:val="00A2124B"/>
    <w:pPr>
      <w:ind w:left="720"/>
      <w:outlineLvl w:val="7"/>
    </w:pPr>
    <w:rPr>
      <w:i/>
    </w:rPr>
  </w:style>
  <w:style w:type="paragraph" w:styleId="Heading9">
    <w:name w:val="heading 9"/>
    <w:basedOn w:val="Normal"/>
    <w:next w:val="Normal"/>
    <w:link w:val="Heading9Char"/>
    <w:qFormat/>
    <w:rsid w:val="00A2124B"/>
    <w:pPr>
      <w:ind w:left="720"/>
      <w:outlineLvl w:val="8"/>
    </w:pPr>
    <w:rPr>
      <w:i/>
    </w:rPr>
  </w:style>
  <w:style w:type="character" w:default="1" w:styleId="DefaultParagraphFont">
    <w:name w:val="Default Paragraph Font"/>
    <w:uiPriority w:val="1"/>
    <w:unhideWhenUsed/>
    <w:rsid w:val="00A21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24B"/>
  </w:style>
  <w:style w:type="character" w:customStyle="1" w:styleId="Heading1Char">
    <w:name w:val="Heading 1 Char"/>
    <w:basedOn w:val="DefaultParagraphFont"/>
    <w:link w:val="Heading1"/>
    <w:rsid w:val="00A2124B"/>
    <w:rPr>
      <w:rFonts w:ascii="Times New Roman" w:eastAsia="Times New Roman" w:hAnsi="Times New Roman" w:cs="Times New Roman"/>
      <w:b/>
      <w:sz w:val="32"/>
      <w:szCs w:val="20"/>
      <w:lang w:eastAsia="en-US"/>
    </w:rPr>
  </w:style>
  <w:style w:type="paragraph" w:styleId="BodyText">
    <w:name w:val="Body Text"/>
    <w:basedOn w:val="Normal"/>
    <w:link w:val="BodyTextChar"/>
    <w:rsid w:val="00A212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124B"/>
    <w:rPr>
      <w:rFonts w:ascii="Times New Roman" w:eastAsia="Times New Roman" w:hAnsi="Times New Roman" w:cs="Times New Roman"/>
      <w:sz w:val="24"/>
      <w:lang w:val="en-US" w:eastAsia="en-US"/>
    </w:rPr>
  </w:style>
  <w:style w:type="paragraph" w:styleId="Footer">
    <w:name w:val="footer"/>
    <w:basedOn w:val="Normal"/>
    <w:link w:val="FooterChar"/>
    <w:rsid w:val="00A21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24B"/>
    <w:rPr>
      <w:rFonts w:ascii="Times New Roman" w:eastAsia="Times New Roman" w:hAnsi="Times New Roman" w:cs="Times New Roman"/>
      <w:sz w:val="16"/>
      <w:lang w:val="en-US" w:eastAsia="en-US"/>
    </w:rPr>
  </w:style>
  <w:style w:type="paragraph" w:styleId="List">
    <w:name w:val="List"/>
    <w:basedOn w:val="BodyText"/>
    <w:next w:val="BodyText"/>
    <w:rsid w:val="00A2124B"/>
    <w:pPr>
      <w:tabs>
        <w:tab w:val="left" w:pos="340"/>
      </w:tabs>
      <w:spacing w:before="60" w:after="60"/>
      <w:ind w:left="340" w:hanging="340"/>
    </w:pPr>
  </w:style>
  <w:style w:type="paragraph" w:styleId="ListBullet">
    <w:name w:val="List Bullet"/>
    <w:basedOn w:val="List"/>
    <w:rsid w:val="00A2124B"/>
    <w:pPr>
      <w:numPr>
        <w:numId w:val="12"/>
      </w:numPr>
      <w:tabs>
        <w:tab w:val="clear" w:pos="340"/>
      </w:tabs>
      <w:spacing w:before="40" w:after="40"/>
    </w:pPr>
  </w:style>
  <w:style w:type="character" w:customStyle="1" w:styleId="SpecialBold">
    <w:name w:val="Special Bold"/>
    <w:basedOn w:val="DefaultParagraphFont"/>
    <w:rsid w:val="00A2124B"/>
    <w:rPr>
      <w:b/>
      <w:spacing w:val="0"/>
    </w:rPr>
  </w:style>
  <w:style w:type="paragraph" w:styleId="Header">
    <w:name w:val="header"/>
    <w:basedOn w:val="Normal"/>
    <w:link w:val="HeaderChar"/>
    <w:rsid w:val="00A21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24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2124B"/>
    <w:rPr>
      <w:i/>
    </w:rPr>
  </w:style>
  <w:style w:type="paragraph" w:customStyle="1" w:styleId="SuperHeading">
    <w:name w:val="SuperHeading"/>
    <w:basedOn w:val="Normal"/>
    <w:rsid w:val="00A2124B"/>
    <w:pPr>
      <w:spacing w:before="240" w:after="120"/>
      <w:outlineLvl w:val="0"/>
    </w:pPr>
    <w:rPr>
      <w:rFonts w:ascii="Times New Roman" w:hAnsi="Times New Roman"/>
      <w:b/>
      <w:sz w:val="28"/>
    </w:rPr>
  </w:style>
  <w:style w:type="paragraph" w:customStyle="1" w:styleId="AllowPageBreak">
    <w:name w:val="AllowPageBreak"/>
    <w:rsid w:val="00A212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124B"/>
    <w:pPr>
      <w:tabs>
        <w:tab w:val="left" w:pos="680"/>
      </w:tabs>
      <w:spacing w:before="60" w:after="60"/>
      <w:ind w:left="680" w:hanging="340"/>
    </w:pPr>
  </w:style>
  <w:style w:type="character" w:customStyle="1" w:styleId="Heading2Char">
    <w:name w:val="Heading 2 Char"/>
    <w:basedOn w:val="DefaultParagraphFont"/>
    <w:link w:val="Heading2"/>
    <w:rsid w:val="00A21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2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12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124B"/>
    <w:rPr>
      <w:rFonts w:ascii="Courier New" w:eastAsia="Times New Roman" w:hAnsi="Courier New" w:cs="Times New Roman"/>
      <w:i/>
      <w:szCs w:val="20"/>
      <w:lang w:val="en-US" w:eastAsia="en-US"/>
    </w:rPr>
  </w:style>
  <w:style w:type="paragraph" w:customStyle="1" w:styleId="HeadingBase">
    <w:name w:val="Heading Base"/>
    <w:rsid w:val="00A21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24B"/>
    <w:pPr>
      <w:tabs>
        <w:tab w:val="right" w:leader="dot" w:pos="9072"/>
      </w:tabs>
      <w:ind w:left="567"/>
    </w:pPr>
    <w:rPr>
      <w:szCs w:val="22"/>
    </w:rPr>
  </w:style>
  <w:style w:type="paragraph" w:customStyle="1" w:styleId="TOCBase">
    <w:name w:val="TOC Base"/>
    <w:rsid w:val="00A21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24B"/>
    <w:pPr>
      <w:tabs>
        <w:tab w:val="right" w:leader="dot" w:pos="9072"/>
      </w:tabs>
      <w:spacing w:before="40" w:after="40"/>
      <w:ind w:left="284"/>
    </w:pPr>
    <w:rPr>
      <w:rFonts w:ascii="Times New Roman" w:hAnsi="Times New Roman"/>
    </w:rPr>
  </w:style>
  <w:style w:type="paragraph" w:styleId="TOC1">
    <w:name w:val="toc 1"/>
    <w:basedOn w:val="TOCBase"/>
    <w:next w:val="Normal"/>
    <w:rsid w:val="00A212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124B"/>
    <w:pPr>
      <w:spacing w:before="5040"/>
      <w:jc w:val="center"/>
    </w:pPr>
    <w:rPr>
      <w:sz w:val="48"/>
      <w:szCs w:val="72"/>
      <w:lang w:val="en-US"/>
    </w:rPr>
  </w:style>
  <w:style w:type="character" w:customStyle="1" w:styleId="TitleChar">
    <w:name w:val="Title Char"/>
    <w:basedOn w:val="DefaultParagraphFont"/>
    <w:link w:val="Title"/>
    <w:rsid w:val="00A21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24B"/>
    <w:pPr>
      <w:tabs>
        <w:tab w:val="left" w:pos="3600"/>
        <w:tab w:val="left" w:pos="3958"/>
      </w:tabs>
    </w:pPr>
  </w:style>
  <w:style w:type="paragraph" w:customStyle="1" w:styleId="Note">
    <w:name w:val="Note"/>
    <w:basedOn w:val="BodyText"/>
    <w:rsid w:val="00A21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24B"/>
    <w:pPr>
      <w:framePr w:wrap="auto" w:hAnchor="text" w:y="6049"/>
    </w:pPr>
    <w:rPr>
      <w:color w:val="000000"/>
      <w:sz w:val="40"/>
    </w:rPr>
  </w:style>
  <w:style w:type="paragraph" w:customStyle="1" w:styleId="TOCTitle">
    <w:name w:val="TOCTitle"/>
    <w:basedOn w:val="Heading1"/>
    <w:rsid w:val="00A2124B"/>
    <w:pPr>
      <w:spacing w:after="240"/>
      <w:jc w:val="center"/>
      <w:outlineLvl w:val="9"/>
    </w:pPr>
    <w:rPr>
      <w:caps/>
    </w:rPr>
  </w:style>
  <w:style w:type="paragraph" w:customStyle="1" w:styleId="Version">
    <w:name w:val="Version"/>
    <w:rsid w:val="00A212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124B"/>
    <w:pPr>
      <w:numPr>
        <w:numId w:val="13"/>
      </w:numPr>
      <w:tabs>
        <w:tab w:val="clear" w:pos="680"/>
      </w:tabs>
    </w:pPr>
  </w:style>
  <w:style w:type="paragraph" w:styleId="Index1">
    <w:name w:val="index 1"/>
    <w:basedOn w:val="Normal"/>
    <w:next w:val="Normal"/>
    <w:semiHidden/>
    <w:rsid w:val="00A2124B"/>
    <w:pPr>
      <w:keepNext w:val="0"/>
      <w:tabs>
        <w:tab w:val="right" w:pos="4176"/>
      </w:tabs>
      <w:ind w:left="198" w:hanging="198"/>
    </w:pPr>
    <w:rPr>
      <w:rFonts w:ascii="Garamond" w:hAnsi="Garamond"/>
    </w:rPr>
  </w:style>
  <w:style w:type="paragraph" w:styleId="IndexHeading">
    <w:name w:val="index heading"/>
    <w:basedOn w:val="Normal"/>
    <w:next w:val="Index1"/>
    <w:semiHidden/>
    <w:rsid w:val="00A2124B"/>
    <w:pPr>
      <w:spacing w:before="120" w:after="120"/>
    </w:pPr>
    <w:rPr>
      <w:rFonts w:ascii="Arial" w:hAnsi="Arial"/>
      <w:b/>
      <w:color w:val="918585"/>
      <w:sz w:val="24"/>
    </w:rPr>
  </w:style>
  <w:style w:type="paragraph" w:customStyle="1" w:styleId="Chapter">
    <w:name w:val="Chapter"/>
    <w:basedOn w:val="Normal"/>
    <w:rsid w:val="00A2124B"/>
    <w:pPr>
      <w:spacing w:before="240"/>
    </w:pPr>
    <w:rPr>
      <w:rFonts w:ascii="Times New Roman" w:hAnsi="Times New Roman"/>
      <w:smallCaps/>
      <w:spacing w:val="80"/>
      <w:sz w:val="28"/>
    </w:rPr>
  </w:style>
  <w:style w:type="paragraph" w:customStyle="1" w:styleId="InChapter">
    <w:name w:val="InChapter"/>
    <w:basedOn w:val="Heading3"/>
    <w:rsid w:val="00A2124B"/>
    <w:pPr>
      <w:spacing w:after="240"/>
      <w:outlineLvl w:val="9"/>
    </w:pPr>
    <w:rPr>
      <w:noProof/>
    </w:rPr>
  </w:style>
  <w:style w:type="paragraph" w:styleId="Index2">
    <w:name w:val="index 2"/>
    <w:basedOn w:val="Normal"/>
    <w:next w:val="Normal"/>
    <w:semiHidden/>
    <w:rsid w:val="00A2124B"/>
    <w:pPr>
      <w:tabs>
        <w:tab w:val="right" w:pos="4176"/>
      </w:tabs>
      <w:ind w:left="568" w:hanging="284"/>
    </w:pPr>
    <w:rPr>
      <w:rFonts w:ascii="Garamond" w:hAnsi="Garamond"/>
    </w:rPr>
  </w:style>
  <w:style w:type="paragraph" w:customStyle="1" w:styleId="Byline">
    <w:name w:val="Byline"/>
    <w:rsid w:val="00A21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24B"/>
    <w:pPr>
      <w:tabs>
        <w:tab w:val="clear" w:pos="3600"/>
        <w:tab w:val="clear" w:pos="3958"/>
      </w:tabs>
      <w:jc w:val="right"/>
    </w:pPr>
  </w:style>
  <w:style w:type="paragraph" w:styleId="Caption">
    <w:name w:val="caption"/>
    <w:basedOn w:val="BodyText"/>
    <w:next w:val="Normal"/>
    <w:qFormat/>
    <w:rsid w:val="00A2124B"/>
    <w:pPr>
      <w:framePr w:w="2268" w:hSpace="181" w:vSpace="181" w:wrap="around" w:vAnchor="text" w:hAnchor="page" w:x="1135" w:y="285" w:anchorLock="1"/>
    </w:pPr>
    <w:rPr>
      <w:i/>
    </w:rPr>
  </w:style>
  <w:style w:type="paragraph" w:customStyle="1" w:styleId="MiniTOCTitle">
    <w:name w:val="MiniTOCTitle"/>
    <w:basedOn w:val="Heading4"/>
    <w:rsid w:val="00A2124B"/>
    <w:pPr>
      <w:spacing w:before="240"/>
      <w:outlineLvl w:val="9"/>
    </w:pPr>
    <w:rPr>
      <w:noProof/>
      <w:sz w:val="24"/>
    </w:rPr>
  </w:style>
  <w:style w:type="paragraph" w:customStyle="1" w:styleId="MiniTOCItem">
    <w:name w:val="MiniTOCItem"/>
    <w:basedOn w:val="ListBullet"/>
    <w:rsid w:val="00A2124B"/>
    <w:pPr>
      <w:numPr>
        <w:numId w:val="0"/>
      </w:numPr>
      <w:tabs>
        <w:tab w:val="right" w:leader="dot" w:pos="6521"/>
      </w:tabs>
      <w:spacing w:before="0" w:after="0"/>
    </w:pPr>
  </w:style>
  <w:style w:type="paragraph" w:customStyle="1" w:styleId="TOFTitle">
    <w:name w:val="TOFTitle"/>
    <w:basedOn w:val="TOCTitle"/>
    <w:rsid w:val="00A2124B"/>
  </w:style>
  <w:style w:type="paragraph" w:styleId="TableofFigures">
    <w:name w:val="table of figures"/>
    <w:basedOn w:val="Normal"/>
    <w:next w:val="Normal"/>
    <w:semiHidden/>
    <w:rsid w:val="00A2124B"/>
    <w:pPr>
      <w:tabs>
        <w:tab w:val="right" w:leader="dot" w:pos="9072"/>
      </w:tabs>
      <w:ind w:left="970" w:hanging="403"/>
    </w:pPr>
    <w:rPr>
      <w:rFonts w:ascii="Times New Roman" w:hAnsi="Times New Roman"/>
      <w:b/>
    </w:rPr>
  </w:style>
  <w:style w:type="paragraph" w:styleId="ListNumber">
    <w:name w:val="List Number"/>
    <w:basedOn w:val="List"/>
    <w:rsid w:val="00A2124B"/>
    <w:pPr>
      <w:numPr>
        <w:numId w:val="10"/>
      </w:numPr>
    </w:pPr>
  </w:style>
  <w:style w:type="character" w:customStyle="1" w:styleId="WingdingSymbols">
    <w:name w:val="Wingding Symbols"/>
    <w:rsid w:val="00A2124B"/>
    <w:rPr>
      <w:rFonts w:ascii="Wingdings" w:hAnsi="Wingdings"/>
    </w:rPr>
  </w:style>
  <w:style w:type="paragraph" w:customStyle="1" w:styleId="TableHeading">
    <w:name w:val="Table Heading"/>
    <w:basedOn w:val="HeadingBase"/>
    <w:rsid w:val="00A2124B"/>
    <w:pPr>
      <w:keepLines/>
      <w:pBdr>
        <w:bottom w:val="single" w:sz="6" w:space="1" w:color="918585"/>
      </w:pBdr>
      <w:spacing w:before="240"/>
    </w:pPr>
  </w:style>
  <w:style w:type="character" w:customStyle="1" w:styleId="HotSpot">
    <w:name w:val="HotSpot"/>
    <w:rsid w:val="00A2124B"/>
    <w:rPr>
      <w:color w:val="0033CC"/>
      <w:u w:val="none"/>
    </w:rPr>
  </w:style>
  <w:style w:type="paragraph" w:customStyle="1" w:styleId="BodyTextRight">
    <w:name w:val="Body Text Right"/>
    <w:basedOn w:val="BodyText"/>
    <w:rsid w:val="00A2124B"/>
    <w:pPr>
      <w:spacing w:before="0" w:after="0"/>
      <w:jc w:val="right"/>
    </w:pPr>
  </w:style>
  <w:style w:type="paragraph" w:styleId="Index3">
    <w:name w:val="index 3"/>
    <w:basedOn w:val="ListNumber2"/>
    <w:next w:val="Normal"/>
    <w:semiHidden/>
    <w:rsid w:val="00A2124B"/>
    <w:pPr>
      <w:numPr>
        <w:numId w:val="0"/>
      </w:numPr>
      <w:tabs>
        <w:tab w:val="right" w:leader="dot" w:pos="4176"/>
      </w:tabs>
    </w:pPr>
  </w:style>
  <w:style w:type="paragraph" w:styleId="ListNumber2">
    <w:name w:val="List Number 2"/>
    <w:basedOn w:val="List2"/>
    <w:rsid w:val="00A2124B"/>
    <w:pPr>
      <w:numPr>
        <w:numId w:val="9"/>
      </w:numPr>
      <w:tabs>
        <w:tab w:val="clear" w:pos="1060"/>
      </w:tabs>
    </w:pPr>
  </w:style>
  <w:style w:type="paragraph" w:customStyle="1" w:styleId="MarginNote">
    <w:name w:val="Margin Note"/>
    <w:basedOn w:val="BodyText"/>
    <w:rsid w:val="00A21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2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124B"/>
    <w:rPr>
      <w:sz w:val="32"/>
    </w:rPr>
  </w:style>
  <w:style w:type="paragraph" w:customStyle="1" w:styleId="HeadingProcedure">
    <w:name w:val="Heading Procedure"/>
    <w:basedOn w:val="HeadingBase"/>
    <w:next w:val="Normal"/>
    <w:rsid w:val="00A2124B"/>
    <w:pPr>
      <w:tabs>
        <w:tab w:val="left" w:pos="0"/>
      </w:tabs>
      <w:spacing w:before="120" w:after="60"/>
    </w:pPr>
    <w:rPr>
      <w:i/>
      <w:color w:val="918585"/>
      <w:sz w:val="22"/>
    </w:rPr>
  </w:style>
  <w:style w:type="paragraph" w:customStyle="1" w:styleId="TableBodyText">
    <w:name w:val="Table Body Text"/>
    <w:basedOn w:val="BodyText"/>
    <w:rsid w:val="00A2124B"/>
    <w:pPr>
      <w:spacing w:before="60" w:after="60"/>
    </w:pPr>
  </w:style>
  <w:style w:type="paragraph" w:styleId="ListContinue">
    <w:name w:val="List Continue"/>
    <w:basedOn w:val="List"/>
    <w:rsid w:val="00A2124B"/>
    <w:pPr>
      <w:ind w:firstLine="0"/>
    </w:pPr>
  </w:style>
  <w:style w:type="paragraph" w:customStyle="1" w:styleId="ListNote">
    <w:name w:val="List Note"/>
    <w:basedOn w:val="List"/>
    <w:rsid w:val="00A2124B"/>
    <w:pPr>
      <w:pBdr>
        <w:top w:val="single" w:sz="6" w:space="2" w:color="918585"/>
        <w:bottom w:val="single" w:sz="6" w:space="2" w:color="918585"/>
      </w:pBdr>
      <w:tabs>
        <w:tab w:val="left" w:pos="1021"/>
      </w:tabs>
      <w:ind w:firstLine="0"/>
    </w:pPr>
  </w:style>
  <w:style w:type="paragraph" w:customStyle="1" w:styleId="Warning">
    <w:name w:val="Warning"/>
    <w:basedOn w:val="BodyText"/>
    <w:rsid w:val="00A2124B"/>
    <w:pPr>
      <w:shd w:val="clear" w:color="auto" w:fill="D9D9D9"/>
      <w:tabs>
        <w:tab w:val="left" w:pos="992"/>
      </w:tabs>
      <w:ind w:left="119" w:right="119"/>
    </w:pPr>
    <w:rPr>
      <w:sz w:val="20"/>
    </w:rPr>
  </w:style>
  <w:style w:type="paragraph" w:customStyle="1" w:styleId="MarginIcons">
    <w:name w:val="Margin Icons"/>
    <w:basedOn w:val="BodyText"/>
    <w:rsid w:val="00A21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24B"/>
    <w:rPr>
      <w:rFonts w:ascii="Courier New" w:hAnsi="Courier New"/>
    </w:rPr>
  </w:style>
  <w:style w:type="paragraph" w:customStyle="1" w:styleId="NoteBullet">
    <w:name w:val="Note Bullet"/>
    <w:basedOn w:val="Note"/>
    <w:rsid w:val="00A2124B"/>
    <w:pPr>
      <w:tabs>
        <w:tab w:val="clear" w:pos="680"/>
      </w:tabs>
      <w:spacing w:before="60" w:after="60"/>
    </w:pPr>
  </w:style>
  <w:style w:type="paragraph" w:customStyle="1" w:styleId="SubHeading2">
    <w:name w:val="SubHeading2"/>
    <w:basedOn w:val="HeadingBase"/>
    <w:rsid w:val="00A2124B"/>
    <w:pPr>
      <w:spacing w:before="240" w:after="60"/>
    </w:pPr>
    <w:rPr>
      <w:sz w:val="20"/>
    </w:rPr>
  </w:style>
  <w:style w:type="paragraph" w:customStyle="1" w:styleId="SubHeading1">
    <w:name w:val="SubHeading1"/>
    <w:basedOn w:val="HeadingBase"/>
    <w:rsid w:val="00A2124B"/>
    <w:pPr>
      <w:spacing w:before="240" w:after="60"/>
    </w:pPr>
    <w:rPr>
      <w:color w:val="918585"/>
      <w:sz w:val="22"/>
    </w:rPr>
  </w:style>
  <w:style w:type="paragraph" w:customStyle="1" w:styleId="SideHeading">
    <w:name w:val="Side Heading"/>
    <w:basedOn w:val="HeadingBase"/>
    <w:rsid w:val="00A21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24B"/>
    <w:pPr>
      <w:tabs>
        <w:tab w:val="num" w:pos="360"/>
      </w:tabs>
    </w:pPr>
  </w:style>
  <w:style w:type="paragraph" w:styleId="PlainText">
    <w:name w:val="Plain Text"/>
    <w:basedOn w:val="Normal"/>
    <w:link w:val="PlainTextChar"/>
    <w:rsid w:val="00A2124B"/>
    <w:rPr>
      <w:sz w:val="20"/>
    </w:rPr>
  </w:style>
  <w:style w:type="character" w:customStyle="1" w:styleId="PlainTextChar">
    <w:name w:val="Plain Text Char"/>
    <w:basedOn w:val="DefaultParagraphFont"/>
    <w:link w:val="PlainText"/>
    <w:rsid w:val="00A212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124B"/>
    <w:rPr>
      <w:b/>
      <w:smallCaps/>
    </w:rPr>
  </w:style>
  <w:style w:type="paragraph" w:customStyle="1" w:styleId="TableListNumber">
    <w:name w:val="Table List Number"/>
    <w:basedOn w:val="ListNumber"/>
    <w:rsid w:val="00A2124B"/>
    <w:pPr>
      <w:numPr>
        <w:numId w:val="0"/>
      </w:numPr>
    </w:pPr>
  </w:style>
  <w:style w:type="paragraph" w:styleId="TOC4">
    <w:name w:val="toc 4"/>
    <w:basedOn w:val="TOCBase"/>
    <w:next w:val="Normal"/>
    <w:semiHidden/>
    <w:rsid w:val="00A2124B"/>
    <w:pPr>
      <w:tabs>
        <w:tab w:val="right" w:leader="dot" w:pos="9071"/>
      </w:tabs>
      <w:ind w:left="1701"/>
    </w:pPr>
  </w:style>
  <w:style w:type="paragraph" w:customStyle="1" w:styleId="ListAlpha">
    <w:name w:val="List Alpha"/>
    <w:basedOn w:val="List"/>
    <w:rsid w:val="00A2124B"/>
    <w:pPr>
      <w:numPr>
        <w:numId w:val="8"/>
      </w:numPr>
    </w:pPr>
  </w:style>
  <w:style w:type="paragraph" w:customStyle="1" w:styleId="ListAlpha2">
    <w:name w:val="List Alpha 2"/>
    <w:basedOn w:val="List2"/>
    <w:rsid w:val="00A2124B"/>
    <w:pPr>
      <w:numPr>
        <w:numId w:val="7"/>
      </w:numPr>
    </w:pPr>
  </w:style>
  <w:style w:type="paragraph" w:styleId="List3">
    <w:name w:val="List 3"/>
    <w:basedOn w:val="BodyText"/>
    <w:rsid w:val="00A2124B"/>
    <w:pPr>
      <w:tabs>
        <w:tab w:val="left" w:pos="1021"/>
      </w:tabs>
      <w:spacing w:before="60" w:after="60"/>
      <w:ind w:left="1020" w:hanging="340"/>
    </w:pPr>
  </w:style>
  <w:style w:type="paragraph" w:styleId="List4">
    <w:name w:val="List 4"/>
    <w:basedOn w:val="BodyText"/>
    <w:rsid w:val="00A2124B"/>
    <w:pPr>
      <w:tabs>
        <w:tab w:val="left" w:pos="1361"/>
      </w:tabs>
      <w:spacing w:before="60" w:after="60"/>
      <w:ind w:left="1361" w:hanging="340"/>
    </w:pPr>
  </w:style>
  <w:style w:type="paragraph" w:styleId="List5">
    <w:name w:val="List 5"/>
    <w:basedOn w:val="BodyText"/>
    <w:rsid w:val="00A2124B"/>
    <w:pPr>
      <w:tabs>
        <w:tab w:val="left" w:pos="1701"/>
      </w:tabs>
      <w:spacing w:before="60" w:after="60"/>
      <w:ind w:left="1701" w:hanging="340"/>
    </w:pPr>
  </w:style>
  <w:style w:type="paragraph" w:styleId="ListBullet3">
    <w:name w:val="List Bullet 3"/>
    <w:basedOn w:val="List3"/>
    <w:rsid w:val="00A2124B"/>
    <w:pPr>
      <w:numPr>
        <w:numId w:val="14"/>
      </w:numPr>
      <w:tabs>
        <w:tab w:val="clear" w:pos="1021"/>
      </w:tabs>
      <w:ind w:left="1037" w:hanging="357"/>
    </w:pPr>
  </w:style>
  <w:style w:type="paragraph" w:styleId="ListBullet4">
    <w:name w:val="List Bullet 4"/>
    <w:basedOn w:val="List4"/>
    <w:rsid w:val="00A2124B"/>
    <w:pPr>
      <w:numPr>
        <w:numId w:val="2"/>
      </w:numPr>
    </w:pPr>
  </w:style>
  <w:style w:type="paragraph" w:styleId="ListBullet5">
    <w:name w:val="List Bullet 5"/>
    <w:basedOn w:val="List5"/>
    <w:rsid w:val="00A2124B"/>
    <w:pPr>
      <w:numPr>
        <w:numId w:val="3"/>
      </w:numPr>
    </w:pPr>
  </w:style>
  <w:style w:type="paragraph" w:styleId="ListContinue2">
    <w:name w:val="List Continue 2"/>
    <w:basedOn w:val="List2"/>
    <w:rsid w:val="00A2124B"/>
    <w:pPr>
      <w:ind w:firstLine="0"/>
    </w:pPr>
  </w:style>
  <w:style w:type="paragraph" w:styleId="ListContinue3">
    <w:name w:val="List Continue 3"/>
    <w:basedOn w:val="List3"/>
    <w:rsid w:val="00A2124B"/>
    <w:pPr>
      <w:ind w:left="1021" w:firstLine="0"/>
    </w:pPr>
  </w:style>
  <w:style w:type="paragraph" w:styleId="ListContinue4">
    <w:name w:val="List Continue 4"/>
    <w:basedOn w:val="List4"/>
    <w:rsid w:val="00A2124B"/>
    <w:pPr>
      <w:ind w:firstLine="0"/>
    </w:pPr>
  </w:style>
  <w:style w:type="paragraph" w:styleId="ListContinue5">
    <w:name w:val="List Continue 5"/>
    <w:basedOn w:val="List5"/>
    <w:rsid w:val="00A2124B"/>
    <w:pPr>
      <w:ind w:firstLine="0"/>
    </w:pPr>
  </w:style>
  <w:style w:type="paragraph" w:styleId="ListNumber3">
    <w:name w:val="List Number 3"/>
    <w:basedOn w:val="List3"/>
    <w:rsid w:val="00A2124B"/>
    <w:pPr>
      <w:numPr>
        <w:numId w:val="4"/>
      </w:numPr>
    </w:pPr>
  </w:style>
  <w:style w:type="paragraph" w:styleId="ListNumber4">
    <w:name w:val="List Number 4"/>
    <w:basedOn w:val="List4"/>
    <w:rsid w:val="00A2124B"/>
    <w:pPr>
      <w:numPr>
        <w:numId w:val="5"/>
      </w:numPr>
    </w:pPr>
  </w:style>
  <w:style w:type="paragraph" w:styleId="ListNumber5">
    <w:name w:val="List Number 5"/>
    <w:basedOn w:val="List5"/>
    <w:rsid w:val="00A2124B"/>
    <w:pPr>
      <w:numPr>
        <w:numId w:val="6"/>
      </w:numPr>
    </w:pPr>
  </w:style>
  <w:style w:type="paragraph" w:styleId="BlockText">
    <w:name w:val="Block Text"/>
    <w:basedOn w:val="Normal"/>
    <w:rsid w:val="00A2124B"/>
    <w:pPr>
      <w:spacing w:after="120"/>
      <w:ind w:left="1440" w:right="1440"/>
    </w:pPr>
  </w:style>
  <w:style w:type="character" w:customStyle="1" w:styleId="Subscript">
    <w:name w:val="Subscript"/>
    <w:basedOn w:val="DefaultParagraphFont"/>
    <w:rsid w:val="00A2124B"/>
    <w:rPr>
      <w:sz w:val="16"/>
      <w:vertAlign w:val="subscript"/>
    </w:rPr>
  </w:style>
  <w:style w:type="character" w:customStyle="1" w:styleId="Superscript">
    <w:name w:val="Superscript"/>
    <w:basedOn w:val="DefaultParagraphFont"/>
    <w:rsid w:val="00A2124B"/>
    <w:rPr>
      <w:sz w:val="16"/>
      <w:vertAlign w:val="superscript"/>
    </w:rPr>
  </w:style>
  <w:style w:type="character" w:customStyle="1" w:styleId="Symbols">
    <w:name w:val="Symbols"/>
    <w:basedOn w:val="DefaultParagraphFont"/>
    <w:rsid w:val="00A2124B"/>
    <w:rPr>
      <w:rFonts w:ascii="Symbol" w:hAnsi="Symbol"/>
    </w:rPr>
  </w:style>
  <w:style w:type="character" w:customStyle="1" w:styleId="MenuOptions">
    <w:name w:val="Menu Options"/>
    <w:basedOn w:val="DefaultParagraphFont"/>
    <w:rsid w:val="00A2124B"/>
    <w:rPr>
      <w:rFonts w:ascii="Arial Narrow" w:hAnsi="Arial Narrow"/>
      <w:smallCaps/>
    </w:rPr>
  </w:style>
  <w:style w:type="character" w:customStyle="1" w:styleId="Buttons">
    <w:name w:val="Buttons"/>
    <w:basedOn w:val="DefaultParagraphFont"/>
    <w:rsid w:val="00A2124B"/>
    <w:rPr>
      <w:b/>
    </w:rPr>
  </w:style>
  <w:style w:type="character" w:customStyle="1" w:styleId="Underlined">
    <w:name w:val="Underlined"/>
    <w:basedOn w:val="DefaultParagraphFont"/>
    <w:rsid w:val="00A2124B"/>
    <w:rPr>
      <w:u w:val="single"/>
    </w:rPr>
  </w:style>
  <w:style w:type="paragraph" w:customStyle="1" w:styleId="TableBodyTextRight">
    <w:name w:val="Table Body Text Right"/>
    <w:basedOn w:val="TableBodyText"/>
    <w:rsid w:val="00A2124B"/>
    <w:pPr>
      <w:widowControl w:val="0"/>
      <w:autoSpaceDE w:val="0"/>
      <w:autoSpaceDN w:val="0"/>
      <w:adjustRightInd w:val="0"/>
      <w:jc w:val="right"/>
    </w:pPr>
    <w:rPr>
      <w:rFonts w:cs="Arial"/>
      <w:szCs w:val="18"/>
    </w:rPr>
  </w:style>
  <w:style w:type="paragraph" w:customStyle="1" w:styleId="CopyrightText">
    <w:name w:val="Copyright Text"/>
    <w:basedOn w:val="BodyText"/>
    <w:rsid w:val="00A2124B"/>
    <w:rPr>
      <w:sz w:val="18"/>
    </w:rPr>
  </w:style>
  <w:style w:type="paragraph" w:customStyle="1" w:styleId="BodySmallRight">
    <w:name w:val="Body Small Right"/>
    <w:basedOn w:val="BodyTextRight"/>
    <w:rsid w:val="00A2124B"/>
    <w:rPr>
      <w:sz w:val="18"/>
      <w:szCs w:val="18"/>
    </w:rPr>
  </w:style>
  <w:style w:type="paragraph" w:customStyle="1" w:styleId="MarginEdition">
    <w:name w:val="Margin Edition"/>
    <w:basedOn w:val="MarginNote"/>
    <w:rsid w:val="00A2124B"/>
    <w:pPr>
      <w:spacing w:before="0" w:after="0"/>
    </w:pPr>
    <w:rPr>
      <w:rFonts w:ascii="Times New Roman" w:hAnsi="Times New Roman"/>
      <w:color w:val="999999"/>
    </w:rPr>
  </w:style>
  <w:style w:type="paragraph" w:customStyle="1" w:styleId="Spacer">
    <w:name w:val="Spacer"/>
    <w:basedOn w:val="Normal"/>
    <w:rsid w:val="00A2124B"/>
    <w:rPr>
      <w:sz w:val="2"/>
      <w:szCs w:val="2"/>
    </w:rPr>
  </w:style>
  <w:style w:type="character" w:customStyle="1" w:styleId="Small">
    <w:name w:val="Small"/>
    <w:basedOn w:val="DefaultParagraphFont"/>
    <w:rsid w:val="00A2124B"/>
    <w:rPr>
      <w:sz w:val="16"/>
    </w:rPr>
  </w:style>
  <w:style w:type="paragraph" w:customStyle="1" w:styleId="WideTable">
    <w:name w:val="Wide Table"/>
    <w:basedOn w:val="Normal"/>
    <w:rsid w:val="00A2124B"/>
    <w:pPr>
      <w:ind w:left="-1418"/>
    </w:pPr>
    <w:rPr>
      <w:sz w:val="2"/>
      <w:szCs w:val="2"/>
    </w:rPr>
  </w:style>
  <w:style w:type="character" w:styleId="PageNumber">
    <w:name w:val="page number"/>
    <w:basedOn w:val="DefaultParagraphFont"/>
    <w:rsid w:val="00A2124B"/>
  </w:style>
  <w:style w:type="paragraph" w:styleId="Quote">
    <w:name w:val="Quote"/>
    <w:basedOn w:val="Heading1"/>
    <w:link w:val="QuoteChar"/>
    <w:qFormat/>
    <w:rsid w:val="00A2124B"/>
    <w:rPr>
      <w:b w:val="0"/>
      <w:sz w:val="72"/>
      <w:szCs w:val="72"/>
      <w:lang w:val="en-NZ"/>
    </w:rPr>
  </w:style>
  <w:style w:type="character" w:customStyle="1" w:styleId="QuoteChar">
    <w:name w:val="Quote Char"/>
    <w:basedOn w:val="DefaultParagraphFont"/>
    <w:link w:val="Quote"/>
    <w:rsid w:val="00A21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24B"/>
    <w:pPr>
      <w:pageBreakBefore/>
    </w:pPr>
  </w:style>
  <w:style w:type="paragraph" w:customStyle="1" w:styleId="Border">
    <w:name w:val="Border"/>
    <w:basedOn w:val="Normal"/>
    <w:qFormat/>
    <w:rsid w:val="00A21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24B"/>
    <w:rPr>
      <w:b/>
      <w:bCs/>
      <w:i/>
      <w:iCs/>
      <w:color w:val="auto"/>
    </w:rPr>
  </w:style>
  <w:style w:type="paragraph" w:styleId="IntenseQuote">
    <w:name w:val="Intense Quote"/>
    <w:basedOn w:val="Normal"/>
    <w:next w:val="Normal"/>
    <w:link w:val="IntenseQuoteChar"/>
    <w:uiPriority w:val="30"/>
    <w:qFormat/>
    <w:rsid w:val="00A21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2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124B"/>
    <w:rPr>
      <w:smallCaps/>
      <w:color w:val="auto"/>
      <w:u w:val="single"/>
    </w:rPr>
  </w:style>
  <w:style w:type="character" w:styleId="IntenseReference">
    <w:name w:val="Intense Reference"/>
    <w:basedOn w:val="DefaultParagraphFont"/>
    <w:uiPriority w:val="32"/>
    <w:qFormat/>
    <w:rsid w:val="00A2124B"/>
    <w:rPr>
      <w:b/>
      <w:bCs/>
      <w:smallCaps/>
      <w:color w:val="auto"/>
      <w:spacing w:val="5"/>
      <w:u w:val="single"/>
    </w:rPr>
  </w:style>
  <w:style w:type="paragraph" w:customStyle="1" w:styleId="2ColumnHeading">
    <w:name w:val="2Column Heading"/>
    <w:basedOn w:val="BodyText"/>
    <w:qFormat/>
    <w:rsid w:val="00A2124B"/>
    <w:pPr>
      <w:spacing w:after="60"/>
      <w:ind w:left="-2268"/>
    </w:pPr>
    <w:rPr>
      <w:b/>
    </w:rPr>
  </w:style>
  <w:style w:type="paragraph" w:customStyle="1" w:styleId="Heading1TOC">
    <w:name w:val="Heading1 TOC"/>
    <w:basedOn w:val="Normal"/>
    <w:qFormat/>
    <w:rsid w:val="00A2124B"/>
    <w:pPr>
      <w:spacing w:before="240" w:after="120"/>
    </w:pPr>
    <w:rPr>
      <w:rFonts w:ascii="Times New Roman" w:hAnsi="Times New Roman"/>
      <w:b/>
      <w:sz w:val="32"/>
    </w:rPr>
  </w:style>
  <w:style w:type="paragraph" w:customStyle="1" w:styleId="Heading2TOC">
    <w:name w:val="Heading2 TOC"/>
    <w:basedOn w:val="Normal"/>
    <w:qFormat/>
    <w:rsid w:val="00A2124B"/>
    <w:pPr>
      <w:spacing w:before="240" w:after="60"/>
    </w:pPr>
    <w:rPr>
      <w:rFonts w:ascii="Times New Roman" w:hAnsi="Times New Roman"/>
      <w:b/>
      <w:sz w:val="28"/>
    </w:rPr>
  </w:style>
  <w:style w:type="character" w:customStyle="1" w:styleId="Underline">
    <w:name w:val="Underline"/>
    <w:basedOn w:val="DefaultParagraphFont"/>
    <w:qFormat/>
    <w:rsid w:val="00A2124B"/>
    <w:rPr>
      <w:u w:val="single"/>
    </w:rPr>
  </w:style>
  <w:style w:type="character" w:customStyle="1" w:styleId="BoldandItalics">
    <w:name w:val="Bold and Italics"/>
    <w:qFormat/>
    <w:rsid w:val="00A2124B"/>
    <w:rPr>
      <w:b/>
      <w:i/>
      <w:u w:val="none"/>
    </w:rPr>
  </w:style>
  <w:style w:type="paragraph" w:styleId="BalloonText">
    <w:name w:val="Balloon Text"/>
    <w:basedOn w:val="Normal"/>
    <w:link w:val="BalloonTextChar"/>
    <w:rsid w:val="00A2124B"/>
    <w:rPr>
      <w:rFonts w:ascii="Tahoma" w:hAnsi="Tahoma" w:cs="Tahoma"/>
      <w:sz w:val="16"/>
      <w:szCs w:val="16"/>
    </w:rPr>
  </w:style>
  <w:style w:type="character" w:customStyle="1" w:styleId="BalloonTextChar">
    <w:name w:val="Balloon Text Char"/>
    <w:basedOn w:val="DefaultParagraphFont"/>
    <w:link w:val="BalloonText"/>
    <w:rsid w:val="00A212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12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12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1923</Words>
  <Characters>11783</Characters>
  <Application>Microsoft Office Word</Application>
  <DocSecurity>0</DocSecurity>
  <Lines>361</Lines>
  <Paragraphs>222</Paragraphs>
  <ScaleCrop>false</ScaleCrop>
  <Company>Author-it Software Corporation Ltd.</Company>
  <LinksUpToDate>false</LinksUpToDate>
  <CharactersWithSpaces>13626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PMASMELT269A Operate cell tending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2012-05-26T05:21:00Z</dcterms:created>
  <dcterms:modified xsi:type="dcterms:W3CDTF">2012-05-26T05:21:00Z</dcterms:modified>
</cp:coreProperties>
</file>