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D25" w:rsidP="00674D25">
      <w:pPr>
        <w:pStyle w:val="Title"/>
      </w:pPr>
      <w:r>
        <w:fldChar w:fldCharType="begin"/>
      </w:r>
      <w:r>
        <w:instrText xml:space="preserve"> TITLE   \* MERGEFORMAT </w:instrText>
      </w:r>
      <w:r>
        <w:fldChar w:fldCharType="separate"/>
      </w:r>
      <w:r>
        <w:t>PMAOPS365A Operate pelletising equipment</w:t>
      </w:r>
      <w:r>
        <w:fldChar w:fldCharType="end"/>
      </w:r>
    </w:p>
    <w:p w:rsidR="00674D25" w:rsidP="00674D25">
      <w:pPr>
        <w:pStyle w:val="Version"/>
        <w:sectPr w:rsidSect="000558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589E" w:rsidP="0005589E">
      <w:pPr>
        <w:pStyle w:val="SuperHeading"/>
      </w:pPr>
      <w:r w:rsidRPr="0005589E">
        <w:t>PMAOPS365A Operate pelletising equipment</w:t>
      </w:r>
    </w:p>
    <w:p w:rsidR="00000000" w:rsidRPr="0005589E" w:rsidP="0005589E">
      <w:pPr>
        <w:pStyle w:val="Heading1"/>
      </w:pPr>
      <w:bookmarkStart w:id="1" w:name="O_569430"/>
      <w:bookmarkEnd w:id="1"/>
      <w:r w:rsidRPr="0005589E">
        <w:t>Modification History</w:t>
      </w:r>
    </w:p>
    <w:p w:rsidR="00674D25" w:rsidP="0005589E">
      <w:pPr>
        <w:pStyle w:val="BodyText"/>
      </w:pPr>
      <w:r w:rsidRPr="0005589E">
        <w:t>Release 1 – New unit</w:t>
      </w:r>
    </w:p>
    <w:p w:rsidR="00674D25" w:rsidP="0005589E">
      <w:pPr>
        <w:pStyle w:val="BodyText"/>
      </w:pPr>
    </w:p>
    <w:p w:rsidR="00000000" w:rsidRPr="0005589E" w:rsidP="0005589E">
      <w:pPr>
        <w:pStyle w:val="Heading1"/>
      </w:pPr>
      <w:bookmarkStart w:id="2" w:name="O_569442"/>
      <w:bookmarkEnd w:id="2"/>
      <w:r w:rsidRPr="0005589E">
        <w:t>Unit Descriptor</w:t>
      </w:r>
    </w:p>
    <w:p w:rsidR="00674D25" w:rsidP="0005589E">
      <w:pPr>
        <w:pStyle w:val="BodyText"/>
      </w:pPr>
      <w:r w:rsidRPr="0005589E">
        <w:t>This unit of competency covers the skills and knowledge needed to operate typical pelletising equipment as used in a metalliferous minerals processing plant. It also includes solvi</w:t>
      </w:r>
      <w:r w:rsidRPr="0005589E">
        <w:t>ng problems with pelletising processes and the equipment, including ancillary equipment.</w:t>
      </w:r>
    </w:p>
    <w:p w:rsidR="00674D25" w:rsidP="0005589E">
      <w:pPr>
        <w:pStyle w:val="BodyText"/>
      </w:pPr>
    </w:p>
    <w:p w:rsidR="00000000" w:rsidRPr="0005589E" w:rsidP="0005589E">
      <w:pPr>
        <w:pStyle w:val="Heading1"/>
      </w:pPr>
      <w:bookmarkStart w:id="3" w:name="O_569441"/>
      <w:bookmarkEnd w:id="3"/>
      <w:r w:rsidRPr="0005589E">
        <w:t>Application of the Unit</w:t>
      </w:r>
    </w:p>
    <w:p w:rsidR="00000000" w:rsidRPr="0005589E" w:rsidP="0005589E">
      <w:pPr>
        <w:pStyle w:val="BodyText"/>
      </w:pPr>
      <w:r w:rsidRPr="0005589E">
        <w:t xml:space="preserve">This unit applies to a person who has the responsibility for starting up, shutting down and operating pelletising equipment </w:t>
      </w:r>
      <w:r w:rsidRPr="0005589E">
        <w:t>to procedures, and making adjustments (e.g. feed rate) to the pelletising equipment.</w:t>
      </w:r>
    </w:p>
    <w:p w:rsidR="00000000" w:rsidRPr="0005589E" w:rsidP="0005589E">
      <w:pPr>
        <w:pStyle w:val="BodyText"/>
      </w:pPr>
    </w:p>
    <w:p w:rsidR="00000000" w:rsidRPr="0005589E" w:rsidP="0005589E">
      <w:pPr>
        <w:pStyle w:val="BodyText"/>
      </w:pPr>
      <w:r w:rsidRPr="0005589E">
        <w:t>This unit applies to an individual working alone or as part of a team or group and working in liaison with other shift team members and the control room operator, as appr</w:t>
      </w:r>
      <w:r w:rsidRPr="0005589E">
        <w:t>opriate.</w:t>
      </w:r>
    </w:p>
    <w:p w:rsidR="00000000" w:rsidRPr="0005589E" w:rsidP="0005589E">
      <w:pPr>
        <w:pStyle w:val="BodyText"/>
      </w:pPr>
    </w:p>
    <w:p w:rsidR="00000000" w:rsidRPr="0005589E" w:rsidP="0005589E">
      <w:pPr>
        <w:pStyle w:val="BodyText"/>
      </w:pPr>
      <w:r w:rsidRPr="0005589E">
        <w:t>This unit does not cover sintering equipment, which is covered by:</w:t>
      </w:r>
    </w:p>
    <w:p w:rsidR="00000000" w:rsidRPr="0005589E" w:rsidP="0005589E">
      <w:pPr>
        <w:pStyle w:val="ListBullet"/>
      </w:pPr>
      <w:r w:rsidRPr="0005589E">
        <w:rPr>
          <w:rStyle w:val="Emphasis"/>
        </w:rPr>
        <w:t>PMAOPS366A Operate sintering equipment</w:t>
      </w:r>
    </w:p>
    <w:p w:rsidR="00000000" w:rsidRPr="0005589E" w:rsidP="0005589E">
      <w:pPr>
        <w:pStyle w:val="AllowPageBreak"/>
      </w:pPr>
    </w:p>
    <w:p w:rsidR="00000000" w:rsidRPr="0005589E" w:rsidP="0005589E">
      <w:pPr>
        <w:pStyle w:val="Heading1"/>
      </w:pPr>
      <w:bookmarkStart w:id="4" w:name="O_569440"/>
      <w:bookmarkEnd w:id="4"/>
      <w:r w:rsidRPr="0005589E">
        <w:t>Licensing/Regulatory Information</w:t>
      </w:r>
    </w:p>
    <w:p w:rsidR="00000000" w:rsidRPr="0005589E" w:rsidP="0005589E">
      <w:pPr>
        <w:pStyle w:val="BodyText"/>
      </w:pPr>
      <w:r w:rsidRPr="0005589E">
        <w:t>Not applicable.</w:t>
      </w:r>
    </w:p>
    <w:p w:rsidR="00000000" w:rsidRPr="0005589E" w:rsidP="0005589E">
      <w:pPr>
        <w:pStyle w:val="AllowPageBreak"/>
      </w:pPr>
    </w:p>
    <w:p w:rsidR="00000000" w:rsidRPr="0005589E" w:rsidP="0005589E">
      <w:pPr>
        <w:pStyle w:val="Heading1"/>
      </w:pPr>
      <w:bookmarkStart w:id="5" w:name="O_569439"/>
      <w:bookmarkEnd w:id="5"/>
      <w:r w:rsidRPr="0005589E">
        <w:t>Pre-Requisites</w:t>
      </w:r>
    </w:p>
    <w:p w:rsidR="00000000" w:rsidRPr="0005589E" w:rsidP="0005589E">
      <w:pPr>
        <w:pStyle w:val="BodyText"/>
      </w:pPr>
      <w:r w:rsidRPr="0005589E">
        <w:t>Not applicable.</w:t>
      </w:r>
    </w:p>
    <w:p w:rsidR="00000000" w:rsidRPr="0005589E" w:rsidP="0005589E">
      <w:pPr>
        <w:pStyle w:val="AllowPageBreak"/>
      </w:pPr>
    </w:p>
    <w:p w:rsidR="00000000" w:rsidRPr="0005589E" w:rsidP="0005589E">
      <w:pPr>
        <w:pStyle w:val="Heading1"/>
      </w:pPr>
      <w:bookmarkStart w:id="6" w:name="O_569438"/>
      <w:bookmarkEnd w:id="6"/>
      <w:r w:rsidRPr="0005589E">
        <w:t>Employability Skills Information</w:t>
      </w:r>
    </w:p>
    <w:p w:rsidR="00674D25" w:rsidP="0005589E">
      <w:pPr>
        <w:pStyle w:val="BodyText"/>
      </w:pPr>
      <w:r w:rsidRPr="0005589E">
        <w:t>This unit contains employability skills.</w:t>
      </w:r>
    </w:p>
    <w:p w:rsidR="00674D25" w:rsidP="0005589E">
      <w:pPr>
        <w:pStyle w:val="BodyText"/>
      </w:pPr>
    </w:p>
    <w:p w:rsidR="00000000" w:rsidRPr="0005589E" w:rsidP="0005589E">
      <w:pPr>
        <w:pStyle w:val="Heading1"/>
      </w:pPr>
      <w:bookmarkStart w:id="7" w:name="O_569437"/>
      <w:bookmarkEnd w:id="7"/>
      <w:r w:rsidRPr="0005589E">
        <w:t>Elements and Performance Criteria Pre-Content</w:t>
      </w:r>
    </w:p>
    <w:tbl>
      <w:tblPr>
        <w:tblW w:w="0" w:type="auto"/>
        <w:tblCellMar>
          <w:left w:w="62" w:type="dxa"/>
          <w:right w:w="62" w:type="dxa"/>
        </w:tblCellMar>
        <w:tblLook w:val="0000"/>
      </w:tblPr>
      <w:tblGrid>
        <w:gridCol w:w="2576"/>
        <w:gridCol w:w="6620"/>
      </w:tblGrid>
      <w:tr w:rsidTr="00674D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05589E" w:rsidP="0005589E">
            <w:pPr>
              <w:pStyle w:val="BodyText"/>
            </w:pPr>
            <w:r w:rsidRPr="0005589E">
              <w:t>Performance criteria describe the performance needed</w:t>
            </w:r>
            <w:r w:rsidRPr="0005589E">
              <w:t xml:space="preserve">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674D25" w:rsidP="0005589E">
      <w:pPr>
        <w:pStyle w:val="BodyText"/>
      </w:pPr>
    </w:p>
    <w:p w:rsidR="00674D25" w:rsidP="0005589E">
      <w:pPr>
        <w:pStyle w:val="BodyText"/>
      </w:pPr>
    </w:p>
    <w:p w:rsidR="00000000" w:rsidRPr="0005589E" w:rsidP="0005589E">
      <w:pPr>
        <w:pStyle w:val="Heading1"/>
      </w:pPr>
      <w:bookmarkStart w:id="8" w:name="O_569436"/>
      <w:bookmarkEnd w:id="8"/>
      <w:r w:rsidRPr="0005589E">
        <w:t>Elements and Performance Criteria</w:t>
      </w:r>
    </w:p>
    <w:p w:rsidR="00000000" w:rsidRPr="0005589E" w:rsidP="0005589E">
      <w:pPr>
        <w:pStyle w:val="BodyText"/>
      </w:pPr>
    </w:p>
    <w:tbl>
      <w:tblPr>
        <w:tblW w:w="0" w:type="auto"/>
        <w:tblLayout w:type="fixed"/>
        <w:tblCellMar>
          <w:left w:w="62" w:type="dxa"/>
          <w:right w:w="62" w:type="dxa"/>
        </w:tblCellMar>
        <w:tblLook w:val="0000"/>
      </w:tblPr>
      <w:tblGrid>
        <w:gridCol w:w="678"/>
        <w:gridCol w:w="1962"/>
        <w:gridCol w:w="770"/>
        <w:gridCol w:w="5610"/>
      </w:tblGrid>
      <w:tr w:rsidTr="00055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1</w:t>
            </w:r>
          </w:p>
        </w:tc>
        <w:tc>
          <w:tcPr>
            <w:tcW w:w="1962" w:type="dxa"/>
            <w:vMerge w:val="restart"/>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Prepare for work</w:t>
            </w:r>
          </w:p>
        </w:tc>
        <w:tc>
          <w:tcPr>
            <w:tcW w:w="77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1.1</w:t>
            </w:r>
          </w:p>
        </w:tc>
        <w:tc>
          <w:tcPr>
            <w:tcW w:w="561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Identify work requirements</w:t>
            </w:r>
          </w:p>
        </w:tc>
      </w:tr>
      <w:tr w:rsidTr="00055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1.2</w:t>
            </w:r>
          </w:p>
        </w:tc>
        <w:tc>
          <w:tcPr>
            <w:tcW w:w="561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Identify and control hazards</w:t>
            </w:r>
          </w:p>
        </w:tc>
      </w:tr>
      <w:tr w:rsidTr="00055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1.3</w:t>
            </w:r>
          </w:p>
        </w:tc>
        <w:tc>
          <w:tcPr>
            <w:tcW w:w="561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Coordinate with appropriate personnel</w:t>
            </w:r>
          </w:p>
        </w:tc>
      </w:tr>
      <w:tr w:rsidTr="00055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1.4</w:t>
            </w:r>
          </w:p>
        </w:tc>
        <w:tc>
          <w:tcPr>
            <w:tcW w:w="561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Check for recent work undertaken on plant</w:t>
            </w:r>
          </w:p>
        </w:tc>
      </w:tr>
      <w:tr w:rsidTr="00055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1.5</w:t>
            </w:r>
          </w:p>
        </w:tc>
        <w:tc>
          <w:tcPr>
            <w:tcW w:w="561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Note any outstanding/incomplete work</w:t>
            </w:r>
          </w:p>
        </w:tc>
      </w:tr>
      <w:tr w:rsidTr="00055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1.6</w:t>
            </w:r>
          </w:p>
        </w:tc>
        <w:tc>
          <w:tcPr>
            <w:tcW w:w="561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Check operational status of pelletising plant/equipment</w:t>
            </w:r>
          </w:p>
        </w:tc>
      </w:tr>
      <w:tr w:rsidTr="00055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1.7</w:t>
            </w:r>
          </w:p>
        </w:tc>
        <w:tc>
          <w:tcPr>
            <w:tcW w:w="5610" w:type="dxa"/>
            <w:tcBorders>
              <w:top w:val="nil"/>
              <w:left w:val="nil"/>
              <w:bottom w:val="nil"/>
              <w:right w:val="nil"/>
            </w:tcBorders>
            <w:tcMar>
              <w:top w:w="0" w:type="dxa"/>
              <w:left w:w="62" w:type="dxa"/>
              <w:bottom w:w="0" w:type="dxa"/>
              <w:right w:w="62" w:type="dxa"/>
            </w:tcMar>
          </w:tcPr>
          <w:p w:rsidR="00000000" w:rsidRPr="0005589E" w:rsidP="0005589E">
            <w:pPr>
              <w:pStyle w:val="BodyText"/>
            </w:pPr>
            <w:r w:rsidRPr="0005589E">
              <w:t>Complete any required pre-start checks</w:t>
            </w:r>
          </w:p>
        </w:tc>
      </w:tr>
    </w:tbl>
    <w:p w:rsidR="00000000" w:rsidRPr="0005589E" w:rsidP="0005589E">
      <w:pPr>
        <w:pStyle w:val="BodyText"/>
      </w:pPr>
    </w:p>
    <w:tbl>
      <w:tblPr>
        <w:tblW w:w="0" w:type="auto"/>
        <w:tblLayout w:type="fixed"/>
        <w:tblCellMar>
          <w:left w:w="62" w:type="dxa"/>
          <w:right w:w="62" w:type="dxa"/>
        </w:tblCellMar>
        <w:tblLook w:val="0000"/>
      </w:tblPr>
      <w:tblGrid>
        <w:gridCol w:w="678"/>
        <w:gridCol w:w="1962"/>
        <w:gridCol w:w="770"/>
        <w:gridCol w:w="5610"/>
      </w:tblGrid>
      <w:tr w:rsidTr="00055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2</w:t>
            </w:r>
          </w:p>
        </w:tc>
        <w:tc>
          <w:tcPr>
            <w:tcW w:w="1962" w:type="dxa"/>
            <w:vMerge w:val="restart"/>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Operate pelletising equipment</w:t>
            </w:r>
          </w:p>
        </w:tc>
        <w:tc>
          <w:tcPr>
            <w:tcW w:w="77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2.1</w:t>
            </w:r>
          </w:p>
        </w:tc>
        <w:tc>
          <w:tcPr>
            <w:tcW w:w="561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Identify the type of pelletising equipment</w:t>
            </w:r>
          </w:p>
        </w:tc>
      </w:tr>
      <w:tr w:rsidTr="00055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2.2</w:t>
            </w:r>
          </w:p>
        </w:tc>
        <w:tc>
          <w:tcPr>
            <w:tcW w:w="561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Start up and shut down pelletising equipment according to the pelletising equipment type and duty</w:t>
            </w:r>
          </w:p>
        </w:tc>
      </w:tr>
      <w:tr w:rsidTr="00055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2.3</w:t>
            </w:r>
          </w:p>
        </w:tc>
        <w:tc>
          <w:tcPr>
            <w:tcW w:w="561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Adjust feed rate, pressure and temperature as appropriate to type of pelletising equipment</w:t>
            </w:r>
          </w:p>
        </w:tc>
      </w:tr>
      <w:tr w:rsidTr="00055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2.4</w:t>
            </w:r>
          </w:p>
        </w:tc>
        <w:tc>
          <w:tcPr>
            <w:tcW w:w="5610" w:type="dxa"/>
            <w:tcBorders>
              <w:top w:val="nil"/>
              <w:left w:val="nil"/>
              <w:bottom w:val="nil"/>
              <w:right w:val="nil"/>
            </w:tcBorders>
            <w:tcMar>
              <w:top w:w="0" w:type="dxa"/>
              <w:left w:w="62" w:type="dxa"/>
              <w:bottom w:w="0" w:type="dxa"/>
              <w:right w:w="62" w:type="dxa"/>
            </w:tcMar>
          </w:tcPr>
          <w:p w:rsidR="00000000" w:rsidRPr="0005589E" w:rsidP="0005589E">
            <w:pPr>
              <w:pStyle w:val="BodyText"/>
            </w:pPr>
            <w:r w:rsidRPr="0005589E">
              <w:t>Complete routine checks, logs and paperwork, taking appropriate action on unexpected readings and trends</w:t>
            </w:r>
          </w:p>
        </w:tc>
      </w:tr>
    </w:tbl>
    <w:p w:rsidR="00000000" w:rsidRPr="0005589E" w:rsidP="0005589E">
      <w:pPr>
        <w:pStyle w:val="BodyText"/>
      </w:pPr>
    </w:p>
    <w:tbl>
      <w:tblPr>
        <w:tblW w:w="0" w:type="auto"/>
        <w:tblLayout w:type="fixed"/>
        <w:tblCellMar>
          <w:left w:w="62" w:type="dxa"/>
          <w:right w:w="62" w:type="dxa"/>
        </w:tblCellMar>
        <w:tblLook w:val="0000"/>
      </w:tblPr>
      <w:tblGrid>
        <w:gridCol w:w="678"/>
        <w:gridCol w:w="1962"/>
        <w:gridCol w:w="770"/>
        <w:gridCol w:w="5610"/>
      </w:tblGrid>
      <w:tr w:rsidTr="00055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3</w:t>
            </w:r>
          </w:p>
        </w:tc>
        <w:tc>
          <w:tcPr>
            <w:tcW w:w="1962" w:type="dxa"/>
            <w:vMerge w:val="restart"/>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Operate ancillary equipment</w:t>
            </w:r>
          </w:p>
        </w:tc>
        <w:tc>
          <w:tcPr>
            <w:tcW w:w="77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3.1</w:t>
            </w:r>
          </w:p>
        </w:tc>
        <w:tc>
          <w:tcPr>
            <w:tcW w:w="561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Monitor critical variables, such as amps, temperature and vibration</w:t>
            </w:r>
          </w:p>
        </w:tc>
      </w:tr>
      <w:tr w:rsidTr="00055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3.2</w:t>
            </w:r>
          </w:p>
        </w:tc>
        <w:tc>
          <w:tcPr>
            <w:tcW w:w="561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Keep critical variables in range</w:t>
            </w:r>
          </w:p>
        </w:tc>
      </w:tr>
      <w:tr w:rsidTr="00055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3.3</w:t>
            </w:r>
          </w:p>
        </w:tc>
        <w:tc>
          <w:tcPr>
            <w:tcW w:w="561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Recognise trends/patterns which indicate a potential or actual problem with the ancillary equipment</w:t>
            </w:r>
          </w:p>
        </w:tc>
      </w:tr>
      <w:tr w:rsidTr="00055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3.4</w:t>
            </w:r>
          </w:p>
        </w:tc>
        <w:tc>
          <w:tcPr>
            <w:tcW w:w="5610" w:type="dxa"/>
            <w:tcBorders>
              <w:top w:val="nil"/>
              <w:left w:val="nil"/>
              <w:bottom w:val="nil"/>
              <w:right w:val="nil"/>
            </w:tcBorders>
            <w:tcMar>
              <w:top w:w="0" w:type="dxa"/>
              <w:left w:w="62" w:type="dxa"/>
              <w:bottom w:w="0" w:type="dxa"/>
              <w:right w:w="62" w:type="dxa"/>
            </w:tcMar>
          </w:tcPr>
          <w:p w:rsidR="00000000" w:rsidRPr="0005589E" w:rsidP="0005589E">
            <w:pPr>
              <w:pStyle w:val="BodyText"/>
            </w:pPr>
            <w:r w:rsidRPr="0005589E">
              <w:t>Take appropriate action to ensure ancillary equipment is returned to full performance in a timely manner</w:t>
            </w:r>
          </w:p>
        </w:tc>
      </w:tr>
    </w:tbl>
    <w:p w:rsidR="00000000" w:rsidRPr="0005589E" w:rsidP="0005589E">
      <w:pPr>
        <w:pStyle w:val="BodyText"/>
      </w:pPr>
    </w:p>
    <w:tbl>
      <w:tblPr>
        <w:tblW w:w="0" w:type="auto"/>
        <w:tblLayout w:type="fixed"/>
        <w:tblCellMar>
          <w:left w:w="62" w:type="dxa"/>
          <w:right w:w="62" w:type="dxa"/>
        </w:tblCellMar>
        <w:tblLook w:val="0000"/>
      </w:tblPr>
      <w:tblGrid>
        <w:gridCol w:w="678"/>
        <w:gridCol w:w="1962"/>
        <w:gridCol w:w="770"/>
        <w:gridCol w:w="5610"/>
      </w:tblGrid>
      <w:tr w:rsidTr="00055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4</w:t>
            </w:r>
          </w:p>
        </w:tc>
        <w:tc>
          <w:tcPr>
            <w:tcW w:w="1962" w:type="dxa"/>
            <w:vMerge w:val="restart"/>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 xml:space="preserve">Recognise problems and take appropriate </w:t>
            </w:r>
            <w:r w:rsidRPr="0005589E">
              <w:t xml:space="preserve">action </w:t>
            </w:r>
          </w:p>
        </w:tc>
        <w:tc>
          <w:tcPr>
            <w:tcW w:w="77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4.1</w:t>
            </w:r>
          </w:p>
        </w:tc>
        <w:tc>
          <w:tcPr>
            <w:tcW w:w="561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Monitor plant frequently and critically throughout shift using measured/indicated data and senses (e.g. sight and hearing), as appropriate</w:t>
            </w:r>
          </w:p>
        </w:tc>
      </w:tr>
      <w:tr w:rsidTr="00055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4.2</w:t>
            </w:r>
          </w:p>
        </w:tc>
        <w:tc>
          <w:tcPr>
            <w:tcW w:w="561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Recognise developing situations which may require action</w:t>
            </w:r>
          </w:p>
        </w:tc>
      </w:tr>
      <w:tr w:rsidTr="00055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4.3</w:t>
            </w:r>
          </w:p>
        </w:tc>
        <w:tc>
          <w:tcPr>
            <w:tcW w:w="561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Make appropriate adjustments to pelletising equipment and duty</w:t>
            </w:r>
          </w:p>
        </w:tc>
      </w:tr>
      <w:tr w:rsidTr="00055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4.4</w:t>
            </w:r>
          </w:p>
        </w:tc>
        <w:tc>
          <w:tcPr>
            <w:tcW w:w="561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Take other appropriate actions on pelletising problems, as required</w:t>
            </w:r>
          </w:p>
        </w:tc>
      </w:tr>
      <w:tr w:rsidTr="00055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4.5</w:t>
            </w:r>
          </w:p>
        </w:tc>
        <w:tc>
          <w:tcPr>
            <w:tcW w:w="5610" w:type="dxa"/>
            <w:tcBorders>
              <w:top w:val="nil"/>
              <w:left w:val="nil"/>
              <w:bottom w:val="nil"/>
              <w:right w:val="nil"/>
            </w:tcBorders>
            <w:tcMar>
              <w:top w:w="0" w:type="dxa"/>
              <w:left w:w="62" w:type="dxa"/>
              <w:bottom w:w="0" w:type="dxa"/>
              <w:right w:w="62" w:type="dxa"/>
            </w:tcMar>
          </w:tcPr>
          <w:p w:rsidR="00000000" w:rsidRPr="0005589E" w:rsidP="0005589E">
            <w:pPr>
              <w:pStyle w:val="BodyText"/>
            </w:pPr>
            <w:r w:rsidRPr="0005589E">
              <w:t>Identify upstream and downstream impacts of any adjustment made or variation in conditions</w:t>
            </w:r>
          </w:p>
        </w:tc>
      </w:tr>
    </w:tbl>
    <w:p w:rsidR="00000000" w:rsidRPr="0005589E" w:rsidP="0005589E">
      <w:pPr>
        <w:pStyle w:val="BodyText"/>
      </w:pPr>
    </w:p>
    <w:tbl>
      <w:tblPr>
        <w:tblW w:w="0" w:type="auto"/>
        <w:tblLayout w:type="fixed"/>
        <w:tblCellMar>
          <w:left w:w="62" w:type="dxa"/>
          <w:right w:w="62" w:type="dxa"/>
        </w:tblCellMar>
        <w:tblLook w:val="0000"/>
      </w:tblPr>
      <w:tblGrid>
        <w:gridCol w:w="678"/>
        <w:gridCol w:w="1962"/>
        <w:gridCol w:w="770"/>
        <w:gridCol w:w="5610"/>
      </w:tblGrid>
      <w:tr w:rsidTr="00055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5</w:t>
            </w:r>
          </w:p>
        </w:tc>
        <w:tc>
          <w:tcPr>
            <w:tcW w:w="1962" w:type="dxa"/>
            <w:vMerge w:val="restart"/>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Isolate and de-isolate plant</w:t>
            </w:r>
          </w:p>
        </w:tc>
        <w:tc>
          <w:tcPr>
            <w:tcW w:w="77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5.1</w:t>
            </w:r>
          </w:p>
        </w:tc>
        <w:tc>
          <w:tcPr>
            <w:tcW w:w="561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Isolate plant</w:t>
            </w:r>
          </w:p>
        </w:tc>
      </w:tr>
      <w:tr w:rsidTr="00055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5.2</w:t>
            </w:r>
          </w:p>
        </w:tc>
        <w:tc>
          <w:tcPr>
            <w:tcW w:w="561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Make safe for required work</w:t>
            </w:r>
          </w:p>
        </w:tc>
      </w:tr>
      <w:tr w:rsidTr="00055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5.3</w:t>
            </w:r>
          </w:p>
        </w:tc>
        <w:tc>
          <w:tcPr>
            <w:tcW w:w="561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Check plant is ready to be returned to service</w:t>
            </w:r>
          </w:p>
        </w:tc>
      </w:tr>
      <w:tr w:rsidTr="00055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5.4</w:t>
            </w:r>
          </w:p>
        </w:tc>
        <w:tc>
          <w:tcPr>
            <w:tcW w:w="5610" w:type="dxa"/>
            <w:tcBorders>
              <w:top w:val="nil"/>
              <w:left w:val="nil"/>
              <w:bottom w:val="nil"/>
              <w:right w:val="nil"/>
            </w:tcBorders>
            <w:tcMar>
              <w:top w:w="0" w:type="dxa"/>
              <w:left w:w="62" w:type="dxa"/>
              <w:bottom w:w="0" w:type="dxa"/>
              <w:right w:w="62" w:type="dxa"/>
            </w:tcMar>
          </w:tcPr>
          <w:p w:rsidR="00000000" w:rsidRPr="0005589E" w:rsidP="0005589E">
            <w:pPr>
              <w:pStyle w:val="BodyText"/>
            </w:pPr>
            <w:r w:rsidRPr="0005589E">
              <w:t>Prepare plant for return to service</w:t>
            </w:r>
          </w:p>
        </w:tc>
      </w:tr>
    </w:tbl>
    <w:p w:rsidR="00674D25" w:rsidP="0005589E">
      <w:pPr>
        <w:pStyle w:val="BodyText"/>
      </w:pPr>
    </w:p>
    <w:p w:rsidR="00674D25" w:rsidP="0005589E">
      <w:pPr>
        <w:pStyle w:val="BodyText"/>
      </w:pPr>
    </w:p>
    <w:p w:rsidR="00000000" w:rsidRPr="0005589E" w:rsidP="0005589E">
      <w:pPr>
        <w:pStyle w:val="Heading1"/>
      </w:pPr>
      <w:bookmarkStart w:id="9" w:name="O_569435"/>
      <w:bookmarkEnd w:id="9"/>
      <w:r w:rsidRPr="0005589E">
        <w:t>Required Skills and Knowledge</w:t>
      </w:r>
    </w:p>
    <w:tbl>
      <w:tblPr>
        <w:tblW w:w="0" w:type="auto"/>
        <w:tblLayout w:type="fixed"/>
        <w:tblCellMar>
          <w:left w:w="62" w:type="dxa"/>
          <w:right w:w="62" w:type="dxa"/>
        </w:tblCellMar>
        <w:tblLook w:val="0000"/>
      </w:tblPr>
      <w:tblGrid>
        <w:gridCol w:w="9072"/>
      </w:tblGrid>
      <w:tr w:rsidTr="0005589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This section describes the skills and knowledge required for this unit.</w:t>
            </w:r>
          </w:p>
        </w:tc>
      </w:tr>
      <w:tr w:rsidTr="0005589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p>
        </w:tc>
      </w:tr>
      <w:tr w:rsidTr="0005589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rPr>
                <w:rStyle w:val="SpecialBold"/>
              </w:rPr>
              <w:t xml:space="preserve">Required skills </w:t>
            </w:r>
          </w:p>
        </w:tc>
      </w:tr>
      <w:tr w:rsidTr="0005589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5589E" w:rsidP="0005589E">
            <w:pPr>
              <w:pStyle w:val="BodyText"/>
            </w:pPr>
            <w:r w:rsidRPr="0005589E">
              <w:t>Required skills include:</w:t>
            </w:r>
          </w:p>
          <w:p w:rsidR="00000000" w:rsidRPr="0005589E" w:rsidP="0005589E">
            <w:pPr>
              <w:pStyle w:val="ListBullet"/>
            </w:pPr>
            <w:r w:rsidRPr="0005589E">
              <w:t>efficient and effective operation of plant/equipment</w:t>
            </w:r>
          </w:p>
          <w:p w:rsidR="00000000" w:rsidRPr="0005589E" w:rsidP="0005589E">
            <w:pPr>
              <w:pStyle w:val="ListBullet"/>
            </w:pPr>
            <w:r w:rsidRPr="0005589E">
              <w:t>recognising conditions which will lead to out of specification operation</w:t>
            </w:r>
          </w:p>
          <w:p w:rsidR="00000000" w:rsidRPr="0005589E" w:rsidP="0005589E">
            <w:pPr>
              <w:pStyle w:val="ListBullet"/>
            </w:pPr>
            <w:r w:rsidRPr="0005589E">
              <w:t>implementing enterprise procedures within time constraints and in a manner relevant to the correct use of the equipment</w:t>
            </w:r>
          </w:p>
          <w:p w:rsidR="00000000" w:rsidRPr="0005589E" w:rsidP="0005589E">
            <w:pPr>
              <w:pStyle w:val="ListBullet"/>
            </w:pPr>
            <w:r w:rsidRPr="0005589E">
              <w:t>conveying information relevant to the operation clearly and effectively</w:t>
            </w:r>
          </w:p>
          <w:p w:rsidR="00000000" w:rsidRPr="0005589E" w:rsidP="0005589E">
            <w:pPr>
              <w:pStyle w:val="ListBullet"/>
            </w:pPr>
            <w:r w:rsidRPr="0005589E">
              <w:t>maintaining appropriate levels of quality assurance</w:t>
            </w:r>
          </w:p>
          <w:p w:rsidR="00000000" w:rsidRPr="0005589E" w:rsidP="0005589E">
            <w:pPr>
              <w:pStyle w:val="ListBullet"/>
            </w:pPr>
            <w:r w:rsidRPr="0005589E">
              <w:t xml:space="preserve">reading and </w:t>
            </w:r>
            <w:r w:rsidRPr="0005589E">
              <w:t>numeracy to interpret workplace documents and technical information</w:t>
            </w:r>
          </w:p>
          <w:p w:rsidR="00000000" w:rsidRPr="0005589E" w:rsidP="0005589E">
            <w:pPr>
              <w:pStyle w:val="ListBullet"/>
            </w:pPr>
            <w:r w:rsidRPr="0005589E">
              <w:t>applying mathematics required for monitoring and responding to trends</w:t>
            </w:r>
          </w:p>
          <w:p w:rsidR="00000000" w:rsidP="0005589E">
            <w:pPr>
              <w:pStyle w:val="BodyText"/>
              <w:rPr>
                <w:lang w:val="en-NZ"/>
              </w:rPr>
            </w:pPr>
          </w:p>
        </w:tc>
      </w:tr>
      <w:tr w:rsidTr="0005589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rPr>
                <w:rStyle w:val="SpecialBold"/>
              </w:rPr>
              <w:t xml:space="preserve">Required knowledge </w:t>
            </w:r>
          </w:p>
        </w:tc>
      </w:tr>
      <w:tr w:rsidTr="0005589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5589E" w:rsidP="0005589E">
            <w:pPr>
              <w:pStyle w:val="BodyText"/>
            </w:pPr>
            <w:r w:rsidRPr="0005589E">
              <w:t>Required knowledge of pelletising equipment principles and typical problems, to a level needed to control the operation, includes:</w:t>
            </w:r>
          </w:p>
          <w:p w:rsidR="00000000" w:rsidRPr="0005589E" w:rsidP="0005589E">
            <w:pPr>
              <w:pStyle w:val="ListBullet"/>
            </w:pPr>
            <w:r w:rsidRPr="0005589E">
              <w:t>principles of operation of pelletising plant/equipment</w:t>
            </w:r>
          </w:p>
          <w:p w:rsidR="00000000" w:rsidRPr="0005589E" w:rsidP="0005589E">
            <w:pPr>
              <w:pStyle w:val="ListBullet"/>
            </w:pPr>
            <w:r w:rsidRPr="0005589E">
              <w:t>process parameters and limits (e.g. feed rate, temperature and pressu</w:t>
            </w:r>
            <w:r w:rsidRPr="0005589E">
              <w:t>re)</w:t>
            </w:r>
          </w:p>
          <w:p w:rsidR="00000000" w:rsidRPr="0005589E" w:rsidP="0005589E">
            <w:pPr>
              <w:pStyle w:val="ListBullet"/>
            </w:pPr>
            <w:r w:rsidRPr="0005589E">
              <w:t>duty of care obligations</w:t>
            </w:r>
          </w:p>
          <w:p w:rsidR="00000000" w:rsidRPr="0005589E" w:rsidP="0005589E">
            <w:pPr>
              <w:pStyle w:val="ListBullet"/>
            </w:pPr>
            <w:r w:rsidRPr="0005589E">
              <w:t>hierarchy of control</w:t>
            </w:r>
          </w:p>
          <w:p w:rsidR="00000000" w:rsidRPr="0005589E" w:rsidP="0005589E">
            <w:pPr>
              <w:pStyle w:val="ListBullet"/>
            </w:pPr>
            <w:r w:rsidRPr="0005589E">
              <w:t>communication protocols (e.g. radio, phone, computer, paper and permissions/)authorities</w:t>
            </w:r>
          </w:p>
          <w:p w:rsidR="00000000" w:rsidRPr="0005589E" w:rsidP="0005589E">
            <w:pPr>
              <w:pStyle w:val="ListBullet"/>
            </w:pPr>
            <w:r w:rsidRPr="0005589E">
              <w:t>typical issues causing problems and the resolution of those problems</w:t>
            </w:r>
          </w:p>
          <w:p w:rsidR="00000000" w:rsidRPr="0005589E" w:rsidP="0005589E">
            <w:pPr>
              <w:pStyle w:val="ListBullet"/>
            </w:pPr>
            <w:r w:rsidRPr="0005589E">
              <w:t xml:space="preserve">routine problems, faults and their symptoms and </w:t>
            </w:r>
            <w:r w:rsidRPr="0005589E">
              <w:t>the corrective action to be taken</w:t>
            </w:r>
          </w:p>
          <w:p w:rsidR="00000000" w:rsidRPr="0005589E" w:rsidP="0005589E">
            <w:pPr>
              <w:pStyle w:val="ListBullet"/>
            </w:pPr>
            <w:r w:rsidRPr="0005589E">
              <w:t>relevant alarms and actions</w:t>
            </w:r>
          </w:p>
          <w:p w:rsidR="00000000" w:rsidRPr="0005589E" w:rsidP="0005589E">
            <w:pPr>
              <w:pStyle w:val="ListBullet"/>
            </w:pPr>
            <w:r w:rsidRPr="0005589E">
              <w:t>plant process idiosyncrasies</w:t>
            </w:r>
          </w:p>
          <w:p w:rsidR="00000000" w:rsidRPr="0005589E" w:rsidP="0005589E">
            <w:pPr>
              <w:pStyle w:val="ListBullet"/>
            </w:pPr>
            <w:r w:rsidRPr="0005589E">
              <w:t>all items on a schematic of the plant item and the function/principles of operation, and problem solving of each</w:t>
            </w:r>
          </w:p>
          <w:p w:rsidR="00000000" w:rsidRPr="0005589E" w:rsidP="0005589E">
            <w:pPr>
              <w:pStyle w:val="ListBullet"/>
            </w:pPr>
            <w:r w:rsidRPr="0005589E">
              <w:t>function and troubleshooting of major internal compo</w:t>
            </w:r>
            <w:r w:rsidRPr="0005589E">
              <w:t>nents and their problems, such as internals, supports, conveyors and feeders</w:t>
            </w:r>
          </w:p>
          <w:p w:rsidR="00000000" w:rsidRPr="0005589E" w:rsidP="0005589E">
            <w:pPr>
              <w:pStyle w:val="ListBullet"/>
            </w:pPr>
            <w:r w:rsidRPr="0005589E">
              <w:t>relevant environmental and heritage requirements</w:t>
            </w:r>
          </w:p>
        </w:tc>
      </w:tr>
    </w:tbl>
    <w:p w:rsidR="00000000" w:rsidRPr="0005589E" w:rsidP="0005589E">
      <w:pPr>
        <w:pStyle w:val="BodyText"/>
      </w:pPr>
    </w:p>
    <w:p w:rsidR="00000000" w:rsidRPr="0005589E" w:rsidP="0005589E">
      <w:pPr>
        <w:pStyle w:val="AllowPageBreak"/>
      </w:pPr>
    </w:p>
    <w:p w:rsidR="00000000" w:rsidRPr="0005589E" w:rsidP="0005589E">
      <w:pPr>
        <w:pStyle w:val="Heading1"/>
      </w:pPr>
      <w:bookmarkStart w:id="10" w:name="O_569434"/>
      <w:bookmarkEnd w:id="10"/>
      <w:r w:rsidRPr="0005589E">
        <w:t>Evidence Guide</w:t>
      </w:r>
    </w:p>
    <w:tbl>
      <w:tblPr>
        <w:tblW w:w="0" w:type="auto"/>
        <w:tblLayout w:type="fixed"/>
        <w:tblCellMar>
          <w:left w:w="62" w:type="dxa"/>
          <w:right w:w="62" w:type="dxa"/>
        </w:tblCellMar>
        <w:tblLook w:val="0000"/>
      </w:tblPr>
      <w:tblGrid>
        <w:gridCol w:w="3648"/>
        <w:gridCol w:w="5352"/>
      </w:tblGrid>
      <w:tr w:rsidTr="0005589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The evidence guide provides advice on assessment and must be read in conjunction with the performance criteria required skills and knowledge range statement and the Assessment Guidelines for the Training Package.</w:t>
            </w:r>
          </w:p>
        </w:tc>
      </w:tr>
      <w:tr w:rsidTr="0005589E">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rPr>
                <w:rStyle w:val="SpecialBold"/>
              </w:rPr>
              <w:t>Critical aspects for assessment and evide</w:t>
            </w:r>
            <w:r w:rsidRPr="0005589E">
              <w:rPr>
                <w:rStyle w:val="SpecialBold"/>
              </w:rPr>
              <w:t>nce required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05589E" w:rsidP="0005589E">
            <w:pPr>
              <w:pStyle w:val="BodyText"/>
            </w:pPr>
            <w:r w:rsidRPr="0005589E">
              <w:t>Critical aspects for assessment and evidence are:</w:t>
            </w:r>
          </w:p>
          <w:p w:rsidR="00000000" w:rsidRPr="0005589E" w:rsidP="0005589E">
            <w:pPr>
              <w:pStyle w:val="ListBullet"/>
            </w:pPr>
            <w:r w:rsidRPr="0005589E">
              <w:t>early warning signs of equipment/processes needing attention or with potential problems are recognised</w:t>
            </w:r>
          </w:p>
          <w:p w:rsidR="00000000" w:rsidRPr="0005589E" w:rsidP="0005589E">
            <w:pPr>
              <w:pStyle w:val="ListBullet"/>
            </w:pPr>
            <w:r w:rsidRPr="0005589E">
              <w:t>the range of possible causes can be identified and analysed and the most likely cause determined</w:t>
            </w:r>
          </w:p>
          <w:p w:rsidR="00000000" w:rsidRPr="0005589E" w:rsidP="0005589E">
            <w:pPr>
              <w:pStyle w:val="ListBullet"/>
            </w:pPr>
            <w:r w:rsidRPr="0005589E">
              <w:t>appropriate action is taken to ensure a timely return to full performance</w:t>
            </w:r>
          </w:p>
          <w:p w:rsidR="00000000" w:rsidP="0005589E">
            <w:pPr>
              <w:pStyle w:val="ListBullet"/>
              <w:rPr>
                <w:lang w:val="en-NZ"/>
              </w:rPr>
            </w:pPr>
            <w:r w:rsidRPr="0005589E">
              <w:t>obvious problems in related plant areas are recognised and an appropriate contributio</w:t>
            </w:r>
            <w:r w:rsidRPr="0005589E">
              <w:t>n made to their solution.</w:t>
            </w:r>
          </w:p>
        </w:tc>
      </w:tr>
      <w:tr w:rsidTr="0005589E">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rPr>
                <w:rStyle w:val="SpecialBold"/>
              </w:rPr>
              <w:t>Context of and specific resources for assessment</w:t>
            </w:r>
          </w:p>
        </w:tc>
        <w:tc>
          <w:tcPr>
            <w:tcW w:w="5352"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Assessment of this competency will occur over a range of situations which will include typical disruptions to normal, smooth operation. This will require access to an operating pla</w:t>
            </w:r>
            <w:r w:rsidRPr="0005589E">
              <w:t>nt over an extended period of time, or a suitable method of gathering evidence of operating ability. Where safety, lack of opportunity or significant cost is an issue an industry-based simulation may be employed to assist the process.</w:t>
            </w:r>
          </w:p>
        </w:tc>
      </w:tr>
      <w:tr w:rsidTr="0005589E">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rPr>
                <w:rStyle w:val="SpecialBold"/>
              </w:rPr>
              <w:t>Guidance information</w:t>
            </w:r>
            <w:r w:rsidRPr="0005589E">
              <w:rPr>
                <w:rStyle w:val="SpecialBold"/>
              </w:rPr>
              <w:t xml:space="preserve"> for assessment</w:t>
            </w:r>
          </w:p>
        </w:tc>
        <w:tc>
          <w:tcPr>
            <w:tcW w:w="5352" w:type="dxa"/>
            <w:tcBorders>
              <w:top w:val="nil"/>
              <w:left w:val="nil"/>
              <w:bottom w:val="nil"/>
              <w:right w:val="nil"/>
            </w:tcBorders>
            <w:tcMar>
              <w:top w:w="0" w:type="dxa"/>
              <w:left w:w="62" w:type="dxa"/>
              <w:bottom w:w="0" w:type="dxa"/>
              <w:right w:w="62" w:type="dxa"/>
            </w:tcMar>
          </w:tcPr>
          <w:p w:rsidR="00000000" w:rsidRPr="0005589E" w:rsidP="0005589E">
            <w:pPr>
              <w:pStyle w:val="BodyText"/>
            </w:pPr>
            <w:r w:rsidRPr="0005589E">
              <w:t>Assessment processes and techniques must be appropriate to the language, competency and safety requirements of the site and consistent with workplace systems or procedures.</w:t>
            </w:r>
          </w:p>
        </w:tc>
      </w:tr>
    </w:tbl>
    <w:p w:rsidR="00674D25" w:rsidP="0005589E">
      <w:pPr>
        <w:pStyle w:val="BodyText"/>
      </w:pPr>
    </w:p>
    <w:p w:rsidR="00674D25" w:rsidP="0005589E">
      <w:pPr>
        <w:pStyle w:val="BodyText"/>
      </w:pPr>
    </w:p>
    <w:p w:rsidR="00000000" w:rsidRPr="0005589E" w:rsidP="0005589E">
      <w:pPr>
        <w:pStyle w:val="Heading1"/>
      </w:pPr>
      <w:bookmarkStart w:id="11" w:name="O_569433"/>
      <w:bookmarkEnd w:id="11"/>
      <w:r w:rsidRPr="0005589E">
        <w:t>Range Statement</w:t>
      </w:r>
    </w:p>
    <w:tbl>
      <w:tblPr>
        <w:tblW w:w="0" w:type="auto"/>
        <w:tblLayout w:type="fixed"/>
        <w:tblCellMar>
          <w:left w:w="62" w:type="dxa"/>
          <w:right w:w="62" w:type="dxa"/>
        </w:tblCellMar>
        <w:tblLook w:val="0000"/>
      </w:tblPr>
      <w:tblGrid>
        <w:gridCol w:w="3674"/>
        <w:gridCol w:w="5398"/>
      </w:tblGrid>
      <w:tr w:rsidTr="0005589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The range statement relates to the unit of competency as a whole. It allows for different work environments and situations that may affect performance. Bold italicised wording, if used in the performance criteria, is detailed below. Essential operating con</w:t>
            </w:r>
            <w:r w:rsidRPr="0005589E">
              <w:t>ditions that may be present with training and assessment (depending on the work situation, needs of the candidate, accessibility of the item, and local industry and regional contexts) may also be included.</w:t>
            </w:r>
          </w:p>
        </w:tc>
      </w:tr>
      <w:tr w:rsidTr="0005589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589E">
            <w:pPr>
              <w:pStyle w:val="BodyText"/>
              <w:rPr>
                <w:lang w:val="en-NZ"/>
              </w:rPr>
            </w:pPr>
          </w:p>
        </w:tc>
      </w:tr>
      <w:tr w:rsidTr="0005589E">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rPr>
                <w:rStyle w:val="SpecialBold"/>
              </w:rPr>
              <w:t>Context</w:t>
            </w:r>
          </w:p>
        </w:tc>
        <w:tc>
          <w:tcPr>
            <w:tcW w:w="5398" w:type="dxa"/>
            <w:tcBorders>
              <w:top w:val="nil"/>
              <w:left w:val="nil"/>
              <w:bottom w:val="nil"/>
              <w:right w:val="nil"/>
            </w:tcBorders>
            <w:tcMar>
              <w:top w:w="0" w:type="dxa"/>
              <w:left w:w="62" w:type="dxa"/>
              <w:bottom w:w="0" w:type="dxa"/>
              <w:right w:w="62" w:type="dxa"/>
            </w:tcMar>
          </w:tcPr>
          <w:p w:rsidR="00000000" w:rsidRPr="0005589E" w:rsidP="0005589E">
            <w:pPr>
              <w:pStyle w:val="BodyText"/>
            </w:pPr>
            <w:r w:rsidRPr="0005589E">
              <w:t>This competency includes all</w:t>
            </w:r>
            <w:r w:rsidRPr="0005589E">
              <w:t xml:space="preserve"> types of pelletising equipment/processes, including, but not limited to:</w:t>
            </w:r>
          </w:p>
          <w:p w:rsidR="00000000" w:rsidRPr="0005589E" w:rsidP="0005589E">
            <w:pPr>
              <w:pStyle w:val="ListBullet"/>
            </w:pPr>
            <w:r w:rsidRPr="0005589E">
              <w:t>grate-kiln processes</w:t>
            </w:r>
          </w:p>
          <w:p w:rsidR="00000000" w:rsidRPr="0005589E" w:rsidP="0005589E">
            <w:pPr>
              <w:pStyle w:val="ListBullet"/>
            </w:pPr>
            <w:r w:rsidRPr="0005589E">
              <w:t>travelling grate processes</w:t>
            </w:r>
          </w:p>
          <w:p w:rsidR="00000000" w:rsidRPr="0005589E" w:rsidP="0005589E">
            <w:pPr>
              <w:pStyle w:val="BodyText"/>
            </w:pPr>
            <w:r w:rsidRPr="0005589E">
              <w:t>The pelletising includes processes, such as:</w:t>
            </w:r>
          </w:p>
          <w:p w:rsidR="00000000" w:rsidRPr="0005589E" w:rsidP="0005589E">
            <w:pPr>
              <w:pStyle w:val="ListBullet"/>
            </w:pPr>
            <w:r w:rsidRPr="0005589E">
              <w:t>mixing</w:t>
            </w:r>
          </w:p>
          <w:p w:rsidR="00000000" w:rsidRPr="0005589E" w:rsidP="0005589E">
            <w:pPr>
              <w:pStyle w:val="ListBullet"/>
            </w:pPr>
            <w:r w:rsidRPr="0005589E">
              <w:t xml:space="preserve">balling </w:t>
            </w:r>
          </w:p>
          <w:p w:rsidR="00000000" w:rsidP="0005589E">
            <w:pPr>
              <w:pStyle w:val="ListBullet"/>
              <w:rPr>
                <w:lang w:val="en-NZ"/>
              </w:rPr>
            </w:pPr>
            <w:r w:rsidRPr="0005589E">
              <w:t>indurating</w:t>
            </w:r>
          </w:p>
        </w:tc>
      </w:tr>
      <w:tr w:rsidTr="0005589E">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rPr>
                <w:rStyle w:val="SpecialBold"/>
              </w:rPr>
              <w:t>Ancillary equipment</w:t>
            </w:r>
          </w:p>
        </w:tc>
        <w:tc>
          <w:tcPr>
            <w:tcW w:w="5398" w:type="dxa"/>
            <w:tcBorders>
              <w:top w:val="nil"/>
              <w:left w:val="nil"/>
              <w:bottom w:val="nil"/>
              <w:right w:val="nil"/>
            </w:tcBorders>
            <w:tcMar>
              <w:top w:w="0" w:type="dxa"/>
              <w:left w:w="62" w:type="dxa"/>
              <w:bottom w:w="0" w:type="dxa"/>
              <w:right w:w="62" w:type="dxa"/>
            </w:tcMar>
          </w:tcPr>
          <w:p w:rsidR="00000000" w:rsidRPr="0005589E" w:rsidP="0005589E">
            <w:pPr>
              <w:pStyle w:val="BodyText"/>
            </w:pPr>
            <w:r w:rsidRPr="0005589E">
              <w:t>Ancillary equipment may include, but is not limited to:</w:t>
            </w:r>
          </w:p>
          <w:p w:rsidR="00000000" w:rsidRPr="0005589E" w:rsidP="0005589E">
            <w:pPr>
              <w:pStyle w:val="ListBullet"/>
            </w:pPr>
            <w:r w:rsidRPr="0005589E">
              <w:t>conveyors</w:t>
            </w:r>
          </w:p>
          <w:p w:rsidR="00000000" w:rsidRPr="0005589E" w:rsidP="0005589E">
            <w:pPr>
              <w:pStyle w:val="ListBullet"/>
            </w:pPr>
            <w:r w:rsidRPr="0005589E">
              <w:t>feeders</w:t>
            </w:r>
          </w:p>
          <w:p w:rsidR="00000000" w:rsidP="0005589E">
            <w:pPr>
              <w:pStyle w:val="ListBullet"/>
              <w:rPr>
                <w:lang w:val="en-NZ"/>
              </w:rPr>
            </w:pPr>
            <w:r w:rsidRPr="0005589E">
              <w:t>rollers</w:t>
            </w:r>
          </w:p>
        </w:tc>
      </w:tr>
      <w:tr w:rsidTr="0005589E">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rPr>
                <w:rStyle w:val="SpecialBold"/>
              </w:rPr>
              <w:t>Procedures</w:t>
            </w:r>
          </w:p>
        </w:tc>
        <w:tc>
          <w:tcPr>
            <w:tcW w:w="5398" w:type="dxa"/>
            <w:tcBorders>
              <w:top w:val="nil"/>
              <w:left w:val="nil"/>
              <w:bottom w:val="nil"/>
              <w:right w:val="nil"/>
            </w:tcBorders>
            <w:tcMar>
              <w:top w:w="0" w:type="dxa"/>
              <w:left w:w="62" w:type="dxa"/>
              <w:bottom w:w="0" w:type="dxa"/>
              <w:right w:w="62" w:type="dxa"/>
            </w:tcMar>
          </w:tcPr>
          <w:p w:rsidR="00000000" w:rsidRPr="0005589E" w:rsidP="0005589E">
            <w:pPr>
              <w:pStyle w:val="BodyText"/>
            </w:pPr>
            <w:r w:rsidRPr="0005589E">
              <w:t>Procedures may be written, verbal, computer-based or in some other form. They may include but are not limited to:</w:t>
            </w:r>
          </w:p>
          <w:p w:rsidR="00000000" w:rsidRPr="0005589E" w:rsidP="0005589E">
            <w:pPr>
              <w:pStyle w:val="ListBullet"/>
            </w:pPr>
            <w:r w:rsidRPr="0005589E">
              <w:t>all work instructions</w:t>
            </w:r>
          </w:p>
          <w:p w:rsidR="00000000" w:rsidRPr="0005589E" w:rsidP="0005589E">
            <w:pPr>
              <w:pStyle w:val="ListBullet"/>
            </w:pPr>
            <w:r w:rsidRPr="0005589E">
              <w:t>standard operating proce</w:t>
            </w:r>
            <w:r w:rsidRPr="0005589E">
              <w:t>dures</w:t>
            </w:r>
          </w:p>
          <w:p w:rsidR="00000000" w:rsidRPr="0005589E" w:rsidP="0005589E">
            <w:pPr>
              <w:pStyle w:val="ListBullet"/>
            </w:pPr>
            <w:r w:rsidRPr="0005589E">
              <w:t>formulas/recipes</w:t>
            </w:r>
          </w:p>
          <w:p w:rsidR="00000000" w:rsidRPr="0005589E" w:rsidP="0005589E">
            <w:pPr>
              <w:pStyle w:val="ListBullet"/>
            </w:pPr>
            <w:r w:rsidRPr="0005589E">
              <w:t>batch sheets</w:t>
            </w:r>
          </w:p>
          <w:p w:rsidR="00000000" w:rsidRPr="0005589E" w:rsidP="0005589E">
            <w:pPr>
              <w:pStyle w:val="ListBullet"/>
            </w:pPr>
            <w:r w:rsidRPr="0005589E">
              <w:t>temporary instructions</w:t>
            </w:r>
          </w:p>
          <w:p w:rsidR="00000000" w:rsidRPr="0005589E" w:rsidP="0005589E">
            <w:pPr>
              <w:pStyle w:val="ListBullet"/>
            </w:pPr>
            <w:r w:rsidRPr="0005589E">
              <w:t>any similar instructions provided for the smooth running of the plant</w:t>
            </w:r>
          </w:p>
          <w:p w:rsidR="00000000" w:rsidRPr="0005589E" w:rsidP="0005589E">
            <w:pPr>
              <w:pStyle w:val="ListBullet"/>
            </w:pPr>
            <w:r w:rsidRPr="0005589E">
              <w:t>good operating practice as may be defined by industry codes of practice</w:t>
            </w:r>
          </w:p>
          <w:p w:rsidR="00000000" w:rsidP="0005589E">
            <w:pPr>
              <w:pStyle w:val="BodyText"/>
              <w:rPr>
                <w:lang w:val="en-NZ"/>
              </w:rPr>
            </w:pPr>
            <w:r w:rsidRPr="0005589E">
              <w:t>Procedures would be expected to comply with any relevant government regulations.</w:t>
            </w:r>
          </w:p>
        </w:tc>
      </w:tr>
      <w:tr w:rsidTr="0005589E">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rPr>
                <w:rStyle w:val="SpecialBold"/>
              </w:rPr>
              <w:t>Logs and reports</w:t>
            </w:r>
          </w:p>
        </w:tc>
        <w:tc>
          <w:tcPr>
            <w:tcW w:w="5398" w:type="dxa"/>
            <w:tcBorders>
              <w:top w:val="nil"/>
              <w:left w:val="nil"/>
              <w:bottom w:val="nil"/>
              <w:right w:val="nil"/>
            </w:tcBorders>
            <w:tcMar>
              <w:top w:w="0" w:type="dxa"/>
              <w:left w:w="62" w:type="dxa"/>
              <w:bottom w:w="0" w:type="dxa"/>
              <w:right w:w="62" w:type="dxa"/>
            </w:tcMar>
          </w:tcPr>
          <w:p w:rsidR="00000000" w:rsidRPr="0005589E" w:rsidP="0005589E">
            <w:pPr>
              <w:pStyle w:val="BodyText"/>
            </w:pPr>
            <w:r w:rsidRPr="0005589E">
              <w:t>Logs and reports may include:</w:t>
            </w:r>
          </w:p>
          <w:p w:rsidR="00000000" w:rsidRPr="0005589E" w:rsidP="0005589E">
            <w:pPr>
              <w:pStyle w:val="ListBullet"/>
            </w:pPr>
            <w:r w:rsidRPr="0005589E">
              <w:t>paper or electronic-based logs and reports</w:t>
            </w:r>
          </w:p>
          <w:p w:rsidR="00000000" w:rsidRPr="0005589E" w:rsidP="0005589E">
            <w:pPr>
              <w:pStyle w:val="ListBullet"/>
            </w:pPr>
            <w:r w:rsidRPr="0005589E">
              <w:t>verbal/radio reports</w:t>
            </w:r>
          </w:p>
          <w:p w:rsidR="00000000" w:rsidP="0005589E">
            <w:pPr>
              <w:pStyle w:val="ListBullet"/>
              <w:rPr>
                <w:lang w:val="en-NZ"/>
              </w:rPr>
            </w:pPr>
            <w:r w:rsidRPr="0005589E">
              <w:t>reporting items found which require action</w:t>
            </w:r>
          </w:p>
        </w:tc>
      </w:tr>
      <w:tr w:rsidTr="0005589E">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rPr>
                <w:rStyle w:val="SpecialBold"/>
              </w:rPr>
              <w:t>Appropriate action</w:t>
            </w:r>
          </w:p>
        </w:tc>
        <w:tc>
          <w:tcPr>
            <w:tcW w:w="5398" w:type="dxa"/>
            <w:tcBorders>
              <w:top w:val="nil"/>
              <w:left w:val="nil"/>
              <w:bottom w:val="nil"/>
              <w:right w:val="nil"/>
            </w:tcBorders>
            <w:tcMar>
              <w:top w:w="0" w:type="dxa"/>
              <w:left w:w="62" w:type="dxa"/>
              <w:bottom w:w="0" w:type="dxa"/>
              <w:right w:w="62" w:type="dxa"/>
            </w:tcMar>
          </w:tcPr>
          <w:p w:rsidR="00000000" w:rsidRPr="0005589E" w:rsidP="0005589E">
            <w:pPr>
              <w:pStyle w:val="BodyText"/>
            </w:pPr>
            <w:r w:rsidRPr="0005589E">
              <w:t>Appropriate action includes, but is not limited to:</w:t>
            </w:r>
          </w:p>
          <w:p w:rsidR="00000000" w:rsidRPr="0005589E" w:rsidP="0005589E">
            <w:pPr>
              <w:pStyle w:val="ListBullet"/>
            </w:pPr>
            <w:r w:rsidRPr="0005589E">
              <w:t>determining problems needing action</w:t>
            </w:r>
          </w:p>
          <w:p w:rsidR="00000000" w:rsidRPr="0005589E" w:rsidP="0005589E">
            <w:pPr>
              <w:pStyle w:val="ListBullet"/>
            </w:pPr>
            <w:r w:rsidRPr="0005589E">
              <w:t>accessing and applying relevant technical and plant data</w:t>
            </w:r>
          </w:p>
          <w:p w:rsidR="00000000" w:rsidRPr="0005589E" w:rsidP="0005589E">
            <w:pPr>
              <w:pStyle w:val="ListBullet"/>
            </w:pPr>
            <w:r w:rsidRPr="0005589E">
              <w:t>applying appropriate problem solving techniques to determine possible fault causes</w:t>
            </w:r>
          </w:p>
          <w:p w:rsidR="00000000" w:rsidRPr="0005589E" w:rsidP="0005589E">
            <w:pPr>
              <w:pStyle w:val="ListBullet"/>
            </w:pPr>
            <w:r w:rsidRPr="0005589E">
              <w:t>rectifying problem using a</w:t>
            </w:r>
            <w:r w:rsidRPr="0005589E">
              <w:t>ppropriate solution within area of responsibility</w:t>
            </w:r>
          </w:p>
          <w:p w:rsidR="00000000" w:rsidRPr="0005589E" w:rsidP="0005589E">
            <w:pPr>
              <w:pStyle w:val="ListBullet"/>
            </w:pPr>
            <w:r w:rsidRPr="0005589E">
              <w:t>following through items initiated until final resolution has occurred</w:t>
            </w:r>
          </w:p>
          <w:p w:rsidR="00000000" w:rsidP="0005589E">
            <w:pPr>
              <w:pStyle w:val="ListBullet"/>
              <w:rPr>
                <w:lang w:val="en-NZ"/>
              </w:rPr>
            </w:pPr>
            <w:r w:rsidRPr="0005589E">
              <w:t>reporting problems outside area of responsibility/ability to designated person</w:t>
            </w:r>
          </w:p>
        </w:tc>
      </w:tr>
      <w:tr w:rsidTr="0005589E">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rPr>
                <w:rStyle w:val="SpecialBold"/>
              </w:rPr>
              <w:t>Typical problems</w:t>
            </w:r>
          </w:p>
        </w:tc>
        <w:tc>
          <w:tcPr>
            <w:tcW w:w="5398" w:type="dxa"/>
            <w:tcBorders>
              <w:top w:val="nil"/>
              <w:left w:val="nil"/>
              <w:bottom w:val="nil"/>
              <w:right w:val="nil"/>
            </w:tcBorders>
            <w:tcMar>
              <w:top w:w="0" w:type="dxa"/>
              <w:left w:w="62" w:type="dxa"/>
              <w:bottom w:w="0" w:type="dxa"/>
              <w:right w:w="62" w:type="dxa"/>
            </w:tcMar>
          </w:tcPr>
          <w:p w:rsidR="00000000" w:rsidRPr="0005589E" w:rsidP="0005589E">
            <w:pPr>
              <w:pStyle w:val="BodyText"/>
            </w:pPr>
            <w:r w:rsidRPr="0005589E">
              <w:t>Typical problems may include, but are not limited to:</w:t>
            </w:r>
          </w:p>
          <w:p w:rsidR="00000000" w:rsidRPr="0005589E" w:rsidP="0005589E">
            <w:pPr>
              <w:pStyle w:val="ListBullet"/>
            </w:pPr>
            <w:r w:rsidRPr="0005589E">
              <w:t>blockages/build-up/fouling</w:t>
            </w:r>
          </w:p>
          <w:p w:rsidR="00000000" w:rsidRPr="0005589E" w:rsidP="0005589E">
            <w:pPr>
              <w:pStyle w:val="ListBullet"/>
            </w:pPr>
            <w:r w:rsidRPr="0005589E">
              <w:t>erosion/wear</w:t>
            </w:r>
          </w:p>
          <w:p w:rsidR="00000000" w:rsidP="0005589E">
            <w:pPr>
              <w:pStyle w:val="ListBullet"/>
              <w:rPr>
                <w:lang w:val="en-NZ"/>
              </w:rPr>
            </w:pPr>
            <w:r w:rsidRPr="0005589E">
              <w:t>ancillary equipment problems</w:t>
            </w:r>
          </w:p>
        </w:tc>
      </w:tr>
      <w:tr w:rsidTr="0005589E">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rPr>
                <w:rStyle w:val="SpecialBold"/>
              </w:rPr>
              <w:t>Remedial actions</w:t>
            </w:r>
          </w:p>
        </w:tc>
        <w:tc>
          <w:tcPr>
            <w:tcW w:w="5398" w:type="dxa"/>
            <w:tcBorders>
              <w:top w:val="nil"/>
              <w:left w:val="nil"/>
              <w:bottom w:val="nil"/>
              <w:right w:val="nil"/>
            </w:tcBorders>
            <w:tcMar>
              <w:top w:w="0" w:type="dxa"/>
              <w:left w:w="62" w:type="dxa"/>
              <w:bottom w:w="0" w:type="dxa"/>
              <w:right w:w="62" w:type="dxa"/>
            </w:tcMar>
          </w:tcPr>
          <w:p w:rsidR="00000000" w:rsidRPr="0005589E" w:rsidP="0005589E">
            <w:pPr>
              <w:pStyle w:val="BodyText"/>
            </w:pPr>
            <w:r w:rsidRPr="0005589E">
              <w:t>Remedial actions may include but are not limited to:</w:t>
            </w:r>
          </w:p>
          <w:p w:rsidR="00000000" w:rsidRPr="0005589E" w:rsidP="0005589E">
            <w:pPr>
              <w:pStyle w:val="ListBullet"/>
            </w:pPr>
            <w:r w:rsidRPr="0005589E">
              <w:t>making adjustments to the equipment (e.g. feed rate and temp</w:t>
            </w:r>
            <w:r w:rsidRPr="0005589E">
              <w:t>erature)</w:t>
            </w:r>
          </w:p>
          <w:p w:rsidR="00000000" w:rsidRPr="0005589E" w:rsidP="0005589E">
            <w:pPr>
              <w:pStyle w:val="ListBullet"/>
            </w:pPr>
            <w:r w:rsidRPr="0005589E">
              <w:t xml:space="preserve">carrying out minor maintenance within operator's skill </w:t>
            </w:r>
            <w:r w:rsidRPr="0005589E">
              <w:t>level</w:t>
            </w:r>
          </w:p>
          <w:p w:rsidR="00000000" w:rsidRPr="0005589E" w:rsidP="0005589E">
            <w:pPr>
              <w:pStyle w:val="ListBullet"/>
            </w:pPr>
            <w:r w:rsidRPr="0005589E">
              <w:t>identifying and reporting problems outside operator's scope of ability</w:t>
            </w:r>
          </w:p>
          <w:p w:rsidR="00000000" w:rsidP="0005589E">
            <w:pPr>
              <w:pStyle w:val="ListBullet"/>
              <w:rPr>
                <w:lang w:val="en-NZ"/>
              </w:rPr>
            </w:pPr>
            <w:r w:rsidRPr="0005589E">
              <w:t>identifying and controlling hazards related to pelletising equipment and surrounding areas</w:t>
            </w:r>
          </w:p>
        </w:tc>
      </w:tr>
      <w:tr w:rsidTr="0005589E">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rPr>
                <w:rStyle w:val="SpecialBold"/>
              </w:rPr>
              <w:t>Start up and shut down as required</w:t>
            </w:r>
          </w:p>
        </w:tc>
        <w:tc>
          <w:tcPr>
            <w:tcW w:w="5398" w:type="dxa"/>
            <w:tcBorders>
              <w:top w:val="nil"/>
              <w:left w:val="nil"/>
              <w:bottom w:val="nil"/>
              <w:right w:val="nil"/>
            </w:tcBorders>
            <w:tcMar>
              <w:top w:w="0" w:type="dxa"/>
              <w:left w:w="62" w:type="dxa"/>
              <w:bottom w:w="0" w:type="dxa"/>
              <w:right w:w="62" w:type="dxa"/>
            </w:tcMar>
          </w:tcPr>
          <w:p w:rsidR="00000000" w:rsidRPr="0005589E" w:rsidP="0005589E">
            <w:pPr>
              <w:pStyle w:val="BodyText"/>
            </w:pPr>
            <w:r w:rsidRPr="0005589E">
              <w:t>Start up and shut down as required includes:</w:t>
            </w:r>
          </w:p>
          <w:p w:rsidR="00000000" w:rsidRPr="0005589E" w:rsidP="0005589E">
            <w:pPr>
              <w:pStyle w:val="ListBullet"/>
            </w:pPr>
            <w:r w:rsidRPr="0005589E">
              <w:t>start up and shut down to/from normal operating conditions</w:t>
            </w:r>
          </w:p>
          <w:p w:rsidR="00000000" w:rsidRPr="0005589E" w:rsidP="0005589E">
            <w:pPr>
              <w:pStyle w:val="ListBullet"/>
            </w:pPr>
            <w:r w:rsidRPr="0005589E">
              <w:t>start up and shut down to/from isolated, cold, empty</w:t>
            </w:r>
          </w:p>
          <w:p w:rsidR="00000000" w:rsidP="0005589E">
            <w:pPr>
              <w:pStyle w:val="ListBullet"/>
              <w:rPr>
                <w:lang w:val="en-NZ"/>
              </w:rPr>
            </w:pPr>
            <w:r w:rsidRPr="0005589E">
              <w:t>all other conditions experienced on the plant (i.e. from any co</w:t>
            </w:r>
            <w:r w:rsidRPr="0005589E">
              <w:t>ndition to any condition experienced on the plant)</w:t>
            </w:r>
          </w:p>
        </w:tc>
      </w:tr>
      <w:tr w:rsidTr="0005589E">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rPr>
                <w:rStyle w:val="SpecialBold"/>
              </w:rPr>
              <w:t>Health, safety and environment (HSE)</w:t>
            </w:r>
          </w:p>
        </w:tc>
        <w:tc>
          <w:tcPr>
            <w:tcW w:w="5398"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All operations to which this unit applies are subject to stringent HSE requirements, which may be imposed through state or federal legislation, and these must not be c</w:t>
            </w:r>
            <w:r w:rsidRPr="0005589E">
              <w:t>ompromised at any time. Where there is an apparent conflict between Performance Criteria and HSE requirements, the HSE requirements take precedence.</w:t>
            </w:r>
          </w:p>
        </w:tc>
      </w:tr>
      <w:tr w:rsidTr="0005589E">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rPr>
                <w:rStyle w:val="SpecialBold"/>
              </w:rPr>
              <w:t>Work requirements</w:t>
            </w:r>
          </w:p>
        </w:tc>
        <w:tc>
          <w:tcPr>
            <w:tcW w:w="5398" w:type="dxa"/>
            <w:tcBorders>
              <w:top w:val="nil"/>
              <w:left w:val="nil"/>
              <w:bottom w:val="nil"/>
              <w:right w:val="nil"/>
            </w:tcBorders>
            <w:tcMar>
              <w:top w:w="0" w:type="dxa"/>
              <w:left w:w="62" w:type="dxa"/>
              <w:bottom w:w="0" w:type="dxa"/>
              <w:right w:w="62" w:type="dxa"/>
            </w:tcMar>
          </w:tcPr>
          <w:p w:rsidR="00000000" w:rsidRPr="0005589E" w:rsidP="0005589E">
            <w:pPr>
              <w:pStyle w:val="BodyText"/>
            </w:pPr>
            <w:r w:rsidRPr="0005589E">
              <w:t xml:space="preserve">Work requirements may come from briefings, handovers and work orders and may include: </w:t>
            </w:r>
          </w:p>
          <w:p w:rsidR="00000000" w:rsidRPr="0005589E" w:rsidP="0005589E">
            <w:pPr>
              <w:pStyle w:val="ListBullet"/>
            </w:pPr>
            <w:r w:rsidRPr="0005589E">
              <w:t>compliance documentation</w:t>
            </w:r>
          </w:p>
          <w:p w:rsidR="00000000" w:rsidRPr="0005589E" w:rsidP="0005589E">
            <w:pPr>
              <w:pStyle w:val="ListBullet"/>
            </w:pPr>
            <w:r w:rsidRPr="0005589E">
              <w:t xml:space="preserve">product specifications </w:t>
            </w:r>
          </w:p>
          <w:p w:rsidR="00000000" w:rsidRPr="0005589E" w:rsidP="0005589E">
            <w:pPr>
              <w:pStyle w:val="ListBullet"/>
            </w:pPr>
            <w:r w:rsidRPr="0005589E">
              <w:t xml:space="preserve">nature and scope of tasks </w:t>
            </w:r>
          </w:p>
          <w:p w:rsidR="00000000" w:rsidRPr="0005589E" w:rsidP="0005589E">
            <w:pPr>
              <w:pStyle w:val="ListBullet"/>
            </w:pPr>
            <w:r w:rsidRPr="0005589E">
              <w:t xml:space="preserve">achievement targets </w:t>
            </w:r>
          </w:p>
          <w:p w:rsidR="00000000" w:rsidRPr="0005589E" w:rsidP="0005589E">
            <w:pPr>
              <w:pStyle w:val="ListBullet"/>
            </w:pPr>
            <w:r w:rsidRPr="0005589E">
              <w:t xml:space="preserve">operational conditions </w:t>
            </w:r>
          </w:p>
          <w:p w:rsidR="00000000" w:rsidRPr="0005589E" w:rsidP="0005589E">
            <w:pPr>
              <w:pStyle w:val="ListBullet"/>
            </w:pPr>
            <w:r w:rsidRPr="0005589E">
              <w:t xml:space="preserve">lighting conditions </w:t>
            </w:r>
          </w:p>
          <w:p w:rsidR="00000000" w:rsidRPr="0005589E" w:rsidP="0005589E">
            <w:pPr>
              <w:pStyle w:val="ListBullet"/>
            </w:pPr>
            <w:r w:rsidRPr="0005589E">
              <w:t xml:space="preserve">plant or equipment defects </w:t>
            </w:r>
          </w:p>
          <w:p w:rsidR="00000000" w:rsidRPr="0005589E" w:rsidP="0005589E">
            <w:pPr>
              <w:pStyle w:val="ListBullet"/>
            </w:pPr>
            <w:r w:rsidRPr="0005589E">
              <w:t xml:space="preserve">hazards and potential hazards </w:t>
            </w:r>
          </w:p>
          <w:p w:rsidR="00000000" w:rsidRPr="0005589E" w:rsidP="0005589E">
            <w:pPr>
              <w:pStyle w:val="ListBullet"/>
            </w:pPr>
            <w:r w:rsidRPr="0005589E">
              <w:t>coordination requirements or issues</w:t>
            </w:r>
          </w:p>
        </w:tc>
      </w:tr>
    </w:tbl>
    <w:p w:rsidR="00674D25" w:rsidP="0005589E">
      <w:pPr>
        <w:pStyle w:val="BodyText"/>
      </w:pPr>
    </w:p>
    <w:p w:rsidR="00674D25" w:rsidP="0005589E">
      <w:pPr>
        <w:pStyle w:val="BodyText"/>
      </w:pPr>
    </w:p>
    <w:p w:rsidR="00000000" w:rsidRPr="0005589E" w:rsidP="0005589E">
      <w:pPr>
        <w:pStyle w:val="Heading1"/>
      </w:pPr>
      <w:bookmarkStart w:id="12" w:name="O_569432"/>
      <w:bookmarkEnd w:id="12"/>
      <w:r w:rsidRPr="0005589E">
        <w:t>Unit Sector(s)</w:t>
      </w:r>
    </w:p>
    <w:tbl>
      <w:tblPr>
        <w:tblW w:w="0" w:type="auto"/>
        <w:tblCellMar>
          <w:left w:w="62" w:type="dxa"/>
          <w:right w:w="62" w:type="dxa"/>
        </w:tblCellMar>
        <w:tblLook w:val="0000"/>
      </w:tblPr>
      <w:tblGrid>
        <w:gridCol w:w="2576"/>
        <w:gridCol w:w="6620"/>
      </w:tblGrid>
      <w:tr w:rsidTr="00674D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t>Operational/technical</w:t>
            </w:r>
          </w:p>
        </w:tc>
      </w:tr>
      <w:tr w:rsidTr="00674D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589E">
            <w:pPr>
              <w:pStyle w:val="BodyText"/>
              <w:rPr>
                <w:lang w:val="en-NZ"/>
              </w:rPr>
            </w:pPr>
            <w:r w:rsidRPr="0005589E">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05589E" w:rsidP="0005589E">
            <w:pPr>
              <w:pStyle w:val="BodyText"/>
            </w:pPr>
          </w:p>
        </w:tc>
      </w:tr>
    </w:tbl>
    <w:p w:rsidR="00000000" w:rsidRPr="0005589E" w:rsidP="0005589E">
      <w:pPr>
        <w:pStyle w:val="BodyText"/>
      </w:pPr>
    </w:p>
    <w:p w:rsidR="00000000" w:rsidRPr="0005589E" w:rsidP="0005589E">
      <w:pPr>
        <w:pStyle w:val="AllowPageBreak"/>
      </w:pPr>
    </w:p>
    <w:p w:rsidR="00000000" w:rsidRPr="0005589E" w:rsidP="0005589E">
      <w:pPr>
        <w:pStyle w:val="Heading1"/>
      </w:pPr>
      <w:bookmarkStart w:id="13" w:name="O_569431"/>
      <w:bookmarkEnd w:id="13"/>
      <w:r w:rsidRPr="0005589E">
        <w:t>Custom Content Section</w:t>
      </w:r>
    </w:p>
    <w:p w:rsidR="00000000" w:rsidRPr="0005589E" w:rsidP="0005589E">
      <w:pPr>
        <w:pStyle w:val="BodyText"/>
      </w:pPr>
      <w:r w:rsidRPr="0005589E">
        <w:t>Not applicable.</w:t>
      </w:r>
    </w:p>
    <w:p w:rsidR="00000000" w:rsidRPr="0005589E" w:rsidP="0005589E"/>
    <w:sectPr w:rsidSect="000558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8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89E" w:rsidRPr="00674D25" w:rsidP="00674D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8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D25" w:rsidP="000558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74D25" w:rsidP="0005589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74D25" w:rsidP="000558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8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89E" w:rsidRPr="00674D25" w:rsidP="00674D2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8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D25" w:rsidRPr="002D2AF8" w:rsidP="0005589E">
    <w:pPr>
      <w:pStyle w:val="Header"/>
      <w:framePr w:wrap="around"/>
    </w:pPr>
    <w:r>
      <w:fldChar w:fldCharType="begin"/>
    </w:r>
    <w:r>
      <w:instrText xml:space="preserve"> TITLE   \* MERGEFORMAT </w:instrText>
    </w:r>
    <w:r>
      <w:fldChar w:fldCharType="separate"/>
    </w:r>
    <w:r>
      <w:t>PMAOPS365A Operate pelletising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2013</w:t>
    </w:r>
    <w:r>
      <w:fldChar w:fldCharType="end"/>
    </w:r>
  </w:p>
  <w:p w:rsidR="00674D25" w:rsidP="000558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3A71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BCDF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8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589E"/>
    <w:pPr>
      <w:spacing w:before="360" w:after="60"/>
      <w:outlineLvl w:val="0"/>
    </w:pPr>
    <w:rPr>
      <w:sz w:val="32"/>
    </w:rPr>
  </w:style>
  <w:style w:type="paragraph" w:styleId="Heading2">
    <w:name w:val="heading 2"/>
    <w:basedOn w:val="HeadingBase"/>
    <w:next w:val="BodyText"/>
    <w:link w:val="Heading2Char"/>
    <w:qFormat/>
    <w:rsid w:val="0005589E"/>
    <w:pPr>
      <w:keepLines/>
      <w:spacing w:before="240" w:after="120"/>
      <w:outlineLvl w:val="1"/>
    </w:pPr>
    <w:rPr>
      <w:sz w:val="28"/>
      <w:szCs w:val="40"/>
    </w:rPr>
  </w:style>
  <w:style w:type="paragraph" w:styleId="Heading3">
    <w:name w:val="heading 3"/>
    <w:basedOn w:val="HeadingBase"/>
    <w:next w:val="BodyText"/>
    <w:link w:val="Heading3Char"/>
    <w:qFormat/>
    <w:rsid w:val="0005589E"/>
    <w:pPr>
      <w:spacing w:before="180" w:after="120"/>
      <w:outlineLvl w:val="2"/>
    </w:pPr>
    <w:rPr>
      <w:spacing w:val="-10"/>
      <w:kern w:val="32"/>
    </w:rPr>
  </w:style>
  <w:style w:type="paragraph" w:styleId="Heading4">
    <w:name w:val="heading 4"/>
    <w:basedOn w:val="HeadingBase"/>
    <w:next w:val="BodyText"/>
    <w:link w:val="Heading4Char"/>
    <w:qFormat/>
    <w:rsid w:val="0005589E"/>
    <w:pPr>
      <w:spacing w:before="160" w:after="120"/>
      <w:outlineLvl w:val="3"/>
    </w:pPr>
    <w:rPr>
      <w:sz w:val="22"/>
    </w:rPr>
  </w:style>
  <w:style w:type="paragraph" w:styleId="Heading5">
    <w:name w:val="heading 5"/>
    <w:basedOn w:val="HeadingBase"/>
    <w:next w:val="Normal"/>
    <w:link w:val="Heading5Char"/>
    <w:qFormat/>
    <w:rsid w:val="0005589E"/>
    <w:pPr>
      <w:spacing w:before="80"/>
      <w:outlineLvl w:val="4"/>
    </w:pPr>
    <w:rPr>
      <w:color w:val="918585"/>
      <w:sz w:val="20"/>
    </w:rPr>
  </w:style>
  <w:style w:type="paragraph" w:styleId="Heading6">
    <w:name w:val="heading 6"/>
    <w:basedOn w:val="HeadingBase"/>
    <w:next w:val="Normal"/>
    <w:link w:val="Heading6Char"/>
    <w:qFormat/>
    <w:rsid w:val="0005589E"/>
    <w:pPr>
      <w:spacing w:before="60"/>
      <w:outlineLvl w:val="5"/>
    </w:pPr>
    <w:rPr>
      <w:color w:val="918585"/>
      <w:sz w:val="20"/>
    </w:rPr>
  </w:style>
  <w:style w:type="paragraph" w:styleId="Heading7">
    <w:name w:val="heading 7"/>
    <w:basedOn w:val="Normal"/>
    <w:next w:val="Normal"/>
    <w:link w:val="Heading7Char"/>
    <w:qFormat/>
    <w:rsid w:val="0005589E"/>
    <w:pPr>
      <w:ind w:left="720"/>
      <w:outlineLvl w:val="6"/>
    </w:pPr>
    <w:rPr>
      <w:i/>
    </w:rPr>
  </w:style>
  <w:style w:type="paragraph" w:styleId="Heading8">
    <w:name w:val="heading 8"/>
    <w:basedOn w:val="Normal"/>
    <w:next w:val="Normal"/>
    <w:link w:val="Heading8Char"/>
    <w:qFormat/>
    <w:rsid w:val="0005589E"/>
    <w:pPr>
      <w:ind w:left="720"/>
      <w:outlineLvl w:val="7"/>
    </w:pPr>
    <w:rPr>
      <w:i/>
    </w:rPr>
  </w:style>
  <w:style w:type="paragraph" w:styleId="Heading9">
    <w:name w:val="heading 9"/>
    <w:basedOn w:val="Normal"/>
    <w:next w:val="Normal"/>
    <w:link w:val="Heading9Char"/>
    <w:qFormat/>
    <w:rsid w:val="0005589E"/>
    <w:pPr>
      <w:ind w:left="720"/>
      <w:outlineLvl w:val="8"/>
    </w:pPr>
    <w:rPr>
      <w:i/>
    </w:rPr>
  </w:style>
  <w:style w:type="character" w:default="1" w:styleId="DefaultParagraphFont">
    <w:name w:val="Default Paragraph Font"/>
    <w:uiPriority w:val="1"/>
    <w:unhideWhenUsed/>
    <w:rsid w:val="000558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589E"/>
  </w:style>
  <w:style w:type="character" w:customStyle="1" w:styleId="Heading1Char">
    <w:name w:val="Heading 1 Char"/>
    <w:basedOn w:val="DefaultParagraphFont"/>
    <w:link w:val="Heading1"/>
    <w:rsid w:val="0005589E"/>
    <w:rPr>
      <w:rFonts w:ascii="Times New Roman" w:eastAsia="Times New Roman" w:hAnsi="Times New Roman" w:cs="Times New Roman"/>
      <w:b/>
      <w:sz w:val="32"/>
      <w:szCs w:val="20"/>
      <w:lang w:eastAsia="en-US"/>
    </w:rPr>
  </w:style>
  <w:style w:type="paragraph" w:styleId="BodyText">
    <w:name w:val="Body Text"/>
    <w:basedOn w:val="Normal"/>
    <w:link w:val="BodyTextChar"/>
    <w:rsid w:val="000558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589E"/>
    <w:rPr>
      <w:rFonts w:ascii="Times New Roman" w:eastAsia="Times New Roman" w:hAnsi="Times New Roman" w:cs="Times New Roman"/>
      <w:sz w:val="24"/>
      <w:lang w:eastAsia="en-US"/>
    </w:rPr>
  </w:style>
  <w:style w:type="paragraph" w:styleId="ListBullet">
    <w:name w:val="List Bullet"/>
    <w:basedOn w:val="List"/>
    <w:rsid w:val="0005589E"/>
    <w:pPr>
      <w:numPr>
        <w:numId w:val="12"/>
      </w:numPr>
      <w:tabs>
        <w:tab w:val="clear" w:pos="340"/>
      </w:tabs>
      <w:spacing w:before="40" w:after="40"/>
    </w:pPr>
  </w:style>
  <w:style w:type="character" w:customStyle="1" w:styleId="SpecialBold">
    <w:name w:val="Special Bold"/>
    <w:basedOn w:val="DefaultParagraphFont"/>
    <w:rsid w:val="0005589E"/>
    <w:rPr>
      <w:b/>
      <w:spacing w:val="0"/>
    </w:rPr>
  </w:style>
  <w:style w:type="character" w:styleId="Emphasis">
    <w:name w:val="Emphasis"/>
    <w:basedOn w:val="DefaultParagraphFont"/>
    <w:qFormat/>
    <w:rsid w:val="0005589E"/>
    <w:rPr>
      <w:i/>
    </w:rPr>
  </w:style>
  <w:style w:type="paragraph" w:customStyle="1" w:styleId="SuperHeading">
    <w:name w:val="SuperHeading"/>
    <w:basedOn w:val="Normal"/>
    <w:rsid w:val="0005589E"/>
    <w:pPr>
      <w:spacing w:before="240" w:after="120"/>
      <w:outlineLvl w:val="0"/>
    </w:pPr>
    <w:rPr>
      <w:rFonts w:ascii="Times New Roman" w:hAnsi="Times New Roman"/>
      <w:b/>
      <w:sz w:val="32"/>
    </w:rPr>
  </w:style>
  <w:style w:type="paragraph" w:customStyle="1" w:styleId="AllowPageBreak">
    <w:name w:val="AllowPageBreak"/>
    <w:rsid w:val="000558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58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58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58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58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58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58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58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589E"/>
    <w:rPr>
      <w:rFonts w:ascii="Courier New" w:eastAsia="Times New Roman" w:hAnsi="Courier New" w:cs="Times New Roman"/>
      <w:i/>
      <w:szCs w:val="20"/>
      <w:lang w:eastAsia="en-US"/>
    </w:rPr>
  </w:style>
  <w:style w:type="paragraph" w:customStyle="1" w:styleId="HeadingBase">
    <w:name w:val="Heading Base"/>
    <w:rsid w:val="000558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589E"/>
    <w:pPr>
      <w:tabs>
        <w:tab w:val="right" w:leader="dot" w:pos="9072"/>
      </w:tabs>
      <w:ind w:left="567"/>
    </w:pPr>
    <w:rPr>
      <w:szCs w:val="22"/>
    </w:rPr>
  </w:style>
  <w:style w:type="paragraph" w:customStyle="1" w:styleId="TOCBase">
    <w:name w:val="TOC Base"/>
    <w:rsid w:val="000558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589E"/>
    <w:pPr>
      <w:tabs>
        <w:tab w:val="right" w:leader="dot" w:pos="9072"/>
      </w:tabs>
      <w:spacing w:before="40" w:after="40"/>
      <w:ind w:left="284"/>
    </w:pPr>
    <w:rPr>
      <w:rFonts w:ascii="Times New Roman" w:hAnsi="Times New Roman"/>
    </w:rPr>
  </w:style>
  <w:style w:type="paragraph" w:styleId="TOC1">
    <w:name w:val="toc 1"/>
    <w:basedOn w:val="TOCBase"/>
    <w:next w:val="Normal"/>
    <w:rsid w:val="000558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58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589E"/>
    <w:rPr>
      <w:rFonts w:ascii="Times New Roman" w:eastAsia="Times New Roman" w:hAnsi="Times New Roman" w:cs="Times New Roman"/>
      <w:sz w:val="16"/>
      <w:lang w:eastAsia="en-US"/>
    </w:rPr>
  </w:style>
  <w:style w:type="paragraph" w:styleId="Title">
    <w:name w:val="Title"/>
    <w:basedOn w:val="HeadingBase"/>
    <w:link w:val="TitleChar"/>
    <w:qFormat/>
    <w:rsid w:val="0005589E"/>
    <w:pPr>
      <w:spacing w:before="5040"/>
      <w:jc w:val="center"/>
    </w:pPr>
    <w:rPr>
      <w:sz w:val="48"/>
      <w:szCs w:val="72"/>
      <w:lang w:val="en-US"/>
    </w:rPr>
  </w:style>
  <w:style w:type="character" w:customStyle="1" w:styleId="TitleChar">
    <w:name w:val="Title Char"/>
    <w:basedOn w:val="DefaultParagraphFont"/>
    <w:link w:val="Title"/>
    <w:rsid w:val="000558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589E"/>
    <w:pPr>
      <w:tabs>
        <w:tab w:val="left" w:pos="3600"/>
        <w:tab w:val="left" w:pos="3958"/>
      </w:tabs>
    </w:pPr>
  </w:style>
  <w:style w:type="paragraph" w:styleId="List">
    <w:name w:val="List"/>
    <w:basedOn w:val="BodyText"/>
    <w:next w:val="BodyText"/>
    <w:rsid w:val="0005589E"/>
    <w:pPr>
      <w:tabs>
        <w:tab w:val="left" w:pos="340"/>
      </w:tabs>
      <w:spacing w:before="60" w:after="60"/>
      <w:ind w:left="340" w:hanging="340"/>
    </w:pPr>
  </w:style>
  <w:style w:type="paragraph" w:customStyle="1" w:styleId="Note">
    <w:name w:val="Note"/>
    <w:basedOn w:val="BodyText"/>
    <w:rsid w:val="000558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589E"/>
    <w:pPr>
      <w:framePr w:wrap="auto" w:hAnchor="text" w:y="6049"/>
    </w:pPr>
    <w:rPr>
      <w:color w:val="000000"/>
      <w:sz w:val="40"/>
    </w:rPr>
  </w:style>
  <w:style w:type="paragraph" w:customStyle="1" w:styleId="TOCTitle">
    <w:name w:val="TOCTitle"/>
    <w:basedOn w:val="Heading1"/>
    <w:rsid w:val="0005589E"/>
    <w:pPr>
      <w:spacing w:after="240"/>
      <w:jc w:val="center"/>
      <w:outlineLvl w:val="9"/>
    </w:pPr>
    <w:rPr>
      <w:caps/>
    </w:rPr>
  </w:style>
  <w:style w:type="paragraph" w:customStyle="1" w:styleId="Version">
    <w:name w:val="Version"/>
    <w:rsid w:val="000558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589E"/>
    <w:pPr>
      <w:numPr>
        <w:numId w:val="13"/>
      </w:numPr>
      <w:tabs>
        <w:tab w:val="clear" w:pos="680"/>
      </w:tabs>
    </w:pPr>
  </w:style>
  <w:style w:type="paragraph" w:styleId="Index1">
    <w:name w:val="index 1"/>
    <w:basedOn w:val="Normal"/>
    <w:next w:val="Normal"/>
    <w:semiHidden/>
    <w:rsid w:val="0005589E"/>
    <w:pPr>
      <w:keepNext w:val="0"/>
      <w:tabs>
        <w:tab w:val="right" w:pos="4176"/>
      </w:tabs>
      <w:ind w:left="198" w:hanging="198"/>
    </w:pPr>
    <w:rPr>
      <w:rFonts w:ascii="Garamond" w:hAnsi="Garamond"/>
    </w:rPr>
  </w:style>
  <w:style w:type="paragraph" w:styleId="IndexHeading">
    <w:name w:val="index heading"/>
    <w:basedOn w:val="Normal"/>
    <w:next w:val="Index1"/>
    <w:semiHidden/>
    <w:rsid w:val="0005589E"/>
    <w:pPr>
      <w:spacing w:before="120" w:after="120"/>
    </w:pPr>
    <w:rPr>
      <w:rFonts w:ascii="Arial" w:hAnsi="Arial"/>
      <w:b/>
      <w:color w:val="918585"/>
      <w:sz w:val="24"/>
    </w:rPr>
  </w:style>
  <w:style w:type="paragraph" w:styleId="Header">
    <w:name w:val="header"/>
    <w:basedOn w:val="Normal"/>
    <w:link w:val="HeaderChar"/>
    <w:rsid w:val="000558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589E"/>
    <w:rPr>
      <w:rFonts w:ascii="Times New Roman" w:eastAsia="Times New Roman" w:hAnsi="Times New Roman" w:cs="Times New Roman"/>
      <w:sz w:val="16"/>
      <w:szCs w:val="20"/>
      <w:lang w:val="en-GB" w:eastAsia="en-US"/>
    </w:rPr>
  </w:style>
  <w:style w:type="paragraph" w:customStyle="1" w:styleId="Chapter">
    <w:name w:val="Chapter"/>
    <w:basedOn w:val="Normal"/>
    <w:rsid w:val="0005589E"/>
    <w:pPr>
      <w:spacing w:before="240"/>
    </w:pPr>
    <w:rPr>
      <w:rFonts w:ascii="Times New Roman" w:hAnsi="Times New Roman"/>
      <w:smallCaps/>
      <w:spacing w:val="80"/>
      <w:sz w:val="28"/>
    </w:rPr>
  </w:style>
  <w:style w:type="paragraph" w:customStyle="1" w:styleId="InChapter">
    <w:name w:val="InChapter"/>
    <w:basedOn w:val="Heading3"/>
    <w:rsid w:val="0005589E"/>
    <w:pPr>
      <w:spacing w:after="240"/>
      <w:outlineLvl w:val="9"/>
    </w:pPr>
    <w:rPr>
      <w:noProof/>
    </w:rPr>
  </w:style>
  <w:style w:type="paragraph" w:styleId="Index2">
    <w:name w:val="index 2"/>
    <w:basedOn w:val="Normal"/>
    <w:next w:val="Normal"/>
    <w:semiHidden/>
    <w:rsid w:val="0005589E"/>
    <w:pPr>
      <w:tabs>
        <w:tab w:val="right" w:pos="4176"/>
      </w:tabs>
      <w:ind w:left="568" w:hanging="284"/>
    </w:pPr>
    <w:rPr>
      <w:rFonts w:ascii="Garamond" w:hAnsi="Garamond"/>
    </w:rPr>
  </w:style>
  <w:style w:type="paragraph" w:customStyle="1" w:styleId="Byline">
    <w:name w:val="Byline"/>
    <w:rsid w:val="000558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589E"/>
    <w:pPr>
      <w:tabs>
        <w:tab w:val="clear" w:pos="3600"/>
        <w:tab w:val="clear" w:pos="3958"/>
      </w:tabs>
      <w:jc w:val="right"/>
    </w:pPr>
  </w:style>
  <w:style w:type="paragraph" w:styleId="Caption">
    <w:name w:val="caption"/>
    <w:basedOn w:val="BodyText"/>
    <w:next w:val="Normal"/>
    <w:qFormat/>
    <w:rsid w:val="0005589E"/>
    <w:pPr>
      <w:framePr w:w="2268" w:hSpace="181" w:vSpace="181" w:wrap="around" w:vAnchor="text" w:hAnchor="page" w:x="1135" w:y="285" w:anchorLock="1"/>
    </w:pPr>
    <w:rPr>
      <w:i/>
    </w:rPr>
  </w:style>
  <w:style w:type="paragraph" w:customStyle="1" w:styleId="MiniTOCTitle">
    <w:name w:val="MiniTOCTitle"/>
    <w:basedOn w:val="Heading4"/>
    <w:rsid w:val="0005589E"/>
    <w:pPr>
      <w:spacing w:before="240"/>
      <w:outlineLvl w:val="9"/>
    </w:pPr>
    <w:rPr>
      <w:noProof/>
      <w:sz w:val="24"/>
    </w:rPr>
  </w:style>
  <w:style w:type="paragraph" w:customStyle="1" w:styleId="MiniTOCItem">
    <w:name w:val="MiniTOCItem"/>
    <w:basedOn w:val="ListBullet"/>
    <w:rsid w:val="0005589E"/>
    <w:pPr>
      <w:numPr>
        <w:numId w:val="0"/>
      </w:numPr>
      <w:tabs>
        <w:tab w:val="right" w:leader="dot" w:pos="6521"/>
      </w:tabs>
      <w:spacing w:before="0" w:after="0"/>
    </w:pPr>
  </w:style>
  <w:style w:type="paragraph" w:customStyle="1" w:styleId="TOFTitle">
    <w:name w:val="TOFTitle"/>
    <w:basedOn w:val="TOCTitle"/>
    <w:rsid w:val="0005589E"/>
  </w:style>
  <w:style w:type="paragraph" w:styleId="TableofFigures">
    <w:name w:val="table of figures"/>
    <w:basedOn w:val="Normal"/>
    <w:next w:val="Normal"/>
    <w:semiHidden/>
    <w:rsid w:val="0005589E"/>
    <w:pPr>
      <w:tabs>
        <w:tab w:val="right" w:leader="dot" w:pos="9072"/>
      </w:tabs>
      <w:ind w:left="970" w:hanging="403"/>
    </w:pPr>
    <w:rPr>
      <w:rFonts w:ascii="Times New Roman" w:hAnsi="Times New Roman"/>
      <w:b/>
    </w:rPr>
  </w:style>
  <w:style w:type="paragraph" w:styleId="ListNumber">
    <w:name w:val="List Number"/>
    <w:basedOn w:val="List"/>
    <w:rsid w:val="0005589E"/>
    <w:pPr>
      <w:numPr>
        <w:numId w:val="10"/>
      </w:numPr>
    </w:pPr>
  </w:style>
  <w:style w:type="character" w:customStyle="1" w:styleId="WingdingSymbols">
    <w:name w:val="Wingding Symbols"/>
    <w:rsid w:val="0005589E"/>
    <w:rPr>
      <w:rFonts w:ascii="Wingdings" w:hAnsi="Wingdings"/>
    </w:rPr>
  </w:style>
  <w:style w:type="paragraph" w:customStyle="1" w:styleId="TableHeading">
    <w:name w:val="Table Heading"/>
    <w:basedOn w:val="HeadingBase"/>
    <w:rsid w:val="0005589E"/>
    <w:pPr>
      <w:keepLines/>
      <w:pBdr>
        <w:bottom w:val="single" w:sz="6" w:space="1" w:color="918585"/>
      </w:pBdr>
      <w:spacing w:before="240"/>
    </w:pPr>
  </w:style>
  <w:style w:type="character" w:customStyle="1" w:styleId="HotSpot">
    <w:name w:val="HotSpot"/>
    <w:rsid w:val="0005589E"/>
    <w:rPr>
      <w:color w:val="0033CC"/>
      <w:u w:val="none"/>
    </w:rPr>
  </w:style>
  <w:style w:type="paragraph" w:customStyle="1" w:styleId="BodyTextRight">
    <w:name w:val="Body Text Right"/>
    <w:basedOn w:val="BodyText"/>
    <w:rsid w:val="0005589E"/>
    <w:pPr>
      <w:spacing w:before="0" w:after="0"/>
      <w:jc w:val="right"/>
    </w:pPr>
  </w:style>
  <w:style w:type="paragraph" w:styleId="Index3">
    <w:name w:val="index 3"/>
    <w:basedOn w:val="ListNumber2"/>
    <w:next w:val="Normal"/>
    <w:semiHidden/>
    <w:rsid w:val="0005589E"/>
    <w:pPr>
      <w:numPr>
        <w:numId w:val="0"/>
      </w:numPr>
      <w:tabs>
        <w:tab w:val="right" w:leader="dot" w:pos="4176"/>
      </w:tabs>
    </w:pPr>
  </w:style>
  <w:style w:type="paragraph" w:styleId="ListNumber2">
    <w:name w:val="List Number 2"/>
    <w:basedOn w:val="List2"/>
    <w:rsid w:val="0005589E"/>
    <w:pPr>
      <w:numPr>
        <w:numId w:val="9"/>
      </w:numPr>
      <w:tabs>
        <w:tab w:val="clear" w:pos="1060"/>
      </w:tabs>
    </w:pPr>
  </w:style>
  <w:style w:type="paragraph" w:customStyle="1" w:styleId="MarginNote">
    <w:name w:val="Margin Note"/>
    <w:basedOn w:val="BodyText"/>
    <w:rsid w:val="000558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58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58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589E"/>
    <w:rPr>
      <w:sz w:val="32"/>
    </w:rPr>
  </w:style>
  <w:style w:type="paragraph" w:customStyle="1" w:styleId="HeadingProcedure">
    <w:name w:val="Heading Procedure"/>
    <w:basedOn w:val="HeadingBase"/>
    <w:next w:val="Normal"/>
    <w:rsid w:val="0005589E"/>
    <w:pPr>
      <w:tabs>
        <w:tab w:val="left" w:pos="0"/>
      </w:tabs>
      <w:spacing w:before="120" w:after="60"/>
    </w:pPr>
    <w:rPr>
      <w:i/>
      <w:color w:val="918585"/>
      <w:sz w:val="22"/>
    </w:rPr>
  </w:style>
  <w:style w:type="paragraph" w:customStyle="1" w:styleId="TableBodyText">
    <w:name w:val="Table Body Text"/>
    <w:basedOn w:val="BodyText"/>
    <w:rsid w:val="0005589E"/>
    <w:pPr>
      <w:spacing w:before="60" w:after="60"/>
    </w:pPr>
  </w:style>
  <w:style w:type="paragraph" w:styleId="ListContinue">
    <w:name w:val="List Continue"/>
    <w:basedOn w:val="List"/>
    <w:rsid w:val="0005589E"/>
    <w:pPr>
      <w:ind w:firstLine="0"/>
    </w:pPr>
  </w:style>
  <w:style w:type="paragraph" w:customStyle="1" w:styleId="ListNote">
    <w:name w:val="List Note"/>
    <w:basedOn w:val="List"/>
    <w:rsid w:val="0005589E"/>
    <w:pPr>
      <w:pBdr>
        <w:top w:val="single" w:sz="6" w:space="2" w:color="918585"/>
        <w:bottom w:val="single" w:sz="6" w:space="2" w:color="918585"/>
      </w:pBdr>
      <w:tabs>
        <w:tab w:val="left" w:pos="1021"/>
      </w:tabs>
      <w:ind w:firstLine="0"/>
    </w:pPr>
  </w:style>
  <w:style w:type="paragraph" w:customStyle="1" w:styleId="Warning">
    <w:name w:val="Warning"/>
    <w:basedOn w:val="BodyText"/>
    <w:rsid w:val="0005589E"/>
    <w:pPr>
      <w:shd w:val="clear" w:color="auto" w:fill="D9D9D9"/>
      <w:tabs>
        <w:tab w:val="left" w:pos="992"/>
      </w:tabs>
      <w:ind w:left="119" w:right="119"/>
    </w:pPr>
    <w:rPr>
      <w:sz w:val="20"/>
    </w:rPr>
  </w:style>
  <w:style w:type="paragraph" w:customStyle="1" w:styleId="MarginIcons">
    <w:name w:val="Margin Icons"/>
    <w:basedOn w:val="BodyText"/>
    <w:rsid w:val="000558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589E"/>
    <w:rPr>
      <w:rFonts w:ascii="Courier New" w:hAnsi="Courier New"/>
    </w:rPr>
  </w:style>
  <w:style w:type="paragraph" w:customStyle="1" w:styleId="NoteBullet">
    <w:name w:val="Note Bullet"/>
    <w:basedOn w:val="Note"/>
    <w:rsid w:val="0005589E"/>
    <w:pPr>
      <w:tabs>
        <w:tab w:val="clear" w:pos="680"/>
      </w:tabs>
      <w:spacing w:before="60" w:after="60"/>
    </w:pPr>
  </w:style>
  <w:style w:type="paragraph" w:customStyle="1" w:styleId="SubHeading2">
    <w:name w:val="SubHeading2"/>
    <w:basedOn w:val="HeadingBase"/>
    <w:rsid w:val="0005589E"/>
    <w:pPr>
      <w:spacing w:before="240" w:after="60"/>
    </w:pPr>
    <w:rPr>
      <w:sz w:val="20"/>
    </w:rPr>
  </w:style>
  <w:style w:type="paragraph" w:customStyle="1" w:styleId="SubHeading1">
    <w:name w:val="SubHeading1"/>
    <w:basedOn w:val="HeadingBase"/>
    <w:rsid w:val="0005589E"/>
    <w:pPr>
      <w:spacing w:before="240" w:after="60"/>
    </w:pPr>
    <w:rPr>
      <w:color w:val="918585"/>
      <w:sz w:val="22"/>
    </w:rPr>
  </w:style>
  <w:style w:type="paragraph" w:customStyle="1" w:styleId="SideHeading">
    <w:name w:val="Side Heading"/>
    <w:basedOn w:val="HeadingBase"/>
    <w:rsid w:val="000558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589E"/>
    <w:pPr>
      <w:tabs>
        <w:tab w:val="num" w:pos="360"/>
      </w:tabs>
    </w:pPr>
  </w:style>
  <w:style w:type="paragraph" w:styleId="PlainText">
    <w:name w:val="Plain Text"/>
    <w:basedOn w:val="Normal"/>
    <w:link w:val="PlainTextChar"/>
    <w:rsid w:val="0005589E"/>
    <w:rPr>
      <w:sz w:val="20"/>
    </w:rPr>
  </w:style>
  <w:style w:type="character" w:customStyle="1" w:styleId="PlainTextChar">
    <w:name w:val="Plain Text Char"/>
    <w:basedOn w:val="DefaultParagraphFont"/>
    <w:link w:val="PlainText"/>
    <w:rsid w:val="0005589E"/>
    <w:rPr>
      <w:rFonts w:ascii="Courier New" w:eastAsia="Times New Roman" w:hAnsi="Courier New" w:cs="Times New Roman"/>
      <w:sz w:val="20"/>
      <w:szCs w:val="20"/>
      <w:lang w:eastAsia="en-US"/>
    </w:rPr>
  </w:style>
  <w:style w:type="character" w:customStyle="1" w:styleId="MenuOption">
    <w:name w:val="Menu Option"/>
    <w:basedOn w:val="DefaultParagraphFont"/>
    <w:rsid w:val="0005589E"/>
    <w:rPr>
      <w:b/>
      <w:smallCaps/>
    </w:rPr>
  </w:style>
  <w:style w:type="paragraph" w:customStyle="1" w:styleId="TableListNumber">
    <w:name w:val="Table List Number"/>
    <w:basedOn w:val="ListNumber"/>
    <w:rsid w:val="0005589E"/>
    <w:pPr>
      <w:numPr>
        <w:numId w:val="0"/>
      </w:numPr>
    </w:pPr>
  </w:style>
  <w:style w:type="paragraph" w:styleId="TOC4">
    <w:name w:val="toc 4"/>
    <w:basedOn w:val="TOCBase"/>
    <w:next w:val="Normal"/>
    <w:semiHidden/>
    <w:rsid w:val="0005589E"/>
    <w:pPr>
      <w:tabs>
        <w:tab w:val="right" w:leader="dot" w:pos="9071"/>
      </w:tabs>
      <w:ind w:left="1701"/>
    </w:pPr>
  </w:style>
  <w:style w:type="paragraph" w:customStyle="1" w:styleId="ListAlpha">
    <w:name w:val="List Alpha"/>
    <w:basedOn w:val="List"/>
    <w:rsid w:val="0005589E"/>
    <w:pPr>
      <w:numPr>
        <w:numId w:val="8"/>
      </w:numPr>
    </w:pPr>
  </w:style>
  <w:style w:type="paragraph" w:customStyle="1" w:styleId="ListAlpha2">
    <w:name w:val="List Alpha 2"/>
    <w:basedOn w:val="List2"/>
    <w:rsid w:val="0005589E"/>
    <w:pPr>
      <w:numPr>
        <w:numId w:val="7"/>
      </w:numPr>
    </w:pPr>
  </w:style>
  <w:style w:type="paragraph" w:styleId="List2">
    <w:name w:val="List 2"/>
    <w:basedOn w:val="BodyText"/>
    <w:rsid w:val="0005589E"/>
    <w:pPr>
      <w:tabs>
        <w:tab w:val="left" w:pos="680"/>
      </w:tabs>
      <w:spacing w:before="60" w:after="60"/>
      <w:ind w:left="680" w:hanging="340"/>
    </w:pPr>
  </w:style>
  <w:style w:type="paragraph" w:styleId="List3">
    <w:name w:val="List 3"/>
    <w:basedOn w:val="BodyText"/>
    <w:rsid w:val="0005589E"/>
    <w:pPr>
      <w:tabs>
        <w:tab w:val="left" w:pos="1021"/>
      </w:tabs>
      <w:spacing w:before="60" w:after="60"/>
      <w:ind w:left="1020" w:hanging="340"/>
    </w:pPr>
  </w:style>
  <w:style w:type="paragraph" w:styleId="List4">
    <w:name w:val="List 4"/>
    <w:basedOn w:val="BodyText"/>
    <w:rsid w:val="0005589E"/>
    <w:pPr>
      <w:tabs>
        <w:tab w:val="left" w:pos="1361"/>
      </w:tabs>
      <w:spacing w:before="60" w:after="60"/>
      <w:ind w:left="1361" w:hanging="340"/>
    </w:pPr>
  </w:style>
  <w:style w:type="paragraph" w:styleId="List5">
    <w:name w:val="List 5"/>
    <w:basedOn w:val="BodyText"/>
    <w:rsid w:val="0005589E"/>
    <w:pPr>
      <w:tabs>
        <w:tab w:val="left" w:pos="1701"/>
      </w:tabs>
      <w:spacing w:before="60" w:after="60"/>
      <w:ind w:left="1701" w:hanging="340"/>
    </w:pPr>
  </w:style>
  <w:style w:type="paragraph" w:styleId="ListBullet3">
    <w:name w:val="List Bullet 3"/>
    <w:basedOn w:val="List3"/>
    <w:rsid w:val="0005589E"/>
    <w:pPr>
      <w:numPr>
        <w:numId w:val="14"/>
      </w:numPr>
      <w:tabs>
        <w:tab w:val="clear" w:pos="1021"/>
      </w:tabs>
      <w:ind w:left="1037" w:hanging="357"/>
    </w:pPr>
  </w:style>
  <w:style w:type="paragraph" w:styleId="ListBullet4">
    <w:name w:val="List Bullet 4"/>
    <w:basedOn w:val="List4"/>
    <w:rsid w:val="0005589E"/>
    <w:pPr>
      <w:numPr>
        <w:numId w:val="2"/>
      </w:numPr>
    </w:pPr>
  </w:style>
  <w:style w:type="paragraph" w:styleId="ListBullet5">
    <w:name w:val="List Bullet 5"/>
    <w:basedOn w:val="List5"/>
    <w:rsid w:val="0005589E"/>
    <w:pPr>
      <w:numPr>
        <w:numId w:val="3"/>
      </w:numPr>
    </w:pPr>
  </w:style>
  <w:style w:type="paragraph" w:styleId="ListContinue2">
    <w:name w:val="List Continue 2"/>
    <w:basedOn w:val="List2"/>
    <w:rsid w:val="0005589E"/>
    <w:pPr>
      <w:ind w:firstLine="0"/>
    </w:pPr>
  </w:style>
  <w:style w:type="paragraph" w:styleId="ListContinue3">
    <w:name w:val="List Continue 3"/>
    <w:basedOn w:val="List3"/>
    <w:rsid w:val="0005589E"/>
    <w:pPr>
      <w:ind w:left="1021" w:firstLine="0"/>
    </w:pPr>
  </w:style>
  <w:style w:type="paragraph" w:styleId="ListContinue4">
    <w:name w:val="List Continue 4"/>
    <w:basedOn w:val="List4"/>
    <w:rsid w:val="0005589E"/>
    <w:pPr>
      <w:ind w:firstLine="0"/>
    </w:pPr>
  </w:style>
  <w:style w:type="paragraph" w:styleId="ListContinue5">
    <w:name w:val="List Continue 5"/>
    <w:basedOn w:val="List5"/>
    <w:rsid w:val="0005589E"/>
    <w:pPr>
      <w:ind w:firstLine="0"/>
    </w:pPr>
  </w:style>
  <w:style w:type="paragraph" w:styleId="ListNumber3">
    <w:name w:val="List Number 3"/>
    <w:basedOn w:val="List3"/>
    <w:rsid w:val="0005589E"/>
    <w:pPr>
      <w:numPr>
        <w:numId w:val="4"/>
      </w:numPr>
    </w:pPr>
  </w:style>
  <w:style w:type="paragraph" w:styleId="ListNumber4">
    <w:name w:val="List Number 4"/>
    <w:basedOn w:val="List4"/>
    <w:rsid w:val="0005589E"/>
    <w:pPr>
      <w:numPr>
        <w:numId w:val="5"/>
      </w:numPr>
    </w:pPr>
  </w:style>
  <w:style w:type="paragraph" w:styleId="ListNumber5">
    <w:name w:val="List Number 5"/>
    <w:basedOn w:val="List5"/>
    <w:rsid w:val="0005589E"/>
    <w:pPr>
      <w:numPr>
        <w:numId w:val="6"/>
      </w:numPr>
    </w:pPr>
  </w:style>
  <w:style w:type="paragraph" w:styleId="BlockText">
    <w:name w:val="Block Text"/>
    <w:basedOn w:val="Normal"/>
    <w:rsid w:val="0005589E"/>
    <w:pPr>
      <w:spacing w:after="120"/>
      <w:ind w:left="1440" w:right="1440"/>
    </w:pPr>
  </w:style>
  <w:style w:type="character" w:customStyle="1" w:styleId="Subscript">
    <w:name w:val="Subscript"/>
    <w:basedOn w:val="DefaultParagraphFont"/>
    <w:rsid w:val="0005589E"/>
    <w:rPr>
      <w:sz w:val="16"/>
      <w:vertAlign w:val="subscript"/>
    </w:rPr>
  </w:style>
  <w:style w:type="character" w:customStyle="1" w:styleId="Superscript">
    <w:name w:val="Superscript"/>
    <w:basedOn w:val="DefaultParagraphFont"/>
    <w:rsid w:val="0005589E"/>
    <w:rPr>
      <w:sz w:val="16"/>
      <w:vertAlign w:val="superscript"/>
    </w:rPr>
  </w:style>
  <w:style w:type="character" w:customStyle="1" w:styleId="Symbols">
    <w:name w:val="Symbols"/>
    <w:basedOn w:val="DefaultParagraphFont"/>
    <w:rsid w:val="0005589E"/>
    <w:rPr>
      <w:rFonts w:ascii="Symbol" w:hAnsi="Symbol"/>
    </w:rPr>
  </w:style>
  <w:style w:type="character" w:customStyle="1" w:styleId="MenuOptions">
    <w:name w:val="Menu Options"/>
    <w:basedOn w:val="DefaultParagraphFont"/>
    <w:rsid w:val="0005589E"/>
    <w:rPr>
      <w:rFonts w:ascii="Arial Narrow" w:hAnsi="Arial Narrow"/>
      <w:smallCaps/>
    </w:rPr>
  </w:style>
  <w:style w:type="character" w:customStyle="1" w:styleId="Buttons">
    <w:name w:val="Buttons"/>
    <w:basedOn w:val="DefaultParagraphFont"/>
    <w:rsid w:val="0005589E"/>
    <w:rPr>
      <w:b/>
    </w:rPr>
  </w:style>
  <w:style w:type="character" w:customStyle="1" w:styleId="Underlined">
    <w:name w:val="Underlined"/>
    <w:basedOn w:val="DefaultParagraphFont"/>
    <w:rsid w:val="0005589E"/>
    <w:rPr>
      <w:u w:val="single"/>
    </w:rPr>
  </w:style>
  <w:style w:type="paragraph" w:customStyle="1" w:styleId="TableBodyTextRight">
    <w:name w:val="Table Body Text Right"/>
    <w:basedOn w:val="TableBodyText"/>
    <w:rsid w:val="0005589E"/>
    <w:pPr>
      <w:widowControl w:val="0"/>
      <w:autoSpaceDE w:val="0"/>
      <w:autoSpaceDN w:val="0"/>
      <w:adjustRightInd w:val="0"/>
      <w:jc w:val="right"/>
    </w:pPr>
    <w:rPr>
      <w:rFonts w:cs="Arial"/>
      <w:szCs w:val="18"/>
    </w:rPr>
  </w:style>
  <w:style w:type="paragraph" w:customStyle="1" w:styleId="CopyrightText">
    <w:name w:val="Copyright Text"/>
    <w:basedOn w:val="BodyText"/>
    <w:rsid w:val="0005589E"/>
    <w:rPr>
      <w:sz w:val="18"/>
    </w:rPr>
  </w:style>
  <w:style w:type="paragraph" w:customStyle="1" w:styleId="BodySmallRight">
    <w:name w:val="Body Small Right"/>
    <w:basedOn w:val="BodyTextRight"/>
    <w:rsid w:val="0005589E"/>
    <w:rPr>
      <w:sz w:val="18"/>
      <w:szCs w:val="18"/>
    </w:rPr>
  </w:style>
  <w:style w:type="paragraph" w:customStyle="1" w:styleId="MarginEdition">
    <w:name w:val="Margin Edition"/>
    <w:basedOn w:val="MarginNote"/>
    <w:rsid w:val="0005589E"/>
    <w:pPr>
      <w:spacing w:before="0" w:after="0"/>
    </w:pPr>
    <w:rPr>
      <w:rFonts w:ascii="Times New Roman" w:hAnsi="Times New Roman"/>
      <w:color w:val="999999"/>
    </w:rPr>
  </w:style>
  <w:style w:type="paragraph" w:customStyle="1" w:styleId="Spacer">
    <w:name w:val="Spacer"/>
    <w:basedOn w:val="Normal"/>
    <w:rsid w:val="0005589E"/>
    <w:rPr>
      <w:sz w:val="2"/>
      <w:szCs w:val="2"/>
    </w:rPr>
  </w:style>
  <w:style w:type="character" w:customStyle="1" w:styleId="Small">
    <w:name w:val="Small"/>
    <w:basedOn w:val="DefaultParagraphFont"/>
    <w:rsid w:val="0005589E"/>
    <w:rPr>
      <w:sz w:val="16"/>
    </w:rPr>
  </w:style>
  <w:style w:type="paragraph" w:customStyle="1" w:styleId="WideTable">
    <w:name w:val="Wide Table"/>
    <w:basedOn w:val="Normal"/>
    <w:rsid w:val="0005589E"/>
    <w:pPr>
      <w:ind w:left="-1418"/>
    </w:pPr>
    <w:rPr>
      <w:sz w:val="2"/>
      <w:szCs w:val="2"/>
    </w:rPr>
  </w:style>
  <w:style w:type="character" w:styleId="PageNumber">
    <w:name w:val="page number"/>
    <w:basedOn w:val="DefaultParagraphFont"/>
    <w:rsid w:val="0005589E"/>
  </w:style>
  <w:style w:type="paragraph" w:styleId="Quote">
    <w:name w:val="Quote"/>
    <w:basedOn w:val="Heading1"/>
    <w:link w:val="QuoteChar"/>
    <w:qFormat/>
    <w:rsid w:val="0005589E"/>
    <w:rPr>
      <w:b w:val="0"/>
      <w:sz w:val="72"/>
      <w:szCs w:val="72"/>
      <w:lang w:val="en-NZ"/>
    </w:rPr>
  </w:style>
  <w:style w:type="character" w:customStyle="1" w:styleId="QuoteChar">
    <w:name w:val="Quote Char"/>
    <w:basedOn w:val="DefaultParagraphFont"/>
    <w:link w:val="Quote"/>
    <w:rsid w:val="000558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589E"/>
    <w:pPr>
      <w:pageBreakBefore/>
    </w:pPr>
  </w:style>
  <w:style w:type="paragraph" w:customStyle="1" w:styleId="Border">
    <w:name w:val="Border"/>
    <w:basedOn w:val="Normal"/>
    <w:qFormat/>
    <w:rsid w:val="000558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589E"/>
    <w:rPr>
      <w:b/>
      <w:bCs/>
      <w:i/>
      <w:iCs/>
      <w:color w:val="auto"/>
    </w:rPr>
  </w:style>
  <w:style w:type="paragraph" w:styleId="IntenseQuote">
    <w:name w:val="Intense Quote"/>
    <w:basedOn w:val="Normal"/>
    <w:next w:val="Normal"/>
    <w:link w:val="IntenseQuoteChar"/>
    <w:uiPriority w:val="30"/>
    <w:qFormat/>
    <w:rsid w:val="000558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58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589E"/>
    <w:rPr>
      <w:smallCaps/>
      <w:color w:val="auto"/>
      <w:u w:val="single"/>
    </w:rPr>
  </w:style>
  <w:style w:type="character" w:styleId="IntenseReference">
    <w:name w:val="Intense Reference"/>
    <w:basedOn w:val="DefaultParagraphFont"/>
    <w:uiPriority w:val="32"/>
    <w:qFormat/>
    <w:rsid w:val="0005589E"/>
    <w:rPr>
      <w:b/>
      <w:bCs/>
      <w:smallCaps/>
      <w:color w:val="auto"/>
      <w:spacing w:val="5"/>
      <w:u w:val="single"/>
    </w:rPr>
  </w:style>
  <w:style w:type="paragraph" w:customStyle="1" w:styleId="2ColumnHeading">
    <w:name w:val="2Column Heading"/>
    <w:basedOn w:val="BodyText"/>
    <w:qFormat/>
    <w:rsid w:val="0005589E"/>
    <w:pPr>
      <w:spacing w:after="60"/>
      <w:ind w:left="-2268"/>
    </w:pPr>
    <w:rPr>
      <w:b/>
    </w:rPr>
  </w:style>
  <w:style w:type="paragraph" w:customStyle="1" w:styleId="Heading1TOC">
    <w:name w:val="Heading1 TOC"/>
    <w:basedOn w:val="Normal"/>
    <w:qFormat/>
    <w:rsid w:val="0005589E"/>
    <w:pPr>
      <w:spacing w:before="240" w:after="120"/>
    </w:pPr>
    <w:rPr>
      <w:rFonts w:ascii="Times New Roman" w:hAnsi="Times New Roman"/>
      <w:b/>
      <w:sz w:val="32"/>
    </w:rPr>
  </w:style>
  <w:style w:type="paragraph" w:customStyle="1" w:styleId="Heading2TOC">
    <w:name w:val="Heading2 TOC"/>
    <w:basedOn w:val="Normal"/>
    <w:qFormat/>
    <w:rsid w:val="0005589E"/>
    <w:pPr>
      <w:spacing w:before="240" w:after="60"/>
    </w:pPr>
    <w:rPr>
      <w:rFonts w:ascii="Times New Roman" w:hAnsi="Times New Roman"/>
      <w:b/>
      <w:sz w:val="28"/>
    </w:rPr>
  </w:style>
  <w:style w:type="character" w:customStyle="1" w:styleId="Underline">
    <w:name w:val="Underline"/>
    <w:basedOn w:val="DefaultParagraphFont"/>
    <w:qFormat/>
    <w:rsid w:val="0005589E"/>
    <w:rPr>
      <w:u w:val="single"/>
    </w:rPr>
  </w:style>
  <w:style w:type="character" w:customStyle="1" w:styleId="BoldandItalics">
    <w:name w:val="Bold and Italics"/>
    <w:qFormat/>
    <w:rsid w:val="0005589E"/>
    <w:rPr>
      <w:b/>
      <w:i/>
      <w:u w:val="none"/>
    </w:rPr>
  </w:style>
  <w:style w:type="paragraph" w:styleId="BalloonText">
    <w:name w:val="Balloon Text"/>
    <w:basedOn w:val="Normal"/>
    <w:link w:val="BalloonTextChar"/>
    <w:rsid w:val="0005589E"/>
    <w:rPr>
      <w:rFonts w:ascii="Tahoma" w:hAnsi="Tahoma" w:cs="Tahoma"/>
      <w:sz w:val="16"/>
      <w:szCs w:val="16"/>
    </w:rPr>
  </w:style>
  <w:style w:type="character" w:customStyle="1" w:styleId="BalloonTextChar">
    <w:name w:val="Balloon Text Char"/>
    <w:basedOn w:val="DefaultParagraphFont"/>
    <w:link w:val="BalloonText"/>
    <w:rsid w:val="000558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58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58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589E"/>
    <w:rPr>
      <w:b/>
      <w:color w:val="660033"/>
      <w:spacing w:val="0"/>
    </w:rPr>
  </w:style>
  <w:style w:type="paragraph" w:customStyle="1" w:styleId="Nameditemlist">
    <w:name w:val="Named item list"/>
    <w:basedOn w:val="BodyText"/>
    <w:qFormat/>
    <w:rsid w:val="000558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1367</Words>
  <Characters>8443</Characters>
  <Application>Microsoft Office Word</Application>
  <DocSecurity>0</DocSecurity>
  <Lines>350</Lines>
  <Paragraphs>190</Paragraphs>
  <ScaleCrop>false</ScaleCrop>
  <Company>Author-it Software Corporation Ltd.</Company>
  <LinksUpToDate>false</LinksUpToDate>
  <CharactersWithSpaces>9700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PMAOPS365A Operate pelletising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2013-06-23T08:55:00Z</dcterms:created>
  <dcterms:modified xsi:type="dcterms:W3CDTF">2013-06-23T08:55:00Z</dcterms:modified>
</cp:coreProperties>
</file>