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B8D" w:rsidP="00ED4B8D">
      <w:pPr>
        <w:pStyle w:val="Title"/>
      </w:pPr>
      <w:r>
        <w:fldChar w:fldCharType="begin"/>
      </w:r>
      <w:r>
        <w:instrText xml:space="preserve"> TITLE   \* MERGEFORMAT </w:instrText>
      </w:r>
      <w:r>
        <w:fldChar w:fldCharType="separate"/>
      </w:r>
      <w:r>
        <w:t>PMAOPS360A Operate a metalliferous kiln/furnace</w:t>
      </w:r>
      <w:r>
        <w:fldChar w:fldCharType="end"/>
      </w:r>
    </w:p>
    <w:p w:rsidR="00ED4B8D" w:rsidP="00ED4B8D">
      <w:pPr>
        <w:pStyle w:val="Version"/>
        <w:sectPr w:rsidSect="00A92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9C1" w:rsidP="00A929C1">
      <w:pPr>
        <w:pStyle w:val="SuperHeading"/>
      </w:pPr>
      <w:r w:rsidRPr="00A929C1">
        <w:t>PMAOPS360A Operate a metalliferous kiln/furnace</w:t>
      </w:r>
    </w:p>
    <w:p w:rsidR="00000000" w:rsidRPr="00A929C1" w:rsidP="00A929C1">
      <w:pPr>
        <w:pStyle w:val="Heading1"/>
      </w:pPr>
      <w:bookmarkStart w:id="1" w:name="O_569370"/>
      <w:bookmarkEnd w:id="1"/>
      <w:r w:rsidRPr="00A929C1">
        <w:t>Modification History</w:t>
      </w:r>
    </w:p>
    <w:p w:rsidR="00000000" w:rsidRPr="00A929C1" w:rsidP="00A929C1">
      <w:pPr>
        <w:pStyle w:val="BodyText"/>
      </w:pPr>
      <w:r w:rsidRPr="00A929C1">
        <w:t>Release 1 – New unit</w:t>
      </w:r>
    </w:p>
    <w:p w:rsidR="00000000" w:rsidRPr="00A929C1" w:rsidP="00A929C1">
      <w:pPr>
        <w:pStyle w:val="AllowPageBreak"/>
      </w:pPr>
    </w:p>
    <w:p w:rsidR="00000000" w:rsidRPr="00A929C1" w:rsidP="00A929C1">
      <w:pPr>
        <w:pStyle w:val="Heading1"/>
      </w:pPr>
      <w:bookmarkStart w:id="2" w:name="O_569382"/>
      <w:bookmarkEnd w:id="2"/>
      <w:r w:rsidRPr="00A929C1">
        <w:t>Unit Descriptor</w:t>
      </w:r>
    </w:p>
    <w:p w:rsidR="00ED4B8D" w:rsidP="00A929C1">
      <w:pPr>
        <w:pStyle w:val="BodyText"/>
      </w:pPr>
      <w:r w:rsidRPr="00A929C1">
        <w:t xml:space="preserve">This unit of competency covers the skills and knowledge needed to operate a metalliferous kiln/furnace for the high temperature treatment of ores. </w:t>
      </w:r>
    </w:p>
    <w:p w:rsidR="00ED4B8D" w:rsidP="00A929C1">
      <w:pPr>
        <w:pStyle w:val="BodyText"/>
      </w:pPr>
    </w:p>
    <w:p w:rsidR="00000000" w:rsidRPr="00A929C1" w:rsidP="00A929C1">
      <w:pPr>
        <w:pStyle w:val="Heading1"/>
      </w:pPr>
      <w:bookmarkStart w:id="3" w:name="O_569381"/>
      <w:bookmarkEnd w:id="3"/>
      <w:r w:rsidRPr="00A929C1">
        <w:t>Applica</w:t>
      </w:r>
      <w:r w:rsidRPr="00A929C1">
        <w:t>tion of the Unit</w:t>
      </w:r>
    </w:p>
    <w:p w:rsidR="00000000" w:rsidRPr="00A929C1" w:rsidP="00A929C1">
      <w:pPr>
        <w:pStyle w:val="BodyText"/>
      </w:pPr>
      <w:r w:rsidRPr="00A929C1">
        <w:t>This unit applies to a plant technician who has the responsibility for the operation of a metalliferous kiln or furnace in an industrial scale metalliferous processing facility, including furnaces for calcining and roasting of ores.</w:t>
      </w:r>
    </w:p>
    <w:p w:rsidR="00000000" w:rsidRPr="00A929C1" w:rsidP="00A929C1">
      <w:pPr>
        <w:pStyle w:val="BodyText"/>
      </w:pPr>
    </w:p>
    <w:p w:rsidR="00000000" w:rsidRPr="00A929C1" w:rsidP="00A929C1">
      <w:pPr>
        <w:pStyle w:val="BodyText"/>
      </w:pPr>
      <w:r w:rsidRPr="00A929C1">
        <w:t xml:space="preserve">This </w:t>
      </w:r>
      <w:r w:rsidRPr="00A929C1">
        <w:t>unit applies to an individual working alone or as part of a team or group and working in liaison with other shift team members and the control room operator, as appropriate.</w:t>
      </w:r>
    </w:p>
    <w:p w:rsidR="00000000" w:rsidRPr="00A929C1" w:rsidP="00A929C1">
      <w:pPr>
        <w:pStyle w:val="BodyText"/>
      </w:pPr>
    </w:p>
    <w:p w:rsidR="00000000" w:rsidRPr="00A929C1" w:rsidP="00A929C1">
      <w:pPr>
        <w:pStyle w:val="BodyText"/>
      </w:pPr>
      <w:r w:rsidRPr="00A929C1">
        <w:t>This unit requires a detailed knowledge of the kiln/furnace and related equipment</w:t>
      </w:r>
      <w:r w:rsidRPr="00A929C1">
        <w:t xml:space="preserve">, operating processes at high temperatures, handling ore and very hot materials, procedures and metallurgy to the extent of being able to determine and apply the raw materials feed. Since the kiln/furnace may operate continuously for long periods of time, </w:t>
      </w:r>
      <w:r w:rsidRPr="00A929C1">
        <w:t>the plant technician will be expected to take over the operation from others and take responsibility for the operation whilst there. The plant technician would be expected to contribute to start-ups and shutdowns of the kiln/furnace.</w:t>
      </w:r>
    </w:p>
    <w:p w:rsidR="00000000" w:rsidRPr="00A929C1" w:rsidP="00A929C1">
      <w:pPr>
        <w:pStyle w:val="BodyText"/>
      </w:pPr>
    </w:p>
    <w:p w:rsidR="00000000" w:rsidRPr="00A929C1" w:rsidP="00A929C1">
      <w:pPr>
        <w:pStyle w:val="BodyText"/>
      </w:pPr>
      <w:r w:rsidRPr="00A929C1">
        <w:t>This unit does NOT re</w:t>
      </w:r>
      <w:r w:rsidRPr="00A929C1">
        <w:t>quire the operation of a central control panel.</w:t>
      </w:r>
    </w:p>
    <w:p w:rsidR="00000000" w:rsidRPr="00A929C1" w:rsidP="00A929C1">
      <w:pPr>
        <w:pStyle w:val="BodyText"/>
      </w:pPr>
    </w:p>
    <w:p w:rsidR="00ED4B8D" w:rsidP="00A929C1">
      <w:pPr>
        <w:pStyle w:val="BodyText"/>
      </w:pPr>
      <w:r w:rsidRPr="00A929C1">
        <w:t>This unit has been written around the high temperature treatment of ores, usually below the metal melting point, so the feed and product are expected to be solids. This unit is not intended to include the ha</w:t>
      </w:r>
      <w:r w:rsidRPr="00A929C1">
        <w:t>ndling of molten metal. However, it should also be applicable to other ores and materials with appropriate contextualisation.</w:t>
      </w:r>
    </w:p>
    <w:p w:rsidR="00ED4B8D" w:rsidP="00A929C1">
      <w:pPr>
        <w:pStyle w:val="BodyText"/>
      </w:pPr>
    </w:p>
    <w:p w:rsidR="00000000" w:rsidRPr="00A929C1" w:rsidP="00A929C1">
      <w:pPr>
        <w:pStyle w:val="Heading1"/>
      </w:pPr>
      <w:bookmarkStart w:id="4" w:name="O_569380"/>
      <w:bookmarkEnd w:id="4"/>
      <w:r w:rsidRPr="00A929C1">
        <w:t>Licensing/Regulatory Information</w:t>
      </w:r>
    </w:p>
    <w:p w:rsidR="00000000" w:rsidRPr="00A929C1" w:rsidP="00A929C1">
      <w:pPr>
        <w:pStyle w:val="BodyText"/>
      </w:pPr>
      <w:r w:rsidRPr="00A929C1">
        <w:t>Not applicable.</w:t>
      </w:r>
    </w:p>
    <w:p w:rsidR="00000000" w:rsidRPr="00A929C1" w:rsidP="00A929C1">
      <w:pPr>
        <w:pStyle w:val="AllowPageBreak"/>
      </w:pPr>
    </w:p>
    <w:p w:rsidR="00000000" w:rsidRPr="00A929C1" w:rsidP="00A929C1">
      <w:pPr>
        <w:pStyle w:val="Heading1"/>
      </w:pPr>
      <w:bookmarkStart w:id="5" w:name="O_569379"/>
      <w:bookmarkEnd w:id="5"/>
      <w:r w:rsidRPr="00A929C1">
        <w:t>Pre-Requisites</w:t>
      </w:r>
    </w:p>
    <w:p w:rsidR="00000000" w:rsidRPr="00A929C1" w:rsidP="00A929C1">
      <w:pPr>
        <w:pStyle w:val="BodyText"/>
      </w:pPr>
      <w:r w:rsidRPr="00A929C1">
        <w:t>Not applicable.</w:t>
      </w:r>
    </w:p>
    <w:p w:rsidR="00000000" w:rsidRPr="00A929C1" w:rsidP="00A929C1">
      <w:pPr>
        <w:pStyle w:val="AllowPageBreak"/>
      </w:pPr>
    </w:p>
    <w:p w:rsidR="00000000" w:rsidRPr="00A929C1" w:rsidP="00A929C1">
      <w:pPr>
        <w:pStyle w:val="Heading1"/>
      </w:pPr>
      <w:bookmarkStart w:id="6" w:name="O_569378"/>
      <w:bookmarkEnd w:id="6"/>
      <w:r w:rsidRPr="00A929C1">
        <w:t>Employability Skills Information</w:t>
      </w:r>
    </w:p>
    <w:p w:rsidR="00ED4B8D" w:rsidP="00A929C1">
      <w:pPr>
        <w:pStyle w:val="BodyText"/>
      </w:pPr>
      <w:r w:rsidRPr="00A929C1">
        <w:t>This unit contains employability skills.</w:t>
      </w:r>
    </w:p>
    <w:p w:rsidR="00ED4B8D" w:rsidP="00A929C1">
      <w:pPr>
        <w:pStyle w:val="BodyText"/>
      </w:pPr>
    </w:p>
    <w:p w:rsidR="00000000" w:rsidRPr="00A929C1" w:rsidP="00A929C1">
      <w:pPr>
        <w:pStyle w:val="Heading1"/>
      </w:pPr>
      <w:bookmarkStart w:id="7" w:name="O_569377"/>
      <w:bookmarkEnd w:id="7"/>
      <w:r w:rsidRPr="00A929C1">
        <w:t>Elements and Performance Criteria Pre-Content</w:t>
      </w:r>
    </w:p>
    <w:tbl>
      <w:tblPr>
        <w:tblW w:w="0" w:type="auto"/>
        <w:tblCellMar>
          <w:left w:w="62" w:type="dxa"/>
          <w:right w:w="62" w:type="dxa"/>
        </w:tblCellMar>
        <w:tblLook w:val="0000"/>
      </w:tblPr>
      <w:tblGrid>
        <w:gridCol w:w="2576"/>
        <w:gridCol w:w="6620"/>
      </w:tblGrid>
      <w:tr w:rsidTr="00ED4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Performance criteria describe the performance needed to demonstrate achievement of the element. Where bold italicised text is used, further information is detailed in the required skills and knowledge section and the range statement. Assessment of performa</w:t>
            </w:r>
            <w:r w:rsidRPr="00A929C1">
              <w:t>nce is to be consistent with the evidence guide.</w:t>
            </w:r>
          </w:p>
        </w:tc>
      </w:tr>
    </w:tbl>
    <w:p w:rsidR="00ED4B8D" w:rsidP="00A929C1">
      <w:pPr>
        <w:pStyle w:val="BodyText"/>
      </w:pPr>
    </w:p>
    <w:p w:rsidR="00ED4B8D" w:rsidP="00A929C1">
      <w:pPr>
        <w:pStyle w:val="BodyText"/>
      </w:pPr>
    </w:p>
    <w:p w:rsidR="00000000" w:rsidRPr="00A929C1" w:rsidP="00A929C1">
      <w:pPr>
        <w:pStyle w:val="Heading1"/>
      </w:pPr>
      <w:bookmarkStart w:id="8" w:name="O_569376"/>
      <w:bookmarkEnd w:id="8"/>
      <w:r w:rsidRPr="00A929C1">
        <w:t>Elements and Performance Criteria</w:t>
      </w:r>
    </w:p>
    <w:p w:rsidR="00000000" w:rsidRPr="00A929C1" w:rsidP="00A929C1">
      <w:pPr>
        <w:pStyle w:val="BodyText"/>
      </w:pPr>
    </w:p>
    <w:tbl>
      <w:tblPr>
        <w:tblW w:w="0" w:type="auto"/>
        <w:tblLayout w:type="fixed"/>
        <w:tblCellMar>
          <w:left w:w="62" w:type="dxa"/>
          <w:right w:w="62" w:type="dxa"/>
        </w:tblCellMar>
        <w:tblLook w:val="0000"/>
      </w:tblPr>
      <w:tblGrid>
        <w:gridCol w:w="678"/>
        <w:gridCol w:w="1962"/>
        <w:gridCol w:w="770"/>
        <w:gridCol w:w="5610"/>
      </w:tblGrid>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w:t>
            </w:r>
          </w:p>
        </w:tc>
        <w:tc>
          <w:tcPr>
            <w:tcW w:w="1962" w:type="dxa"/>
            <w:vMerge w:val="restart"/>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Prepare for work</w:t>
            </w: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1.1</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Identify work requirements</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1.2</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Identify and control hazards</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1.3</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Coordinate with appropriate personnel</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1.4</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Check for recent work undertaken on plant</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1.5</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Note any outstanding/incomplete work</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1.6</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 xml:space="preserve">Check operational status of the kiln/furnace against requirements </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1.7</w:t>
            </w:r>
          </w:p>
        </w:tc>
        <w:tc>
          <w:tcPr>
            <w:tcW w:w="5610"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Complete any required shift handover checks</w:t>
            </w:r>
          </w:p>
        </w:tc>
      </w:tr>
    </w:tbl>
    <w:p w:rsidR="00000000" w:rsidRPr="00A929C1" w:rsidP="00A929C1">
      <w:pPr>
        <w:pStyle w:val="BodyText"/>
      </w:pPr>
    </w:p>
    <w:tbl>
      <w:tblPr>
        <w:tblW w:w="0" w:type="auto"/>
        <w:tblLayout w:type="fixed"/>
        <w:tblCellMar>
          <w:left w:w="62" w:type="dxa"/>
          <w:right w:w="62" w:type="dxa"/>
        </w:tblCellMar>
        <w:tblLook w:val="0000"/>
      </w:tblPr>
      <w:tblGrid>
        <w:gridCol w:w="678"/>
        <w:gridCol w:w="1962"/>
        <w:gridCol w:w="770"/>
        <w:gridCol w:w="5610"/>
      </w:tblGrid>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2</w:t>
            </w:r>
          </w:p>
        </w:tc>
        <w:tc>
          <w:tcPr>
            <w:tcW w:w="1962" w:type="dxa"/>
            <w:vMerge w:val="restart"/>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Operate kiln/furnace</w:t>
            </w: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2.1</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Identify the type of kiln/furnace and ancillary equipment</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2.2</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Monitor and adjust air flows and other critical variables, as required</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2.3</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Change rate, grade or specification smoothly, as required</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2.4</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Complete routine checks, logs and paperwork, taking appropriate action on unexpected readings and trends</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2.5</w:t>
            </w:r>
          </w:p>
        </w:tc>
        <w:tc>
          <w:tcPr>
            <w:tcW w:w="5610"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Liaise with others to ensure that the discharge product is appropriate</w:t>
            </w:r>
          </w:p>
        </w:tc>
      </w:tr>
    </w:tbl>
    <w:p w:rsidR="00000000" w:rsidRPr="00A929C1" w:rsidP="00A929C1">
      <w:pPr>
        <w:pStyle w:val="BodyText"/>
      </w:pPr>
    </w:p>
    <w:tbl>
      <w:tblPr>
        <w:tblW w:w="0" w:type="auto"/>
        <w:tblLayout w:type="fixed"/>
        <w:tblCellMar>
          <w:left w:w="62" w:type="dxa"/>
          <w:right w:w="62" w:type="dxa"/>
        </w:tblCellMar>
        <w:tblLook w:val="0000"/>
      </w:tblPr>
      <w:tblGrid>
        <w:gridCol w:w="678"/>
        <w:gridCol w:w="1962"/>
        <w:gridCol w:w="770"/>
        <w:gridCol w:w="5610"/>
      </w:tblGrid>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3</w:t>
            </w:r>
          </w:p>
        </w:tc>
        <w:tc>
          <w:tcPr>
            <w:tcW w:w="1962" w:type="dxa"/>
            <w:vMerge w:val="restart"/>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3.1</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Monitor plant frequently and critically throughout shift using measured/indicated data and senses (e.g. sight and hearing), as appropriate</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3.2</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Recognise developing situations which may require action</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3.3</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Adjust feeds, composition and rate, gas flows and temperatures, as appropriate, to meet product requirements</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3.4</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Take other appropriate actions on problems, as required</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3.5</w:t>
            </w:r>
          </w:p>
        </w:tc>
        <w:tc>
          <w:tcPr>
            <w:tcW w:w="5610"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 xml:space="preserve">Identify upstream and downstream impacts of any adjustment made or variation </w:t>
            </w:r>
            <w:r w:rsidRPr="00A929C1">
              <w:t>in conditions</w:t>
            </w:r>
          </w:p>
        </w:tc>
      </w:tr>
    </w:tbl>
    <w:p w:rsidR="00000000" w:rsidRPr="00A929C1" w:rsidP="00A929C1">
      <w:pPr>
        <w:pStyle w:val="BodyText"/>
      </w:pPr>
    </w:p>
    <w:tbl>
      <w:tblPr>
        <w:tblW w:w="0" w:type="auto"/>
        <w:tblLayout w:type="fixed"/>
        <w:tblCellMar>
          <w:left w:w="62" w:type="dxa"/>
          <w:right w:w="62" w:type="dxa"/>
        </w:tblCellMar>
        <w:tblLook w:val="0000"/>
      </w:tblPr>
      <w:tblGrid>
        <w:gridCol w:w="678"/>
        <w:gridCol w:w="1962"/>
        <w:gridCol w:w="770"/>
        <w:gridCol w:w="5610"/>
      </w:tblGrid>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w:t>
            </w:r>
          </w:p>
        </w:tc>
        <w:tc>
          <w:tcPr>
            <w:tcW w:w="1962" w:type="dxa"/>
            <w:vMerge w:val="restart"/>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 xml:space="preserve">Make plant safe for work and prepare for return to duty </w:t>
            </w: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4.1</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Take part in the preparations for maintenance or upgrade work on the kiln/furnace or ancillary equipment</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4.2</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Shut down plant as required</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4.3</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Make equipment and area safe for required work</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4.4</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Check plant is ready to be returned to service</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4.5</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Prepare plant for return to service</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4.6</w:t>
            </w:r>
          </w:p>
        </w:tc>
        <w:tc>
          <w:tcPr>
            <w:tcW w:w="561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Complete any pre-start checks</w:t>
            </w:r>
          </w:p>
        </w:tc>
      </w:tr>
      <w:tr w:rsidTr="00A929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4.7</w:t>
            </w:r>
          </w:p>
        </w:tc>
        <w:tc>
          <w:tcPr>
            <w:tcW w:w="5610"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Start up plant as required</w:t>
            </w:r>
          </w:p>
        </w:tc>
      </w:tr>
    </w:tbl>
    <w:p w:rsidR="00ED4B8D" w:rsidP="00A929C1">
      <w:pPr>
        <w:pStyle w:val="BodyText"/>
      </w:pPr>
    </w:p>
    <w:p w:rsidR="00ED4B8D" w:rsidP="00A929C1">
      <w:pPr>
        <w:pStyle w:val="BodyText"/>
      </w:pPr>
    </w:p>
    <w:p w:rsidR="00000000" w:rsidRPr="00A929C1" w:rsidP="00A929C1">
      <w:pPr>
        <w:pStyle w:val="Heading1"/>
      </w:pPr>
      <w:bookmarkStart w:id="9" w:name="O_569375"/>
      <w:bookmarkEnd w:id="9"/>
      <w:r w:rsidRPr="00A929C1">
        <w:t>Required Skills and Knowledge</w:t>
      </w:r>
    </w:p>
    <w:tbl>
      <w:tblPr>
        <w:tblW w:w="0" w:type="auto"/>
        <w:tblLayout w:type="fixed"/>
        <w:tblCellMar>
          <w:left w:w="62" w:type="dxa"/>
          <w:right w:w="62" w:type="dxa"/>
        </w:tblCellMar>
        <w:tblLook w:val="0000"/>
      </w:tblPr>
      <w:tblGrid>
        <w:gridCol w:w="9072"/>
      </w:tblGrid>
      <w:tr w:rsidTr="00A929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This section describes the skills and knowledge required for this unit.</w:t>
            </w:r>
          </w:p>
        </w:tc>
      </w:tr>
      <w:tr w:rsidTr="00A929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p>
        </w:tc>
      </w:tr>
      <w:tr w:rsidTr="00A929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 xml:space="preserve">Required skills </w:t>
            </w:r>
          </w:p>
        </w:tc>
      </w:tr>
      <w:tr w:rsidTr="00A929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Required skills include:</w:t>
            </w:r>
          </w:p>
          <w:p w:rsidR="00000000" w:rsidRPr="00A929C1" w:rsidP="00A929C1">
            <w:pPr>
              <w:pStyle w:val="ListBullet"/>
            </w:pPr>
            <w:r w:rsidRPr="00A929C1">
              <w:t>recognising conditions which will lead to out of specification operation</w:t>
            </w:r>
          </w:p>
          <w:p w:rsidR="00000000" w:rsidRPr="00A929C1" w:rsidP="00A929C1">
            <w:pPr>
              <w:pStyle w:val="ListBullet"/>
            </w:pPr>
            <w:r w:rsidRPr="00A929C1">
              <w:t>implementing enterprise procedures within time constraints and in a manner relevant to the correct use of the equipment</w:t>
            </w:r>
          </w:p>
          <w:p w:rsidR="00000000" w:rsidRPr="00A929C1" w:rsidP="00A929C1">
            <w:pPr>
              <w:pStyle w:val="ListBullet"/>
            </w:pPr>
            <w:r w:rsidRPr="00A929C1">
              <w:t>identifying hazards and safe operating procedures for handling high temperatures and very hot materials</w:t>
            </w:r>
          </w:p>
          <w:p w:rsidR="00000000" w:rsidRPr="00A929C1" w:rsidP="00A929C1">
            <w:pPr>
              <w:pStyle w:val="ListBullet"/>
            </w:pPr>
            <w:r w:rsidRPr="00A929C1">
              <w:t>conveying information relevant t</w:t>
            </w:r>
            <w:r w:rsidRPr="00A929C1">
              <w:t>o the operation clearly and effectively</w:t>
            </w:r>
          </w:p>
          <w:p w:rsidR="00000000" w:rsidRPr="00A929C1" w:rsidP="00A929C1">
            <w:pPr>
              <w:pStyle w:val="ListBullet"/>
            </w:pPr>
            <w:r w:rsidRPr="00A929C1">
              <w:t>maintaining appropriate levels of quality assurance</w:t>
            </w:r>
          </w:p>
          <w:p w:rsidR="00000000" w:rsidRPr="00A929C1" w:rsidP="00A929C1">
            <w:pPr>
              <w:pStyle w:val="ListBullet"/>
            </w:pPr>
            <w:r w:rsidRPr="00A929C1">
              <w:t>reading and numeracy to interpret workplace documents and technical information</w:t>
            </w:r>
          </w:p>
          <w:p w:rsidR="00000000" w:rsidRPr="00A929C1" w:rsidP="00A929C1">
            <w:pPr>
              <w:pStyle w:val="ListBullet"/>
            </w:pPr>
            <w:r w:rsidRPr="00A929C1">
              <w:t>applying mathematics to the level of understanding and determination of raw material</w:t>
            </w:r>
            <w:r w:rsidRPr="00A929C1">
              <w:t xml:space="preserve"> feed rates and composition</w:t>
            </w:r>
          </w:p>
          <w:p w:rsidR="00000000" w:rsidP="00A929C1">
            <w:pPr>
              <w:pStyle w:val="BodyText"/>
              <w:rPr>
                <w:lang w:val="en-NZ"/>
              </w:rPr>
            </w:pPr>
          </w:p>
        </w:tc>
      </w:tr>
      <w:tr w:rsidTr="00A929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 xml:space="preserve">Required knowledge </w:t>
            </w:r>
          </w:p>
        </w:tc>
      </w:tr>
      <w:tr w:rsidTr="00A929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Required knowledge, to the breadth and depth required for the operation of the kiln/furnace systems, includes:</w:t>
            </w:r>
          </w:p>
          <w:p w:rsidR="00000000" w:rsidRPr="00A929C1" w:rsidP="00A929C1">
            <w:pPr>
              <w:pStyle w:val="ListBullet"/>
            </w:pPr>
            <w:r w:rsidRPr="00A929C1">
              <w:t>principles of operation of kiln/furnace and ancillary equipment</w:t>
            </w:r>
          </w:p>
          <w:p w:rsidR="00000000" w:rsidRPr="00A929C1" w:rsidP="00A929C1">
            <w:pPr>
              <w:pStyle w:val="ListBullet"/>
            </w:pPr>
            <w:r w:rsidRPr="00A929C1">
              <w:t>knowledge of metallurgy/mater</w:t>
            </w:r>
            <w:r w:rsidRPr="00A929C1">
              <w:t>ials properties, to the extent of determining effects of varying kiln/furnace conditions, raw materials feed rates, quality, composition and proportions on finished product composition</w:t>
            </w:r>
          </w:p>
          <w:p w:rsidR="00000000" w:rsidRPr="00A929C1" w:rsidP="00A929C1">
            <w:pPr>
              <w:pStyle w:val="ListBullet"/>
            </w:pPr>
            <w:r w:rsidRPr="00A929C1">
              <w:t>process parameters and limits (e.g. temperature, air pressures/flows, m</w:t>
            </w:r>
            <w:r w:rsidRPr="00A929C1">
              <w:t>aterials flow rates and fuel pressure/flow)</w:t>
            </w:r>
          </w:p>
          <w:p w:rsidR="00000000" w:rsidRPr="00A929C1" w:rsidP="00A929C1">
            <w:pPr>
              <w:pStyle w:val="ListBullet"/>
            </w:pPr>
            <w:r w:rsidRPr="00A929C1">
              <w:t>duty of care obligations</w:t>
            </w:r>
          </w:p>
          <w:p w:rsidR="00000000" w:rsidRPr="00A929C1" w:rsidP="00A929C1">
            <w:pPr>
              <w:pStyle w:val="ListBullet"/>
            </w:pPr>
            <w:r w:rsidRPr="00A929C1">
              <w:t>hierarchy of control</w:t>
            </w:r>
          </w:p>
          <w:p w:rsidR="00000000" w:rsidRPr="00A929C1" w:rsidP="00A929C1">
            <w:pPr>
              <w:pStyle w:val="ListBullet"/>
            </w:pPr>
            <w:r w:rsidRPr="00A929C1">
              <w:t>communication protocols (e.g. radio, phone, computer, paper and permissions/authorities)</w:t>
            </w:r>
          </w:p>
          <w:p w:rsidR="00000000" w:rsidRPr="00A929C1" w:rsidP="00A929C1">
            <w:pPr>
              <w:pStyle w:val="ListBullet"/>
            </w:pPr>
            <w:r w:rsidRPr="00A929C1">
              <w:t>typical issues causing problems and the resolution of those problems</w:t>
            </w:r>
          </w:p>
          <w:p w:rsidR="00000000" w:rsidRPr="00A929C1" w:rsidP="00A929C1">
            <w:pPr>
              <w:pStyle w:val="ListBullet"/>
            </w:pPr>
            <w:r w:rsidRPr="00A929C1">
              <w:t>routine problems, faults and their symptoms and the corrective action to be taken</w:t>
            </w:r>
          </w:p>
          <w:p w:rsidR="00000000" w:rsidRPr="00A929C1" w:rsidP="00A929C1">
            <w:pPr>
              <w:pStyle w:val="ListBullet"/>
            </w:pPr>
            <w:r w:rsidRPr="00A929C1">
              <w:t>relevant alarms and actions</w:t>
            </w:r>
          </w:p>
          <w:p w:rsidR="00000000" w:rsidRPr="00A929C1" w:rsidP="00A929C1">
            <w:pPr>
              <w:pStyle w:val="ListBullet"/>
            </w:pPr>
            <w:r w:rsidRPr="00A929C1">
              <w:t>plant process idiosyncrasies</w:t>
            </w:r>
          </w:p>
          <w:p w:rsidR="00000000" w:rsidRPr="00A929C1" w:rsidP="00A929C1">
            <w:pPr>
              <w:pStyle w:val="ListBullet"/>
            </w:pPr>
            <w:r w:rsidRPr="00A929C1">
              <w:t>all items on a schematic of the plant item and the function/principles of operation, and problem solving of each</w:t>
            </w:r>
          </w:p>
          <w:p w:rsidR="00000000" w:rsidRPr="00A929C1" w:rsidP="00A929C1">
            <w:pPr>
              <w:pStyle w:val="ListBullet"/>
            </w:pPr>
            <w:r w:rsidRPr="00A929C1">
              <w:t>inte</w:t>
            </w:r>
            <w:r w:rsidRPr="00A929C1">
              <w:t>rlocks and their purpose</w:t>
            </w:r>
          </w:p>
          <w:p w:rsidR="00000000" w:rsidRPr="00A929C1" w:rsidP="00A929C1">
            <w:pPr>
              <w:pStyle w:val="ListBullet"/>
            </w:pPr>
            <w:r w:rsidRPr="00A929C1">
              <w:t>physics and chemistry relevant to each unit and the processes used</w:t>
            </w:r>
          </w:p>
          <w:p w:rsidR="00000000" w:rsidRPr="00A929C1" w:rsidP="00A929C1">
            <w:pPr>
              <w:pStyle w:val="ListBullet"/>
            </w:pPr>
            <w:r w:rsidRPr="00A929C1">
              <w:t>relevant environmental and heritage requirements</w:t>
            </w:r>
          </w:p>
          <w:p w:rsidR="00000000" w:rsidRPr="00A929C1" w:rsidP="00A929C1">
            <w:pPr>
              <w:pStyle w:val="ListBullet"/>
            </w:pPr>
            <w:r w:rsidRPr="00A929C1">
              <w:t>mathematical formulae and their application to determining feed rates and materials properties</w:t>
            </w:r>
          </w:p>
        </w:tc>
      </w:tr>
    </w:tbl>
    <w:p w:rsidR="00000000" w:rsidRPr="00A929C1" w:rsidP="00A929C1">
      <w:pPr>
        <w:pStyle w:val="BodyText"/>
      </w:pPr>
    </w:p>
    <w:p w:rsidR="00000000" w:rsidRPr="00A929C1" w:rsidP="00A929C1">
      <w:pPr>
        <w:pStyle w:val="AllowPageBreak"/>
      </w:pPr>
    </w:p>
    <w:p w:rsidR="00000000" w:rsidRPr="00A929C1" w:rsidP="00A929C1">
      <w:pPr>
        <w:pStyle w:val="Heading1"/>
      </w:pPr>
      <w:bookmarkStart w:id="10" w:name="O_569374"/>
      <w:bookmarkEnd w:id="10"/>
      <w:r w:rsidRPr="00A929C1">
        <w:t>E</w:t>
      </w:r>
      <w:r w:rsidRPr="00A929C1">
        <w:t>vidence Guide</w:t>
      </w:r>
    </w:p>
    <w:tbl>
      <w:tblPr>
        <w:tblW w:w="0" w:type="auto"/>
        <w:tblLayout w:type="fixed"/>
        <w:tblCellMar>
          <w:left w:w="62" w:type="dxa"/>
          <w:right w:w="62" w:type="dxa"/>
        </w:tblCellMar>
        <w:tblLook w:val="0000"/>
      </w:tblPr>
      <w:tblGrid>
        <w:gridCol w:w="3648"/>
        <w:gridCol w:w="5352"/>
      </w:tblGrid>
      <w:tr w:rsidTr="00A929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The evidence guide provides advice on assessment and must be read in conjunction with the performance criteria required skills and knowledge range statement and the Assessment Guidelines for the Training Package.</w:t>
            </w:r>
          </w:p>
        </w:tc>
      </w:tr>
      <w:tr w:rsidTr="00A929C1">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Critical aspects for assessment and evidence are:</w:t>
            </w:r>
          </w:p>
          <w:p w:rsidR="00000000" w:rsidRPr="00A929C1" w:rsidP="00A929C1">
            <w:pPr>
              <w:pStyle w:val="ListBullet"/>
            </w:pPr>
            <w:r w:rsidRPr="00A929C1">
              <w:t>early warning signs of equipment/processes needing attention, or with potential problems, are recognised</w:t>
            </w:r>
          </w:p>
          <w:p w:rsidR="00000000" w:rsidRPr="00A929C1" w:rsidP="00A929C1">
            <w:pPr>
              <w:pStyle w:val="ListBullet"/>
            </w:pPr>
            <w:r w:rsidRPr="00A929C1">
              <w:t>the ran</w:t>
            </w:r>
            <w:r w:rsidRPr="00A929C1">
              <w:t>ge of possible causes can be identified and analysed and the most likely cause determined</w:t>
            </w:r>
          </w:p>
          <w:p w:rsidR="00000000" w:rsidRPr="00A929C1" w:rsidP="00A929C1">
            <w:pPr>
              <w:pStyle w:val="ListBullet"/>
            </w:pPr>
            <w:r w:rsidRPr="00A929C1">
              <w:t>appropriate action is taken to ensure a timely return to full performance</w:t>
            </w:r>
          </w:p>
          <w:p w:rsidR="00000000" w:rsidP="00A929C1">
            <w:pPr>
              <w:pStyle w:val="ListBullet"/>
              <w:rPr>
                <w:lang w:val="en-NZ"/>
              </w:rPr>
            </w:pPr>
            <w:r w:rsidRPr="00A929C1">
              <w:t xml:space="preserve">obvious problems in related plant areas are recognised and an appropriate contribution made </w:t>
            </w:r>
            <w:r w:rsidRPr="00A929C1">
              <w:t>to their solution.</w:t>
            </w:r>
          </w:p>
        </w:tc>
      </w:tr>
      <w:tr w:rsidTr="00A929C1">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 xml:space="preserve">Assessment of this competency will occur over a range of situations which will include typical disruptions to normal, smooth operation. This </w:t>
            </w:r>
            <w:r w:rsidRPr="00A929C1">
              <w:t>will require access to an operating plant over an extended period of time, or a suitable method of gathering evidence of operating ability. Where safety, lack of opportunity or significant cost is an issue an industry-based simulation may be employed to as</w:t>
            </w:r>
            <w:r w:rsidRPr="00A929C1">
              <w:t>sist the process.</w:t>
            </w:r>
          </w:p>
        </w:tc>
      </w:tr>
      <w:tr w:rsidTr="00A929C1">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Assessment processes and techniques must be appropriate to the language, competency and safety requirements of the site and consistent with workplace systems or procedures.</w:t>
            </w:r>
          </w:p>
        </w:tc>
      </w:tr>
    </w:tbl>
    <w:p w:rsidR="00000000" w:rsidRPr="00A929C1" w:rsidP="00A929C1">
      <w:pPr>
        <w:pStyle w:val="BodyText"/>
      </w:pPr>
    </w:p>
    <w:p w:rsidR="00000000" w:rsidRPr="00A929C1" w:rsidP="00A929C1">
      <w:pPr>
        <w:pStyle w:val="AllowPageBreak"/>
      </w:pPr>
    </w:p>
    <w:p w:rsidR="00000000" w:rsidRPr="00A929C1" w:rsidP="00A929C1">
      <w:pPr>
        <w:pStyle w:val="Heading1"/>
      </w:pPr>
      <w:bookmarkStart w:id="11" w:name="O_569373"/>
      <w:bookmarkEnd w:id="11"/>
      <w:r w:rsidRPr="00A929C1">
        <w:t>Range Sta</w:t>
      </w:r>
      <w:r w:rsidRPr="00A929C1">
        <w:t>tement</w:t>
      </w:r>
    </w:p>
    <w:tbl>
      <w:tblPr>
        <w:tblW w:w="0" w:type="auto"/>
        <w:tblLayout w:type="fixed"/>
        <w:tblCellMar>
          <w:left w:w="62" w:type="dxa"/>
          <w:right w:w="62" w:type="dxa"/>
        </w:tblCellMar>
        <w:tblLook w:val="0000"/>
      </w:tblPr>
      <w:tblGrid>
        <w:gridCol w:w="3674"/>
        <w:gridCol w:w="5398"/>
      </w:tblGrid>
      <w:tr w:rsidTr="00A929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The range statement relates to the unit of competency as a whole. It allows for different work environments and situations that may affect performance. Bold italicised wording, if used in the performance criteria, is detailed below. Essential operat</w:t>
            </w:r>
            <w:r w:rsidRPr="00A929C1">
              <w:t>ing conditions that may be present with training and assessment (depending on the work situation, needs of the candidate, accessibility of the item, and local industry and regional contexts) may also be included.</w:t>
            </w:r>
          </w:p>
        </w:tc>
      </w:tr>
      <w:tr w:rsidTr="00A929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9C1">
            <w:pPr>
              <w:pStyle w:val="BodyText"/>
              <w:rPr>
                <w:lang w:val="en-NZ"/>
              </w:rPr>
            </w:pPr>
          </w:p>
        </w:tc>
      </w:tr>
      <w:tr w:rsidTr="00A929C1">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Procedures may be written, verbal, computer-based or in some other form. They may include, but are not limited to:</w:t>
            </w:r>
          </w:p>
          <w:p w:rsidR="00000000" w:rsidRPr="00A929C1" w:rsidP="00A929C1">
            <w:pPr>
              <w:pStyle w:val="ListBullet"/>
            </w:pPr>
            <w:r w:rsidRPr="00A929C1">
              <w:t>all work instructions</w:t>
            </w:r>
          </w:p>
          <w:p w:rsidR="00000000" w:rsidRPr="00A929C1" w:rsidP="00A929C1">
            <w:pPr>
              <w:pStyle w:val="ListBullet"/>
            </w:pPr>
            <w:r w:rsidRPr="00A929C1">
              <w:t>standard operating procedures</w:t>
            </w:r>
          </w:p>
          <w:p w:rsidR="00000000" w:rsidRPr="00A929C1" w:rsidP="00A929C1">
            <w:pPr>
              <w:pStyle w:val="ListBullet"/>
            </w:pPr>
            <w:r w:rsidRPr="00A929C1">
              <w:t>formulas/recipes</w:t>
            </w:r>
          </w:p>
          <w:p w:rsidR="00000000" w:rsidRPr="00A929C1" w:rsidP="00A929C1">
            <w:pPr>
              <w:pStyle w:val="ListBullet"/>
            </w:pPr>
            <w:r w:rsidRPr="00A929C1">
              <w:t>batch sheets</w:t>
            </w:r>
          </w:p>
          <w:p w:rsidR="00000000" w:rsidRPr="00A929C1" w:rsidP="00A929C1">
            <w:pPr>
              <w:pStyle w:val="ListBullet"/>
            </w:pPr>
            <w:r w:rsidRPr="00A929C1">
              <w:t>temporary instructions</w:t>
            </w:r>
          </w:p>
          <w:p w:rsidR="00000000" w:rsidRPr="00A929C1" w:rsidP="00A929C1">
            <w:pPr>
              <w:pStyle w:val="ListBullet"/>
            </w:pPr>
            <w:r w:rsidRPr="00A929C1">
              <w:t>any similar instructions provided f</w:t>
            </w:r>
            <w:r w:rsidRPr="00A929C1">
              <w:t>or the smooth running of the plant</w:t>
            </w:r>
          </w:p>
          <w:p w:rsidR="00000000" w:rsidRPr="00A929C1" w:rsidP="00A929C1">
            <w:pPr>
              <w:pStyle w:val="ListBullet"/>
            </w:pPr>
            <w:r w:rsidRPr="00A929C1">
              <w:t>good operating practice as may be defined by industry codes of practice</w:t>
            </w:r>
          </w:p>
          <w:p w:rsidR="00000000" w:rsidP="00A929C1">
            <w:pPr>
              <w:pStyle w:val="BodyText"/>
              <w:rPr>
                <w:lang w:val="en-NZ"/>
              </w:rPr>
            </w:pPr>
            <w:r w:rsidRPr="00A929C1">
              <w:t>Procedures would be expected to comply with any relevant government regulations.</w:t>
            </w:r>
          </w:p>
        </w:tc>
      </w:tr>
      <w:tr w:rsidTr="00A929C1">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Logs and reports may include:</w:t>
            </w:r>
          </w:p>
          <w:p w:rsidR="00000000" w:rsidRPr="00A929C1" w:rsidP="00A929C1">
            <w:pPr>
              <w:pStyle w:val="ListBullet"/>
            </w:pPr>
            <w:r w:rsidRPr="00A929C1">
              <w:t>paper or electronic</w:t>
            </w:r>
            <w:r w:rsidRPr="00A929C1">
              <w:t>-based logs and reports</w:t>
            </w:r>
          </w:p>
          <w:p w:rsidR="00000000" w:rsidRPr="00A929C1" w:rsidP="00A929C1">
            <w:pPr>
              <w:pStyle w:val="ListBullet"/>
            </w:pPr>
            <w:r w:rsidRPr="00A929C1">
              <w:t>verbal/radio reports</w:t>
            </w:r>
          </w:p>
          <w:p w:rsidR="00000000" w:rsidP="00A929C1">
            <w:pPr>
              <w:pStyle w:val="ListBullet"/>
              <w:rPr>
                <w:lang w:val="en-NZ"/>
              </w:rPr>
            </w:pPr>
            <w:r w:rsidRPr="00A929C1">
              <w:t>reporting items found which require action</w:t>
            </w:r>
          </w:p>
        </w:tc>
      </w:tr>
      <w:tr w:rsidTr="00A929C1">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Appropriate action includes, but is not limited to:</w:t>
            </w:r>
          </w:p>
          <w:p w:rsidR="00000000" w:rsidRPr="00A929C1" w:rsidP="00A929C1">
            <w:pPr>
              <w:pStyle w:val="ListBullet"/>
            </w:pPr>
            <w:r w:rsidRPr="00A929C1">
              <w:t>determining problems needing action</w:t>
            </w:r>
          </w:p>
          <w:p w:rsidR="00000000" w:rsidRPr="00A929C1" w:rsidP="00A929C1">
            <w:pPr>
              <w:pStyle w:val="ListBullet"/>
            </w:pPr>
            <w:r w:rsidRPr="00A929C1">
              <w:t>accessing and applying relevant technical and plant data</w:t>
            </w:r>
          </w:p>
          <w:p w:rsidR="00000000" w:rsidRPr="00A929C1" w:rsidP="00A929C1">
            <w:pPr>
              <w:pStyle w:val="ListBullet"/>
            </w:pPr>
            <w:r w:rsidRPr="00A929C1">
              <w:t>applying appropriate problem solving techniques to determine possible fault causes</w:t>
            </w:r>
          </w:p>
          <w:p w:rsidR="00000000" w:rsidRPr="00A929C1" w:rsidP="00A929C1">
            <w:pPr>
              <w:pStyle w:val="ListBullet"/>
            </w:pPr>
            <w:r w:rsidRPr="00A929C1">
              <w:t>rectifying problem using appropriate solution within area of responsibility</w:t>
            </w:r>
          </w:p>
          <w:p w:rsidR="00000000" w:rsidRPr="00A929C1" w:rsidP="00A929C1">
            <w:pPr>
              <w:pStyle w:val="ListBullet"/>
            </w:pPr>
            <w:r w:rsidRPr="00A929C1">
              <w:t>following through items initiated until final resolution has occurred</w:t>
            </w:r>
          </w:p>
          <w:p w:rsidR="00000000" w:rsidP="00A929C1">
            <w:pPr>
              <w:pStyle w:val="ListBullet"/>
              <w:rPr>
                <w:lang w:val="en-NZ"/>
              </w:rPr>
            </w:pPr>
            <w:r w:rsidRPr="00A929C1">
              <w:t xml:space="preserve">reporting problems outside </w:t>
            </w:r>
            <w:r w:rsidRPr="00A929C1">
              <w:t>area of responsibility/ability to designated person</w:t>
            </w:r>
          </w:p>
        </w:tc>
      </w:tr>
      <w:tr w:rsidTr="00A929C1">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Typical problems may include, but are not limited to:</w:t>
            </w:r>
          </w:p>
          <w:p w:rsidR="00000000" w:rsidRPr="00A929C1" w:rsidP="00A929C1">
            <w:pPr>
              <w:pStyle w:val="ListBullet"/>
            </w:pPr>
            <w:r w:rsidRPr="00A929C1">
              <w:t>variations in feed material</w:t>
            </w:r>
          </w:p>
          <w:p w:rsidR="00000000" w:rsidRPr="00A929C1" w:rsidP="00A929C1">
            <w:pPr>
              <w:pStyle w:val="ListBullet"/>
            </w:pPr>
            <w:r w:rsidRPr="00A929C1">
              <w:t>control of air flow</w:t>
            </w:r>
          </w:p>
          <w:p w:rsidR="00000000" w:rsidRPr="00A929C1" w:rsidP="00A929C1">
            <w:pPr>
              <w:pStyle w:val="ListBullet"/>
            </w:pPr>
            <w:r w:rsidRPr="00A929C1">
              <w:t>control of fuel flow</w:t>
            </w:r>
          </w:p>
          <w:p w:rsidR="00000000" w:rsidRPr="00A929C1" w:rsidP="00A929C1">
            <w:pPr>
              <w:pStyle w:val="ListBullet"/>
            </w:pPr>
            <w:r w:rsidRPr="00A929C1">
              <w:t>control of feed rates and composition of feeds</w:t>
            </w:r>
          </w:p>
          <w:p w:rsidR="00000000" w:rsidP="00A929C1">
            <w:pPr>
              <w:pStyle w:val="ListBullet"/>
              <w:rPr>
                <w:lang w:val="en-NZ"/>
              </w:rPr>
            </w:pPr>
            <w:r w:rsidRPr="00A929C1">
              <w:t xml:space="preserve">control of output product </w:t>
            </w:r>
          </w:p>
        </w:tc>
      </w:tr>
      <w:tr w:rsidTr="00A929C1">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 xml:space="preserve">All operations to which this unit applies are subject to stringent HSE requirements, which may be imposed through state or federal legislation, and these must not be compromised at any time. </w:t>
            </w:r>
            <w:r w:rsidRPr="00A929C1">
              <w:t>Where there is an apparent conflict between Performance Criteria and HSE requirements, the HSE requirements take precedence.</w:t>
            </w:r>
          </w:p>
        </w:tc>
      </w:tr>
      <w:tr w:rsidTr="00A929C1">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Start up/shut down as required</w:t>
            </w:r>
          </w:p>
        </w:tc>
        <w:tc>
          <w:tcPr>
            <w:tcW w:w="5398" w:type="dxa"/>
            <w:tcBorders>
              <w:top w:val="nil"/>
              <w:left w:val="nil"/>
              <w:bottom w:val="nil"/>
              <w:right w:val="nil"/>
            </w:tcBorders>
            <w:tcMar>
              <w:top w:w="0" w:type="dxa"/>
              <w:left w:w="62" w:type="dxa"/>
              <w:bottom w:w="0" w:type="dxa"/>
              <w:right w:w="62" w:type="dxa"/>
            </w:tcMar>
          </w:tcPr>
          <w:p w:rsidR="00000000" w:rsidRPr="00A929C1" w:rsidP="00A929C1">
            <w:pPr>
              <w:pStyle w:val="BodyText"/>
            </w:pPr>
            <w:r w:rsidRPr="00A929C1">
              <w:t>Start-up/shutdown as required includes:</w:t>
            </w:r>
          </w:p>
          <w:p w:rsidR="00000000" w:rsidRPr="00A929C1" w:rsidP="00A929C1">
            <w:pPr>
              <w:pStyle w:val="ListBullet"/>
            </w:pPr>
            <w:r w:rsidRPr="00A929C1">
              <w:t>start up and shut down to/from normal operating conditions</w:t>
            </w:r>
          </w:p>
          <w:p w:rsidR="00000000" w:rsidRPr="00A929C1" w:rsidP="00A929C1">
            <w:pPr>
              <w:pStyle w:val="ListBullet"/>
            </w:pPr>
            <w:r w:rsidRPr="00A929C1">
              <w:t>start up and shut down to/from isolated, cold or empty</w:t>
            </w:r>
          </w:p>
          <w:p w:rsidR="00000000" w:rsidRPr="00A929C1" w:rsidP="00A929C1">
            <w:pPr>
              <w:pStyle w:val="ListBullet"/>
            </w:pPr>
            <w:r w:rsidRPr="00A929C1">
              <w:t>all other conditions experienced on the plant (i.e. from any condition to any condition experienced on the plant)</w:t>
            </w:r>
          </w:p>
        </w:tc>
      </w:tr>
    </w:tbl>
    <w:p w:rsidR="00000000" w:rsidRPr="00A929C1" w:rsidP="00A929C1">
      <w:pPr>
        <w:pStyle w:val="BodyText"/>
      </w:pPr>
    </w:p>
    <w:p w:rsidR="00000000" w:rsidRPr="00A929C1" w:rsidP="00A929C1">
      <w:pPr>
        <w:pStyle w:val="AllowPageBreak"/>
      </w:pPr>
    </w:p>
    <w:p w:rsidR="00000000" w:rsidRPr="00A929C1" w:rsidP="00A929C1">
      <w:pPr>
        <w:pStyle w:val="Heading1"/>
      </w:pPr>
      <w:bookmarkStart w:id="12" w:name="O_569372"/>
      <w:bookmarkEnd w:id="12"/>
      <w:r w:rsidRPr="00A929C1">
        <w:t>Unit Sector(s)</w:t>
      </w:r>
    </w:p>
    <w:tbl>
      <w:tblPr>
        <w:tblW w:w="0" w:type="auto"/>
        <w:tblCellMar>
          <w:left w:w="62" w:type="dxa"/>
          <w:right w:w="62" w:type="dxa"/>
        </w:tblCellMar>
        <w:tblLook w:val="0000"/>
      </w:tblPr>
      <w:tblGrid>
        <w:gridCol w:w="2576"/>
        <w:gridCol w:w="6620"/>
      </w:tblGrid>
      <w:tr w:rsidTr="00ED4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t>Operational/technical</w:t>
            </w:r>
          </w:p>
        </w:tc>
      </w:tr>
      <w:tr w:rsidTr="00ED4B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29C1">
            <w:pPr>
              <w:pStyle w:val="BodyText"/>
              <w:rPr>
                <w:lang w:val="en-NZ"/>
              </w:rPr>
            </w:pPr>
            <w:r w:rsidRPr="00A929C1">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A929C1" w:rsidP="00A929C1">
            <w:pPr>
              <w:pStyle w:val="BodyText"/>
            </w:pPr>
          </w:p>
        </w:tc>
      </w:tr>
    </w:tbl>
    <w:p w:rsidR="00000000" w:rsidRPr="00A929C1" w:rsidP="00A929C1">
      <w:pPr>
        <w:pStyle w:val="BodyText"/>
      </w:pPr>
    </w:p>
    <w:p w:rsidR="00000000" w:rsidRPr="00A929C1" w:rsidP="00A929C1">
      <w:pPr>
        <w:pStyle w:val="AllowPageBreak"/>
      </w:pPr>
    </w:p>
    <w:p w:rsidR="00000000" w:rsidRPr="00A929C1" w:rsidP="00A929C1">
      <w:pPr>
        <w:pStyle w:val="Heading1"/>
      </w:pPr>
      <w:bookmarkStart w:id="13" w:name="O_569371"/>
      <w:bookmarkEnd w:id="13"/>
      <w:r w:rsidRPr="00A929C1">
        <w:t>Custom Content Section</w:t>
      </w:r>
    </w:p>
    <w:p w:rsidR="00000000" w:rsidRPr="00A929C1" w:rsidP="00A929C1">
      <w:pPr>
        <w:pStyle w:val="BodyText"/>
      </w:pPr>
      <w:r w:rsidRPr="00A929C1">
        <w:t>Not applicable.</w:t>
      </w:r>
    </w:p>
    <w:p w:rsidR="00000000" w:rsidRPr="00A929C1" w:rsidP="00A929C1"/>
    <w:sectPr w:rsidSect="00A92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9C1" w:rsidRPr="00ED4B8D" w:rsidP="00ED4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8D" w:rsidP="00A92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4B8D" w:rsidP="00A929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4B8D" w:rsidP="00A92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9C1" w:rsidRPr="00ED4B8D" w:rsidP="00ED4B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8D" w:rsidRPr="002D2AF8" w:rsidP="00A929C1">
    <w:pPr>
      <w:pStyle w:val="Header"/>
      <w:framePr w:wrap="around"/>
    </w:pPr>
    <w:r>
      <w:fldChar w:fldCharType="begin"/>
    </w:r>
    <w:r>
      <w:instrText xml:space="preserve"> TITLE   \* MERGEFORMAT </w:instrText>
    </w:r>
    <w:r>
      <w:fldChar w:fldCharType="separate"/>
    </w:r>
    <w:r>
      <w:t>PMAOPS360A Operate a metalliferous kiln/furnace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D4B8D" w:rsidP="00A92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0A7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C02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9C1"/>
    <w:pPr>
      <w:spacing w:before="360" w:after="60"/>
      <w:outlineLvl w:val="0"/>
    </w:pPr>
    <w:rPr>
      <w:sz w:val="32"/>
    </w:rPr>
  </w:style>
  <w:style w:type="paragraph" w:styleId="Heading2">
    <w:name w:val="heading 2"/>
    <w:basedOn w:val="HeadingBase"/>
    <w:next w:val="BodyText"/>
    <w:link w:val="Heading2Char"/>
    <w:qFormat/>
    <w:rsid w:val="00A929C1"/>
    <w:pPr>
      <w:keepLines/>
      <w:spacing w:before="240" w:after="120"/>
      <w:outlineLvl w:val="1"/>
    </w:pPr>
    <w:rPr>
      <w:sz w:val="28"/>
      <w:szCs w:val="40"/>
    </w:rPr>
  </w:style>
  <w:style w:type="paragraph" w:styleId="Heading3">
    <w:name w:val="heading 3"/>
    <w:basedOn w:val="HeadingBase"/>
    <w:next w:val="BodyText"/>
    <w:link w:val="Heading3Char"/>
    <w:qFormat/>
    <w:rsid w:val="00A929C1"/>
    <w:pPr>
      <w:spacing w:before="180" w:after="120"/>
      <w:outlineLvl w:val="2"/>
    </w:pPr>
    <w:rPr>
      <w:spacing w:val="-10"/>
      <w:kern w:val="32"/>
    </w:rPr>
  </w:style>
  <w:style w:type="paragraph" w:styleId="Heading4">
    <w:name w:val="heading 4"/>
    <w:basedOn w:val="HeadingBase"/>
    <w:next w:val="BodyText"/>
    <w:link w:val="Heading4Char"/>
    <w:qFormat/>
    <w:rsid w:val="00A929C1"/>
    <w:pPr>
      <w:spacing w:before="160" w:after="120"/>
      <w:outlineLvl w:val="3"/>
    </w:pPr>
    <w:rPr>
      <w:sz w:val="22"/>
    </w:rPr>
  </w:style>
  <w:style w:type="paragraph" w:styleId="Heading5">
    <w:name w:val="heading 5"/>
    <w:basedOn w:val="HeadingBase"/>
    <w:next w:val="Normal"/>
    <w:link w:val="Heading5Char"/>
    <w:qFormat/>
    <w:rsid w:val="00A929C1"/>
    <w:pPr>
      <w:spacing w:before="80"/>
      <w:outlineLvl w:val="4"/>
    </w:pPr>
    <w:rPr>
      <w:color w:val="918585"/>
      <w:sz w:val="20"/>
    </w:rPr>
  </w:style>
  <w:style w:type="paragraph" w:styleId="Heading6">
    <w:name w:val="heading 6"/>
    <w:basedOn w:val="HeadingBase"/>
    <w:next w:val="Normal"/>
    <w:link w:val="Heading6Char"/>
    <w:qFormat/>
    <w:rsid w:val="00A929C1"/>
    <w:pPr>
      <w:spacing w:before="60"/>
      <w:outlineLvl w:val="5"/>
    </w:pPr>
    <w:rPr>
      <w:color w:val="918585"/>
      <w:sz w:val="20"/>
    </w:rPr>
  </w:style>
  <w:style w:type="paragraph" w:styleId="Heading7">
    <w:name w:val="heading 7"/>
    <w:basedOn w:val="Normal"/>
    <w:next w:val="Normal"/>
    <w:link w:val="Heading7Char"/>
    <w:qFormat/>
    <w:rsid w:val="00A929C1"/>
    <w:pPr>
      <w:ind w:left="720"/>
      <w:outlineLvl w:val="6"/>
    </w:pPr>
    <w:rPr>
      <w:i/>
    </w:rPr>
  </w:style>
  <w:style w:type="paragraph" w:styleId="Heading8">
    <w:name w:val="heading 8"/>
    <w:basedOn w:val="Normal"/>
    <w:next w:val="Normal"/>
    <w:link w:val="Heading8Char"/>
    <w:qFormat/>
    <w:rsid w:val="00A929C1"/>
    <w:pPr>
      <w:ind w:left="720"/>
      <w:outlineLvl w:val="7"/>
    </w:pPr>
    <w:rPr>
      <w:i/>
    </w:rPr>
  </w:style>
  <w:style w:type="paragraph" w:styleId="Heading9">
    <w:name w:val="heading 9"/>
    <w:basedOn w:val="Normal"/>
    <w:next w:val="Normal"/>
    <w:link w:val="Heading9Char"/>
    <w:qFormat/>
    <w:rsid w:val="00A929C1"/>
    <w:pPr>
      <w:ind w:left="720"/>
      <w:outlineLvl w:val="8"/>
    </w:pPr>
    <w:rPr>
      <w:i/>
    </w:rPr>
  </w:style>
  <w:style w:type="character" w:default="1" w:styleId="DefaultParagraphFont">
    <w:name w:val="Default Paragraph Font"/>
    <w:uiPriority w:val="1"/>
    <w:unhideWhenUsed/>
    <w:rsid w:val="00A92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9C1"/>
  </w:style>
  <w:style w:type="character" w:customStyle="1" w:styleId="Heading1Char">
    <w:name w:val="Heading 1 Char"/>
    <w:basedOn w:val="DefaultParagraphFont"/>
    <w:link w:val="Heading1"/>
    <w:rsid w:val="00A929C1"/>
    <w:rPr>
      <w:rFonts w:ascii="Times New Roman" w:eastAsia="Times New Roman" w:hAnsi="Times New Roman" w:cs="Times New Roman"/>
      <w:b/>
      <w:sz w:val="32"/>
      <w:szCs w:val="20"/>
      <w:lang w:eastAsia="en-US"/>
    </w:rPr>
  </w:style>
  <w:style w:type="paragraph" w:styleId="BodyText">
    <w:name w:val="Body Text"/>
    <w:basedOn w:val="Normal"/>
    <w:link w:val="BodyTextChar"/>
    <w:rsid w:val="00A92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9C1"/>
    <w:rPr>
      <w:rFonts w:ascii="Times New Roman" w:eastAsia="Times New Roman" w:hAnsi="Times New Roman" w:cs="Times New Roman"/>
      <w:sz w:val="24"/>
      <w:lang w:eastAsia="en-US"/>
    </w:rPr>
  </w:style>
  <w:style w:type="paragraph" w:styleId="ListBullet">
    <w:name w:val="List Bullet"/>
    <w:basedOn w:val="List"/>
    <w:rsid w:val="00A929C1"/>
    <w:pPr>
      <w:numPr>
        <w:numId w:val="12"/>
      </w:numPr>
      <w:tabs>
        <w:tab w:val="clear" w:pos="340"/>
      </w:tabs>
      <w:spacing w:before="40" w:after="40"/>
    </w:pPr>
  </w:style>
  <w:style w:type="character" w:customStyle="1" w:styleId="SpecialBold">
    <w:name w:val="Special Bold"/>
    <w:basedOn w:val="DefaultParagraphFont"/>
    <w:rsid w:val="00A929C1"/>
    <w:rPr>
      <w:b/>
      <w:spacing w:val="0"/>
    </w:rPr>
  </w:style>
  <w:style w:type="paragraph" w:customStyle="1" w:styleId="SuperHeading">
    <w:name w:val="SuperHeading"/>
    <w:basedOn w:val="Normal"/>
    <w:rsid w:val="00A929C1"/>
    <w:pPr>
      <w:spacing w:before="240" w:after="120"/>
      <w:outlineLvl w:val="0"/>
    </w:pPr>
    <w:rPr>
      <w:rFonts w:ascii="Times New Roman" w:hAnsi="Times New Roman"/>
      <w:b/>
      <w:sz w:val="32"/>
    </w:rPr>
  </w:style>
  <w:style w:type="paragraph" w:customStyle="1" w:styleId="AllowPageBreak">
    <w:name w:val="AllowPageBreak"/>
    <w:rsid w:val="00A92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9C1"/>
    <w:rPr>
      <w:rFonts w:ascii="Courier New" w:eastAsia="Times New Roman" w:hAnsi="Courier New" w:cs="Times New Roman"/>
      <w:i/>
      <w:szCs w:val="20"/>
      <w:lang w:eastAsia="en-US"/>
    </w:rPr>
  </w:style>
  <w:style w:type="paragraph" w:customStyle="1" w:styleId="HeadingBase">
    <w:name w:val="Heading Base"/>
    <w:rsid w:val="00A92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9C1"/>
    <w:pPr>
      <w:tabs>
        <w:tab w:val="right" w:leader="dot" w:pos="9072"/>
      </w:tabs>
      <w:ind w:left="567"/>
    </w:pPr>
    <w:rPr>
      <w:szCs w:val="22"/>
    </w:rPr>
  </w:style>
  <w:style w:type="paragraph" w:customStyle="1" w:styleId="TOCBase">
    <w:name w:val="TOC Base"/>
    <w:rsid w:val="00A92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9C1"/>
    <w:pPr>
      <w:tabs>
        <w:tab w:val="right" w:leader="dot" w:pos="9072"/>
      </w:tabs>
      <w:spacing w:before="40" w:after="40"/>
      <w:ind w:left="284"/>
    </w:pPr>
    <w:rPr>
      <w:rFonts w:ascii="Times New Roman" w:hAnsi="Times New Roman"/>
    </w:rPr>
  </w:style>
  <w:style w:type="paragraph" w:styleId="TOC1">
    <w:name w:val="toc 1"/>
    <w:basedOn w:val="TOCBase"/>
    <w:next w:val="Normal"/>
    <w:rsid w:val="00A92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9C1"/>
    <w:rPr>
      <w:rFonts w:ascii="Times New Roman" w:eastAsia="Times New Roman" w:hAnsi="Times New Roman" w:cs="Times New Roman"/>
      <w:sz w:val="16"/>
      <w:lang w:eastAsia="en-US"/>
    </w:rPr>
  </w:style>
  <w:style w:type="paragraph" w:styleId="Title">
    <w:name w:val="Title"/>
    <w:basedOn w:val="HeadingBase"/>
    <w:link w:val="TitleChar"/>
    <w:qFormat/>
    <w:rsid w:val="00A929C1"/>
    <w:pPr>
      <w:spacing w:before="5040"/>
      <w:jc w:val="center"/>
    </w:pPr>
    <w:rPr>
      <w:sz w:val="48"/>
      <w:szCs w:val="72"/>
      <w:lang w:val="en-US"/>
    </w:rPr>
  </w:style>
  <w:style w:type="character" w:customStyle="1" w:styleId="TitleChar">
    <w:name w:val="Title Char"/>
    <w:basedOn w:val="DefaultParagraphFont"/>
    <w:link w:val="Title"/>
    <w:rsid w:val="00A92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9C1"/>
    <w:pPr>
      <w:tabs>
        <w:tab w:val="left" w:pos="3600"/>
        <w:tab w:val="left" w:pos="3958"/>
      </w:tabs>
    </w:pPr>
  </w:style>
  <w:style w:type="paragraph" w:styleId="List">
    <w:name w:val="List"/>
    <w:basedOn w:val="BodyText"/>
    <w:next w:val="BodyText"/>
    <w:rsid w:val="00A929C1"/>
    <w:pPr>
      <w:tabs>
        <w:tab w:val="left" w:pos="340"/>
      </w:tabs>
      <w:spacing w:before="60" w:after="60"/>
      <w:ind w:left="340" w:hanging="340"/>
    </w:pPr>
  </w:style>
  <w:style w:type="paragraph" w:customStyle="1" w:styleId="Note">
    <w:name w:val="Note"/>
    <w:basedOn w:val="BodyText"/>
    <w:rsid w:val="00A92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9C1"/>
    <w:pPr>
      <w:framePr w:wrap="auto" w:hAnchor="text" w:y="6049"/>
    </w:pPr>
    <w:rPr>
      <w:color w:val="000000"/>
      <w:sz w:val="40"/>
    </w:rPr>
  </w:style>
  <w:style w:type="paragraph" w:customStyle="1" w:styleId="TOCTitle">
    <w:name w:val="TOCTitle"/>
    <w:basedOn w:val="Heading1"/>
    <w:rsid w:val="00A929C1"/>
    <w:pPr>
      <w:spacing w:after="240"/>
      <w:jc w:val="center"/>
      <w:outlineLvl w:val="9"/>
    </w:pPr>
    <w:rPr>
      <w:caps/>
    </w:rPr>
  </w:style>
  <w:style w:type="paragraph" w:customStyle="1" w:styleId="Version">
    <w:name w:val="Version"/>
    <w:rsid w:val="00A92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9C1"/>
    <w:pPr>
      <w:numPr>
        <w:numId w:val="13"/>
      </w:numPr>
      <w:tabs>
        <w:tab w:val="clear" w:pos="680"/>
      </w:tabs>
    </w:pPr>
  </w:style>
  <w:style w:type="paragraph" w:styleId="Index1">
    <w:name w:val="index 1"/>
    <w:basedOn w:val="Normal"/>
    <w:next w:val="Normal"/>
    <w:semiHidden/>
    <w:rsid w:val="00A929C1"/>
    <w:pPr>
      <w:keepNext w:val="0"/>
      <w:tabs>
        <w:tab w:val="right" w:pos="4176"/>
      </w:tabs>
      <w:ind w:left="198" w:hanging="198"/>
    </w:pPr>
    <w:rPr>
      <w:rFonts w:ascii="Garamond" w:hAnsi="Garamond"/>
    </w:rPr>
  </w:style>
  <w:style w:type="paragraph" w:styleId="IndexHeading">
    <w:name w:val="index heading"/>
    <w:basedOn w:val="Normal"/>
    <w:next w:val="Index1"/>
    <w:semiHidden/>
    <w:rsid w:val="00A929C1"/>
    <w:pPr>
      <w:spacing w:before="120" w:after="120"/>
    </w:pPr>
    <w:rPr>
      <w:rFonts w:ascii="Arial" w:hAnsi="Arial"/>
      <w:b/>
      <w:color w:val="918585"/>
      <w:sz w:val="24"/>
    </w:rPr>
  </w:style>
  <w:style w:type="paragraph" w:styleId="Header">
    <w:name w:val="header"/>
    <w:basedOn w:val="Normal"/>
    <w:link w:val="HeaderChar"/>
    <w:rsid w:val="00A92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9C1"/>
    <w:rPr>
      <w:rFonts w:ascii="Times New Roman" w:eastAsia="Times New Roman" w:hAnsi="Times New Roman" w:cs="Times New Roman"/>
      <w:sz w:val="16"/>
      <w:szCs w:val="20"/>
      <w:lang w:val="en-GB" w:eastAsia="en-US"/>
    </w:rPr>
  </w:style>
  <w:style w:type="paragraph" w:customStyle="1" w:styleId="Chapter">
    <w:name w:val="Chapter"/>
    <w:basedOn w:val="Normal"/>
    <w:rsid w:val="00A929C1"/>
    <w:pPr>
      <w:spacing w:before="240"/>
    </w:pPr>
    <w:rPr>
      <w:rFonts w:ascii="Times New Roman" w:hAnsi="Times New Roman"/>
      <w:smallCaps/>
      <w:spacing w:val="80"/>
      <w:sz w:val="28"/>
    </w:rPr>
  </w:style>
  <w:style w:type="paragraph" w:customStyle="1" w:styleId="InChapter">
    <w:name w:val="InChapter"/>
    <w:basedOn w:val="Heading3"/>
    <w:rsid w:val="00A929C1"/>
    <w:pPr>
      <w:spacing w:after="240"/>
      <w:outlineLvl w:val="9"/>
    </w:pPr>
    <w:rPr>
      <w:noProof/>
    </w:rPr>
  </w:style>
  <w:style w:type="paragraph" w:styleId="Index2">
    <w:name w:val="index 2"/>
    <w:basedOn w:val="Normal"/>
    <w:next w:val="Normal"/>
    <w:semiHidden/>
    <w:rsid w:val="00A929C1"/>
    <w:pPr>
      <w:tabs>
        <w:tab w:val="right" w:pos="4176"/>
      </w:tabs>
      <w:ind w:left="568" w:hanging="284"/>
    </w:pPr>
    <w:rPr>
      <w:rFonts w:ascii="Garamond" w:hAnsi="Garamond"/>
    </w:rPr>
  </w:style>
  <w:style w:type="paragraph" w:customStyle="1" w:styleId="Byline">
    <w:name w:val="Byline"/>
    <w:rsid w:val="00A92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9C1"/>
    <w:pPr>
      <w:tabs>
        <w:tab w:val="clear" w:pos="3600"/>
        <w:tab w:val="clear" w:pos="3958"/>
      </w:tabs>
      <w:jc w:val="right"/>
    </w:pPr>
  </w:style>
  <w:style w:type="character" w:styleId="Emphasis">
    <w:name w:val="Emphasis"/>
    <w:basedOn w:val="DefaultParagraphFont"/>
    <w:qFormat/>
    <w:rsid w:val="00A929C1"/>
    <w:rPr>
      <w:i/>
    </w:rPr>
  </w:style>
  <w:style w:type="paragraph" w:styleId="Caption">
    <w:name w:val="caption"/>
    <w:basedOn w:val="BodyText"/>
    <w:next w:val="Normal"/>
    <w:qFormat/>
    <w:rsid w:val="00A929C1"/>
    <w:pPr>
      <w:framePr w:w="2268" w:hSpace="181" w:vSpace="181" w:wrap="around" w:vAnchor="text" w:hAnchor="page" w:x="1135" w:y="285" w:anchorLock="1"/>
    </w:pPr>
    <w:rPr>
      <w:i/>
    </w:rPr>
  </w:style>
  <w:style w:type="paragraph" w:customStyle="1" w:styleId="MiniTOCTitle">
    <w:name w:val="MiniTOCTitle"/>
    <w:basedOn w:val="Heading4"/>
    <w:rsid w:val="00A929C1"/>
    <w:pPr>
      <w:spacing w:before="240"/>
      <w:outlineLvl w:val="9"/>
    </w:pPr>
    <w:rPr>
      <w:noProof/>
      <w:sz w:val="24"/>
    </w:rPr>
  </w:style>
  <w:style w:type="paragraph" w:customStyle="1" w:styleId="MiniTOCItem">
    <w:name w:val="MiniTOCItem"/>
    <w:basedOn w:val="ListBullet"/>
    <w:rsid w:val="00A929C1"/>
    <w:pPr>
      <w:numPr>
        <w:numId w:val="0"/>
      </w:numPr>
      <w:tabs>
        <w:tab w:val="right" w:leader="dot" w:pos="6521"/>
      </w:tabs>
      <w:spacing w:before="0" w:after="0"/>
    </w:pPr>
  </w:style>
  <w:style w:type="paragraph" w:customStyle="1" w:styleId="TOFTitle">
    <w:name w:val="TOFTitle"/>
    <w:basedOn w:val="TOCTitle"/>
    <w:rsid w:val="00A929C1"/>
  </w:style>
  <w:style w:type="paragraph" w:styleId="TableofFigures">
    <w:name w:val="table of figures"/>
    <w:basedOn w:val="Normal"/>
    <w:next w:val="Normal"/>
    <w:semiHidden/>
    <w:rsid w:val="00A929C1"/>
    <w:pPr>
      <w:tabs>
        <w:tab w:val="right" w:leader="dot" w:pos="9072"/>
      </w:tabs>
      <w:ind w:left="970" w:hanging="403"/>
    </w:pPr>
    <w:rPr>
      <w:rFonts w:ascii="Times New Roman" w:hAnsi="Times New Roman"/>
      <w:b/>
    </w:rPr>
  </w:style>
  <w:style w:type="paragraph" w:styleId="ListNumber">
    <w:name w:val="List Number"/>
    <w:basedOn w:val="List"/>
    <w:rsid w:val="00A929C1"/>
    <w:pPr>
      <w:numPr>
        <w:numId w:val="10"/>
      </w:numPr>
    </w:pPr>
  </w:style>
  <w:style w:type="character" w:customStyle="1" w:styleId="WingdingSymbols">
    <w:name w:val="Wingding Symbols"/>
    <w:rsid w:val="00A929C1"/>
    <w:rPr>
      <w:rFonts w:ascii="Wingdings" w:hAnsi="Wingdings"/>
    </w:rPr>
  </w:style>
  <w:style w:type="paragraph" w:customStyle="1" w:styleId="TableHeading">
    <w:name w:val="Table Heading"/>
    <w:basedOn w:val="HeadingBase"/>
    <w:rsid w:val="00A929C1"/>
    <w:pPr>
      <w:keepLines/>
      <w:pBdr>
        <w:bottom w:val="single" w:sz="6" w:space="1" w:color="918585"/>
      </w:pBdr>
      <w:spacing w:before="240"/>
    </w:pPr>
  </w:style>
  <w:style w:type="character" w:customStyle="1" w:styleId="HotSpot">
    <w:name w:val="HotSpot"/>
    <w:rsid w:val="00A929C1"/>
    <w:rPr>
      <w:color w:val="0033CC"/>
      <w:u w:val="none"/>
    </w:rPr>
  </w:style>
  <w:style w:type="paragraph" w:customStyle="1" w:styleId="BodyTextRight">
    <w:name w:val="Body Text Right"/>
    <w:basedOn w:val="BodyText"/>
    <w:rsid w:val="00A929C1"/>
    <w:pPr>
      <w:spacing w:before="0" w:after="0"/>
      <w:jc w:val="right"/>
    </w:pPr>
  </w:style>
  <w:style w:type="paragraph" w:styleId="Index3">
    <w:name w:val="index 3"/>
    <w:basedOn w:val="ListNumber2"/>
    <w:next w:val="Normal"/>
    <w:semiHidden/>
    <w:rsid w:val="00A929C1"/>
    <w:pPr>
      <w:numPr>
        <w:numId w:val="0"/>
      </w:numPr>
      <w:tabs>
        <w:tab w:val="right" w:leader="dot" w:pos="4176"/>
      </w:tabs>
    </w:pPr>
  </w:style>
  <w:style w:type="paragraph" w:styleId="ListNumber2">
    <w:name w:val="List Number 2"/>
    <w:basedOn w:val="List2"/>
    <w:rsid w:val="00A929C1"/>
    <w:pPr>
      <w:numPr>
        <w:numId w:val="9"/>
      </w:numPr>
      <w:tabs>
        <w:tab w:val="clear" w:pos="1060"/>
      </w:tabs>
    </w:pPr>
  </w:style>
  <w:style w:type="paragraph" w:customStyle="1" w:styleId="MarginNote">
    <w:name w:val="Margin Note"/>
    <w:basedOn w:val="BodyText"/>
    <w:rsid w:val="00A92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9C1"/>
    <w:rPr>
      <w:sz w:val="32"/>
    </w:rPr>
  </w:style>
  <w:style w:type="paragraph" w:customStyle="1" w:styleId="HeadingProcedure">
    <w:name w:val="Heading Procedure"/>
    <w:basedOn w:val="HeadingBase"/>
    <w:next w:val="Normal"/>
    <w:rsid w:val="00A929C1"/>
    <w:pPr>
      <w:tabs>
        <w:tab w:val="left" w:pos="0"/>
      </w:tabs>
      <w:spacing w:before="120" w:after="60"/>
    </w:pPr>
    <w:rPr>
      <w:i/>
      <w:color w:val="918585"/>
      <w:sz w:val="22"/>
    </w:rPr>
  </w:style>
  <w:style w:type="paragraph" w:customStyle="1" w:styleId="TableBodyText">
    <w:name w:val="Table Body Text"/>
    <w:basedOn w:val="BodyText"/>
    <w:rsid w:val="00A929C1"/>
    <w:pPr>
      <w:spacing w:before="60" w:after="60"/>
    </w:pPr>
  </w:style>
  <w:style w:type="paragraph" w:styleId="ListContinue">
    <w:name w:val="List Continue"/>
    <w:basedOn w:val="List"/>
    <w:rsid w:val="00A929C1"/>
    <w:pPr>
      <w:ind w:firstLine="0"/>
    </w:pPr>
  </w:style>
  <w:style w:type="paragraph" w:customStyle="1" w:styleId="ListNote">
    <w:name w:val="List Note"/>
    <w:basedOn w:val="List"/>
    <w:rsid w:val="00A929C1"/>
    <w:pPr>
      <w:pBdr>
        <w:top w:val="single" w:sz="6" w:space="2" w:color="918585"/>
        <w:bottom w:val="single" w:sz="6" w:space="2" w:color="918585"/>
      </w:pBdr>
      <w:tabs>
        <w:tab w:val="left" w:pos="1021"/>
      </w:tabs>
      <w:ind w:firstLine="0"/>
    </w:pPr>
  </w:style>
  <w:style w:type="paragraph" w:customStyle="1" w:styleId="Warning">
    <w:name w:val="Warning"/>
    <w:basedOn w:val="BodyText"/>
    <w:rsid w:val="00A929C1"/>
    <w:pPr>
      <w:shd w:val="clear" w:color="auto" w:fill="D9D9D9"/>
      <w:tabs>
        <w:tab w:val="left" w:pos="992"/>
      </w:tabs>
      <w:ind w:left="119" w:right="119"/>
    </w:pPr>
    <w:rPr>
      <w:sz w:val="20"/>
    </w:rPr>
  </w:style>
  <w:style w:type="paragraph" w:customStyle="1" w:styleId="MarginIcons">
    <w:name w:val="Margin Icons"/>
    <w:basedOn w:val="BodyText"/>
    <w:rsid w:val="00A92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9C1"/>
    <w:rPr>
      <w:rFonts w:ascii="Courier New" w:hAnsi="Courier New"/>
    </w:rPr>
  </w:style>
  <w:style w:type="paragraph" w:customStyle="1" w:styleId="NoteBullet">
    <w:name w:val="Note Bullet"/>
    <w:basedOn w:val="Note"/>
    <w:rsid w:val="00A929C1"/>
    <w:pPr>
      <w:tabs>
        <w:tab w:val="clear" w:pos="680"/>
      </w:tabs>
      <w:spacing w:before="60" w:after="60"/>
    </w:pPr>
  </w:style>
  <w:style w:type="paragraph" w:customStyle="1" w:styleId="SubHeading2">
    <w:name w:val="SubHeading2"/>
    <w:basedOn w:val="HeadingBase"/>
    <w:rsid w:val="00A929C1"/>
    <w:pPr>
      <w:spacing w:before="240" w:after="60"/>
    </w:pPr>
    <w:rPr>
      <w:sz w:val="20"/>
    </w:rPr>
  </w:style>
  <w:style w:type="paragraph" w:customStyle="1" w:styleId="SubHeading1">
    <w:name w:val="SubHeading1"/>
    <w:basedOn w:val="HeadingBase"/>
    <w:rsid w:val="00A929C1"/>
    <w:pPr>
      <w:spacing w:before="240" w:after="60"/>
    </w:pPr>
    <w:rPr>
      <w:color w:val="918585"/>
      <w:sz w:val="22"/>
    </w:rPr>
  </w:style>
  <w:style w:type="paragraph" w:customStyle="1" w:styleId="SideHeading">
    <w:name w:val="Side Heading"/>
    <w:basedOn w:val="HeadingBase"/>
    <w:rsid w:val="00A92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9C1"/>
    <w:pPr>
      <w:tabs>
        <w:tab w:val="num" w:pos="360"/>
      </w:tabs>
    </w:pPr>
  </w:style>
  <w:style w:type="paragraph" w:styleId="PlainText">
    <w:name w:val="Plain Text"/>
    <w:basedOn w:val="Normal"/>
    <w:link w:val="PlainTextChar"/>
    <w:rsid w:val="00A929C1"/>
    <w:rPr>
      <w:sz w:val="20"/>
    </w:rPr>
  </w:style>
  <w:style w:type="character" w:customStyle="1" w:styleId="PlainTextChar">
    <w:name w:val="Plain Text Char"/>
    <w:basedOn w:val="DefaultParagraphFont"/>
    <w:link w:val="PlainText"/>
    <w:rsid w:val="00A929C1"/>
    <w:rPr>
      <w:rFonts w:ascii="Courier New" w:eastAsia="Times New Roman" w:hAnsi="Courier New" w:cs="Times New Roman"/>
      <w:sz w:val="20"/>
      <w:szCs w:val="20"/>
      <w:lang w:eastAsia="en-US"/>
    </w:rPr>
  </w:style>
  <w:style w:type="character" w:customStyle="1" w:styleId="MenuOption">
    <w:name w:val="Menu Option"/>
    <w:basedOn w:val="DefaultParagraphFont"/>
    <w:rsid w:val="00A929C1"/>
    <w:rPr>
      <w:b/>
      <w:smallCaps/>
    </w:rPr>
  </w:style>
  <w:style w:type="paragraph" w:customStyle="1" w:styleId="TableListNumber">
    <w:name w:val="Table List Number"/>
    <w:basedOn w:val="ListNumber"/>
    <w:rsid w:val="00A929C1"/>
    <w:pPr>
      <w:numPr>
        <w:numId w:val="0"/>
      </w:numPr>
    </w:pPr>
  </w:style>
  <w:style w:type="paragraph" w:styleId="TOC4">
    <w:name w:val="toc 4"/>
    <w:basedOn w:val="TOCBase"/>
    <w:next w:val="Normal"/>
    <w:semiHidden/>
    <w:rsid w:val="00A929C1"/>
    <w:pPr>
      <w:tabs>
        <w:tab w:val="right" w:leader="dot" w:pos="9071"/>
      </w:tabs>
      <w:ind w:left="1701"/>
    </w:pPr>
  </w:style>
  <w:style w:type="paragraph" w:customStyle="1" w:styleId="ListAlpha">
    <w:name w:val="List Alpha"/>
    <w:basedOn w:val="List"/>
    <w:rsid w:val="00A929C1"/>
    <w:pPr>
      <w:numPr>
        <w:numId w:val="8"/>
      </w:numPr>
    </w:pPr>
  </w:style>
  <w:style w:type="paragraph" w:customStyle="1" w:styleId="ListAlpha2">
    <w:name w:val="List Alpha 2"/>
    <w:basedOn w:val="List2"/>
    <w:rsid w:val="00A929C1"/>
    <w:pPr>
      <w:numPr>
        <w:numId w:val="7"/>
      </w:numPr>
    </w:pPr>
  </w:style>
  <w:style w:type="paragraph" w:styleId="List2">
    <w:name w:val="List 2"/>
    <w:basedOn w:val="BodyText"/>
    <w:rsid w:val="00A929C1"/>
    <w:pPr>
      <w:tabs>
        <w:tab w:val="left" w:pos="680"/>
      </w:tabs>
      <w:spacing w:before="60" w:after="60"/>
      <w:ind w:left="680" w:hanging="340"/>
    </w:pPr>
  </w:style>
  <w:style w:type="paragraph" w:styleId="List3">
    <w:name w:val="List 3"/>
    <w:basedOn w:val="BodyText"/>
    <w:rsid w:val="00A929C1"/>
    <w:pPr>
      <w:tabs>
        <w:tab w:val="left" w:pos="1021"/>
      </w:tabs>
      <w:spacing w:before="60" w:after="60"/>
      <w:ind w:left="1020" w:hanging="340"/>
    </w:pPr>
  </w:style>
  <w:style w:type="paragraph" w:styleId="List4">
    <w:name w:val="List 4"/>
    <w:basedOn w:val="BodyText"/>
    <w:rsid w:val="00A929C1"/>
    <w:pPr>
      <w:tabs>
        <w:tab w:val="left" w:pos="1361"/>
      </w:tabs>
      <w:spacing w:before="60" w:after="60"/>
      <w:ind w:left="1361" w:hanging="340"/>
    </w:pPr>
  </w:style>
  <w:style w:type="paragraph" w:styleId="List5">
    <w:name w:val="List 5"/>
    <w:basedOn w:val="BodyText"/>
    <w:rsid w:val="00A929C1"/>
    <w:pPr>
      <w:tabs>
        <w:tab w:val="left" w:pos="1701"/>
      </w:tabs>
      <w:spacing w:before="60" w:after="60"/>
      <w:ind w:left="1701" w:hanging="340"/>
    </w:pPr>
  </w:style>
  <w:style w:type="paragraph" w:styleId="ListBullet3">
    <w:name w:val="List Bullet 3"/>
    <w:basedOn w:val="List3"/>
    <w:rsid w:val="00A929C1"/>
    <w:pPr>
      <w:numPr>
        <w:numId w:val="14"/>
      </w:numPr>
      <w:tabs>
        <w:tab w:val="clear" w:pos="1021"/>
      </w:tabs>
      <w:ind w:left="1037" w:hanging="357"/>
    </w:pPr>
  </w:style>
  <w:style w:type="paragraph" w:styleId="ListBullet4">
    <w:name w:val="List Bullet 4"/>
    <w:basedOn w:val="List4"/>
    <w:rsid w:val="00A929C1"/>
    <w:pPr>
      <w:numPr>
        <w:numId w:val="2"/>
      </w:numPr>
    </w:pPr>
  </w:style>
  <w:style w:type="paragraph" w:styleId="ListBullet5">
    <w:name w:val="List Bullet 5"/>
    <w:basedOn w:val="List5"/>
    <w:rsid w:val="00A929C1"/>
    <w:pPr>
      <w:numPr>
        <w:numId w:val="3"/>
      </w:numPr>
    </w:pPr>
  </w:style>
  <w:style w:type="paragraph" w:styleId="ListContinue2">
    <w:name w:val="List Continue 2"/>
    <w:basedOn w:val="List2"/>
    <w:rsid w:val="00A929C1"/>
    <w:pPr>
      <w:ind w:firstLine="0"/>
    </w:pPr>
  </w:style>
  <w:style w:type="paragraph" w:styleId="ListContinue3">
    <w:name w:val="List Continue 3"/>
    <w:basedOn w:val="List3"/>
    <w:rsid w:val="00A929C1"/>
    <w:pPr>
      <w:ind w:left="1021" w:firstLine="0"/>
    </w:pPr>
  </w:style>
  <w:style w:type="paragraph" w:styleId="ListContinue4">
    <w:name w:val="List Continue 4"/>
    <w:basedOn w:val="List4"/>
    <w:rsid w:val="00A929C1"/>
    <w:pPr>
      <w:ind w:firstLine="0"/>
    </w:pPr>
  </w:style>
  <w:style w:type="paragraph" w:styleId="ListContinue5">
    <w:name w:val="List Continue 5"/>
    <w:basedOn w:val="List5"/>
    <w:rsid w:val="00A929C1"/>
    <w:pPr>
      <w:ind w:firstLine="0"/>
    </w:pPr>
  </w:style>
  <w:style w:type="paragraph" w:styleId="ListNumber3">
    <w:name w:val="List Number 3"/>
    <w:basedOn w:val="List3"/>
    <w:rsid w:val="00A929C1"/>
    <w:pPr>
      <w:numPr>
        <w:numId w:val="4"/>
      </w:numPr>
    </w:pPr>
  </w:style>
  <w:style w:type="paragraph" w:styleId="ListNumber4">
    <w:name w:val="List Number 4"/>
    <w:basedOn w:val="List4"/>
    <w:rsid w:val="00A929C1"/>
    <w:pPr>
      <w:numPr>
        <w:numId w:val="5"/>
      </w:numPr>
    </w:pPr>
  </w:style>
  <w:style w:type="paragraph" w:styleId="ListNumber5">
    <w:name w:val="List Number 5"/>
    <w:basedOn w:val="List5"/>
    <w:rsid w:val="00A929C1"/>
    <w:pPr>
      <w:numPr>
        <w:numId w:val="6"/>
      </w:numPr>
    </w:pPr>
  </w:style>
  <w:style w:type="paragraph" w:styleId="BlockText">
    <w:name w:val="Block Text"/>
    <w:basedOn w:val="Normal"/>
    <w:rsid w:val="00A929C1"/>
    <w:pPr>
      <w:spacing w:after="120"/>
      <w:ind w:left="1440" w:right="1440"/>
    </w:pPr>
  </w:style>
  <w:style w:type="character" w:customStyle="1" w:styleId="Subscript">
    <w:name w:val="Subscript"/>
    <w:basedOn w:val="DefaultParagraphFont"/>
    <w:rsid w:val="00A929C1"/>
    <w:rPr>
      <w:sz w:val="16"/>
      <w:vertAlign w:val="subscript"/>
    </w:rPr>
  </w:style>
  <w:style w:type="character" w:customStyle="1" w:styleId="Superscript">
    <w:name w:val="Superscript"/>
    <w:basedOn w:val="DefaultParagraphFont"/>
    <w:rsid w:val="00A929C1"/>
    <w:rPr>
      <w:sz w:val="16"/>
      <w:vertAlign w:val="superscript"/>
    </w:rPr>
  </w:style>
  <w:style w:type="character" w:customStyle="1" w:styleId="Symbols">
    <w:name w:val="Symbols"/>
    <w:basedOn w:val="DefaultParagraphFont"/>
    <w:rsid w:val="00A929C1"/>
    <w:rPr>
      <w:rFonts w:ascii="Symbol" w:hAnsi="Symbol"/>
    </w:rPr>
  </w:style>
  <w:style w:type="character" w:customStyle="1" w:styleId="MenuOptions">
    <w:name w:val="Menu Options"/>
    <w:basedOn w:val="DefaultParagraphFont"/>
    <w:rsid w:val="00A929C1"/>
    <w:rPr>
      <w:rFonts w:ascii="Arial Narrow" w:hAnsi="Arial Narrow"/>
      <w:smallCaps/>
    </w:rPr>
  </w:style>
  <w:style w:type="character" w:customStyle="1" w:styleId="Buttons">
    <w:name w:val="Buttons"/>
    <w:basedOn w:val="DefaultParagraphFont"/>
    <w:rsid w:val="00A929C1"/>
    <w:rPr>
      <w:b/>
    </w:rPr>
  </w:style>
  <w:style w:type="character" w:customStyle="1" w:styleId="Underlined">
    <w:name w:val="Underlined"/>
    <w:basedOn w:val="DefaultParagraphFont"/>
    <w:rsid w:val="00A929C1"/>
    <w:rPr>
      <w:u w:val="single"/>
    </w:rPr>
  </w:style>
  <w:style w:type="paragraph" w:customStyle="1" w:styleId="TableBodyTextRight">
    <w:name w:val="Table Body Text Right"/>
    <w:basedOn w:val="TableBodyText"/>
    <w:rsid w:val="00A929C1"/>
    <w:pPr>
      <w:widowControl w:val="0"/>
      <w:autoSpaceDE w:val="0"/>
      <w:autoSpaceDN w:val="0"/>
      <w:adjustRightInd w:val="0"/>
      <w:jc w:val="right"/>
    </w:pPr>
    <w:rPr>
      <w:rFonts w:cs="Arial"/>
      <w:szCs w:val="18"/>
    </w:rPr>
  </w:style>
  <w:style w:type="paragraph" w:customStyle="1" w:styleId="CopyrightText">
    <w:name w:val="Copyright Text"/>
    <w:basedOn w:val="BodyText"/>
    <w:rsid w:val="00A929C1"/>
    <w:rPr>
      <w:sz w:val="18"/>
    </w:rPr>
  </w:style>
  <w:style w:type="paragraph" w:customStyle="1" w:styleId="BodySmallRight">
    <w:name w:val="Body Small Right"/>
    <w:basedOn w:val="BodyTextRight"/>
    <w:rsid w:val="00A929C1"/>
    <w:rPr>
      <w:sz w:val="18"/>
      <w:szCs w:val="18"/>
    </w:rPr>
  </w:style>
  <w:style w:type="paragraph" w:customStyle="1" w:styleId="MarginEdition">
    <w:name w:val="Margin Edition"/>
    <w:basedOn w:val="MarginNote"/>
    <w:rsid w:val="00A929C1"/>
    <w:pPr>
      <w:spacing w:before="0" w:after="0"/>
    </w:pPr>
    <w:rPr>
      <w:rFonts w:ascii="Times New Roman" w:hAnsi="Times New Roman"/>
      <w:color w:val="999999"/>
    </w:rPr>
  </w:style>
  <w:style w:type="paragraph" w:customStyle="1" w:styleId="Spacer">
    <w:name w:val="Spacer"/>
    <w:basedOn w:val="Normal"/>
    <w:rsid w:val="00A929C1"/>
    <w:rPr>
      <w:sz w:val="2"/>
      <w:szCs w:val="2"/>
    </w:rPr>
  </w:style>
  <w:style w:type="character" w:customStyle="1" w:styleId="Small">
    <w:name w:val="Small"/>
    <w:basedOn w:val="DefaultParagraphFont"/>
    <w:rsid w:val="00A929C1"/>
    <w:rPr>
      <w:sz w:val="16"/>
    </w:rPr>
  </w:style>
  <w:style w:type="paragraph" w:customStyle="1" w:styleId="WideTable">
    <w:name w:val="Wide Table"/>
    <w:basedOn w:val="Normal"/>
    <w:rsid w:val="00A929C1"/>
    <w:pPr>
      <w:ind w:left="-1418"/>
    </w:pPr>
    <w:rPr>
      <w:sz w:val="2"/>
      <w:szCs w:val="2"/>
    </w:rPr>
  </w:style>
  <w:style w:type="character" w:styleId="PageNumber">
    <w:name w:val="page number"/>
    <w:basedOn w:val="DefaultParagraphFont"/>
    <w:rsid w:val="00A929C1"/>
  </w:style>
  <w:style w:type="paragraph" w:styleId="Quote">
    <w:name w:val="Quote"/>
    <w:basedOn w:val="Heading1"/>
    <w:link w:val="QuoteChar"/>
    <w:qFormat/>
    <w:rsid w:val="00A929C1"/>
    <w:rPr>
      <w:b w:val="0"/>
      <w:sz w:val="72"/>
      <w:szCs w:val="72"/>
      <w:lang w:val="en-NZ"/>
    </w:rPr>
  </w:style>
  <w:style w:type="character" w:customStyle="1" w:styleId="QuoteChar">
    <w:name w:val="Quote Char"/>
    <w:basedOn w:val="DefaultParagraphFont"/>
    <w:link w:val="Quote"/>
    <w:rsid w:val="00A92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9C1"/>
    <w:pPr>
      <w:pageBreakBefore/>
    </w:pPr>
  </w:style>
  <w:style w:type="paragraph" w:customStyle="1" w:styleId="Border">
    <w:name w:val="Border"/>
    <w:basedOn w:val="Normal"/>
    <w:qFormat/>
    <w:rsid w:val="00A92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9C1"/>
    <w:rPr>
      <w:b/>
      <w:bCs/>
      <w:i/>
      <w:iCs/>
      <w:color w:val="auto"/>
    </w:rPr>
  </w:style>
  <w:style w:type="paragraph" w:styleId="IntenseQuote">
    <w:name w:val="Intense Quote"/>
    <w:basedOn w:val="Normal"/>
    <w:next w:val="Normal"/>
    <w:link w:val="IntenseQuoteChar"/>
    <w:uiPriority w:val="30"/>
    <w:qFormat/>
    <w:rsid w:val="00A92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9C1"/>
    <w:rPr>
      <w:smallCaps/>
      <w:color w:val="auto"/>
      <w:u w:val="single"/>
    </w:rPr>
  </w:style>
  <w:style w:type="character" w:styleId="IntenseReference">
    <w:name w:val="Intense Reference"/>
    <w:basedOn w:val="DefaultParagraphFont"/>
    <w:uiPriority w:val="32"/>
    <w:qFormat/>
    <w:rsid w:val="00A929C1"/>
    <w:rPr>
      <w:b/>
      <w:bCs/>
      <w:smallCaps/>
      <w:color w:val="auto"/>
      <w:spacing w:val="5"/>
      <w:u w:val="single"/>
    </w:rPr>
  </w:style>
  <w:style w:type="paragraph" w:customStyle="1" w:styleId="2ColumnHeading">
    <w:name w:val="2Column Heading"/>
    <w:basedOn w:val="BodyText"/>
    <w:qFormat/>
    <w:rsid w:val="00A929C1"/>
    <w:pPr>
      <w:spacing w:after="60"/>
      <w:ind w:left="-2268"/>
    </w:pPr>
    <w:rPr>
      <w:b/>
    </w:rPr>
  </w:style>
  <w:style w:type="paragraph" w:customStyle="1" w:styleId="Heading1TOC">
    <w:name w:val="Heading1 TOC"/>
    <w:basedOn w:val="Normal"/>
    <w:qFormat/>
    <w:rsid w:val="00A929C1"/>
    <w:pPr>
      <w:spacing w:before="240" w:after="120"/>
    </w:pPr>
    <w:rPr>
      <w:rFonts w:ascii="Times New Roman" w:hAnsi="Times New Roman"/>
      <w:b/>
      <w:sz w:val="32"/>
    </w:rPr>
  </w:style>
  <w:style w:type="paragraph" w:customStyle="1" w:styleId="Heading2TOC">
    <w:name w:val="Heading2 TOC"/>
    <w:basedOn w:val="Normal"/>
    <w:qFormat/>
    <w:rsid w:val="00A929C1"/>
    <w:pPr>
      <w:spacing w:before="240" w:after="60"/>
    </w:pPr>
    <w:rPr>
      <w:rFonts w:ascii="Times New Roman" w:hAnsi="Times New Roman"/>
      <w:b/>
      <w:sz w:val="28"/>
    </w:rPr>
  </w:style>
  <w:style w:type="character" w:customStyle="1" w:styleId="Underline">
    <w:name w:val="Underline"/>
    <w:basedOn w:val="DefaultParagraphFont"/>
    <w:qFormat/>
    <w:rsid w:val="00A929C1"/>
    <w:rPr>
      <w:u w:val="single"/>
    </w:rPr>
  </w:style>
  <w:style w:type="character" w:customStyle="1" w:styleId="BoldandItalics">
    <w:name w:val="Bold and Italics"/>
    <w:qFormat/>
    <w:rsid w:val="00A929C1"/>
    <w:rPr>
      <w:b/>
      <w:i/>
      <w:u w:val="none"/>
    </w:rPr>
  </w:style>
  <w:style w:type="paragraph" w:styleId="BalloonText">
    <w:name w:val="Balloon Text"/>
    <w:basedOn w:val="Normal"/>
    <w:link w:val="BalloonTextChar"/>
    <w:rsid w:val="00A929C1"/>
    <w:rPr>
      <w:rFonts w:ascii="Tahoma" w:hAnsi="Tahoma" w:cs="Tahoma"/>
      <w:sz w:val="16"/>
      <w:szCs w:val="16"/>
    </w:rPr>
  </w:style>
  <w:style w:type="character" w:customStyle="1" w:styleId="BalloonTextChar">
    <w:name w:val="Balloon Text Char"/>
    <w:basedOn w:val="DefaultParagraphFont"/>
    <w:link w:val="BalloonText"/>
    <w:rsid w:val="00A92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9C1"/>
    <w:rPr>
      <w:b/>
      <w:color w:val="660033"/>
      <w:spacing w:val="0"/>
    </w:rPr>
  </w:style>
  <w:style w:type="paragraph" w:customStyle="1" w:styleId="Nameditemlist">
    <w:name w:val="Named item list"/>
    <w:basedOn w:val="BodyText"/>
    <w:qFormat/>
    <w:rsid w:val="00A929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8536</Characters>
  <Application>Microsoft Office Word</Application>
  <DocSecurity>0</DocSecurity>
  <Lines>332</Lines>
  <Paragraphs>164</Paragraphs>
  <ScaleCrop>false</ScaleCrop>
  <Company>Author-it Software Corporation Ltd.</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PMAOPS360A Operate a metalliferous kiln/furnace</dc:title>
  <dc:subject>Approved</dc:subject>
  <dc:creator>Manufacturing Skills Australia</dc:creator>
  <cp:keywords>Release: 1</cp:keywords>
  <dc:description>Review Date: 12 April 2008</dc:description>
  <cp:lastModifiedBy>TPCMS</cp:lastModifiedBy>
  <cp:revision>3</cp:revision>
  <dcterms:created xsi:type="dcterms:W3CDTF">2013-10-25T06:23:00Z</dcterms:created>
  <dcterms:modified xsi:type="dcterms:W3CDTF">2013-10-25T06:23:00Z</dcterms:modified>
</cp:coreProperties>
</file>