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5A69" w:rsidP="00625A69">
      <w:pPr>
        <w:pStyle w:val="Title"/>
      </w:pPr>
      <w:r>
        <w:fldChar w:fldCharType="begin"/>
      </w:r>
      <w:r>
        <w:instrText xml:space="preserve"> TITLE   \* MERGEFORMAT </w:instrText>
      </w:r>
      <w:r>
        <w:fldChar w:fldCharType="separate"/>
      </w:r>
      <w:r>
        <w:t>PMAOPS261A Operate bulk solids loading equipment</w:t>
      </w:r>
      <w:r>
        <w:fldChar w:fldCharType="end"/>
      </w:r>
    </w:p>
    <w:p w:rsidR="00625A69" w:rsidP="00625A69">
      <w:pPr>
        <w:pStyle w:val="Version"/>
        <w:sectPr w:rsidSect="004B5F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5F16" w:rsidP="004B5F16">
      <w:pPr>
        <w:pStyle w:val="SuperHeading"/>
      </w:pPr>
      <w:r w:rsidRPr="004B5F16">
        <w:t>PMAOPS261A Operate bulk solids loading equipment</w:t>
      </w:r>
    </w:p>
    <w:p w:rsidR="00000000" w:rsidRPr="004B5F16" w:rsidP="004B5F16">
      <w:pPr>
        <w:pStyle w:val="Heading1"/>
      </w:pPr>
      <w:bookmarkStart w:id="1" w:name="O_569062"/>
      <w:bookmarkEnd w:id="1"/>
      <w:r w:rsidRPr="004B5F16">
        <w:t>Modification History</w:t>
      </w:r>
    </w:p>
    <w:p w:rsidR="00000000" w:rsidRPr="004B5F16" w:rsidP="004B5F16">
      <w:pPr>
        <w:pStyle w:val="BodyText"/>
      </w:pPr>
      <w:r w:rsidRPr="004B5F16">
        <w:t>Release 1 – New unit</w:t>
      </w:r>
    </w:p>
    <w:p w:rsidR="00000000" w:rsidRPr="004B5F16" w:rsidP="004B5F16">
      <w:pPr>
        <w:pStyle w:val="AllowPageBreak"/>
      </w:pPr>
    </w:p>
    <w:p w:rsidR="00000000" w:rsidRPr="004B5F16" w:rsidP="004B5F16">
      <w:pPr>
        <w:pStyle w:val="Heading1"/>
      </w:pPr>
      <w:bookmarkStart w:id="2" w:name="O_569074"/>
      <w:bookmarkEnd w:id="2"/>
      <w:r w:rsidRPr="004B5F16">
        <w:t>Unit Descriptor</w:t>
      </w:r>
    </w:p>
    <w:p w:rsidR="00000000" w:rsidRPr="004B5F16" w:rsidP="004B5F16">
      <w:pPr>
        <w:pStyle w:val="BodyText"/>
      </w:pPr>
      <w:r w:rsidRPr="004B5F16">
        <w:t>This unit of competency covers the skills and knowledge needed to operate a range of equipment used to convey and load bulk solids.</w:t>
      </w:r>
    </w:p>
    <w:p w:rsidR="00000000" w:rsidRPr="004B5F16" w:rsidP="004B5F16">
      <w:pPr>
        <w:pStyle w:val="AllowPageBreak"/>
      </w:pPr>
    </w:p>
    <w:p w:rsidR="00000000" w:rsidRPr="004B5F16" w:rsidP="004B5F16">
      <w:pPr>
        <w:pStyle w:val="Heading1"/>
      </w:pPr>
      <w:bookmarkStart w:id="3" w:name="O_569073"/>
      <w:bookmarkEnd w:id="3"/>
      <w:r w:rsidRPr="004B5F16">
        <w:t>Application of the Unit</w:t>
      </w:r>
    </w:p>
    <w:p w:rsidR="00000000" w:rsidRPr="004B5F16" w:rsidP="004B5F16">
      <w:pPr>
        <w:pStyle w:val="BodyText"/>
      </w:pPr>
      <w:r w:rsidRPr="004B5F16">
        <w:t>This unit applies to a person who has the responsibility for the operation of filling and loading equipment for bulk solids in sealed containments for shipment from the plant by road or rail. It can include a range of supplementary equipment. It is not int</w:t>
      </w:r>
      <w:r w:rsidRPr="004B5F16">
        <w:t xml:space="preserve">ended to apply to line conveyors as part of a ship loading system. </w:t>
      </w:r>
    </w:p>
    <w:p w:rsidR="00000000" w:rsidRPr="004B5F16" w:rsidP="004B5F16">
      <w:pPr>
        <w:pStyle w:val="BodyText"/>
      </w:pPr>
    </w:p>
    <w:p w:rsidR="00000000" w:rsidRPr="004B5F16" w:rsidP="004B5F16">
      <w:pPr>
        <w:pStyle w:val="BodyText"/>
      </w:pPr>
      <w:r w:rsidRPr="004B5F16">
        <w:t>This unit applies to an individual working alone or as part of a team or group and working in liaison with other shift team members and the control room operator, as appropriate.</w:t>
      </w:r>
    </w:p>
    <w:p w:rsidR="00000000" w:rsidRPr="004B5F16" w:rsidP="004B5F16">
      <w:pPr>
        <w:pStyle w:val="BodyText"/>
      </w:pPr>
    </w:p>
    <w:p w:rsidR="00000000" w:rsidRPr="004B5F16" w:rsidP="004B5F16">
      <w:pPr>
        <w:pStyle w:val="BodyText"/>
      </w:pPr>
      <w:r w:rsidRPr="004B5F16">
        <w:t>This un</w:t>
      </w:r>
      <w:r w:rsidRPr="004B5F16">
        <w:t>it applies in metalliferous processing plants and other plants which load bulk solids.</w:t>
      </w:r>
    </w:p>
    <w:p w:rsidR="00000000" w:rsidRPr="004B5F16" w:rsidP="004B5F16">
      <w:pPr>
        <w:pStyle w:val="BodyText"/>
      </w:pPr>
    </w:p>
    <w:p w:rsidR="00625A69" w:rsidP="004B5F16">
      <w:pPr>
        <w:pStyle w:val="BodyText"/>
      </w:pPr>
      <w:r w:rsidRPr="004B5F16">
        <w:t>This unit has been written with minerals processing plants as the specific focus. However, it could also be applied to any plant in which raw product is produced for tr</w:t>
      </w:r>
      <w:r w:rsidRPr="004B5F16">
        <w:t>ansporting for further processing, such as in the manufacture of plastics or other particulates with appropriate contextualisation.</w:t>
      </w:r>
    </w:p>
    <w:p w:rsidR="00625A69" w:rsidP="004B5F16">
      <w:pPr>
        <w:pStyle w:val="BodyText"/>
      </w:pPr>
    </w:p>
    <w:p w:rsidR="00000000" w:rsidRPr="004B5F16" w:rsidP="004B5F16">
      <w:pPr>
        <w:pStyle w:val="Heading1"/>
      </w:pPr>
      <w:bookmarkStart w:id="4" w:name="O_569072"/>
      <w:bookmarkEnd w:id="4"/>
      <w:r w:rsidRPr="004B5F16">
        <w:t>Licensing/Regulatory Information</w:t>
      </w:r>
    </w:p>
    <w:p w:rsidR="00000000" w:rsidRPr="004B5F16" w:rsidP="004B5F16">
      <w:pPr>
        <w:pStyle w:val="BodyText"/>
      </w:pPr>
      <w:r w:rsidRPr="004B5F16">
        <w:t>Not applicable.</w:t>
      </w:r>
    </w:p>
    <w:p w:rsidR="00000000" w:rsidRPr="004B5F16" w:rsidP="004B5F16">
      <w:pPr>
        <w:pStyle w:val="AllowPageBreak"/>
      </w:pPr>
    </w:p>
    <w:p w:rsidR="00000000" w:rsidRPr="004B5F16" w:rsidP="004B5F16">
      <w:pPr>
        <w:pStyle w:val="Heading1"/>
      </w:pPr>
      <w:bookmarkStart w:id="5" w:name="O_569071"/>
      <w:bookmarkEnd w:id="5"/>
      <w:r w:rsidRPr="004B5F16">
        <w:t>Pre-Requisites</w:t>
      </w:r>
    </w:p>
    <w:p w:rsidR="00000000" w:rsidRPr="004B5F16" w:rsidP="004B5F16">
      <w:pPr>
        <w:pStyle w:val="BodyText"/>
      </w:pPr>
      <w:r w:rsidRPr="004B5F16">
        <w:t>Not applicable.</w:t>
      </w:r>
    </w:p>
    <w:p w:rsidR="00000000" w:rsidRPr="004B5F16" w:rsidP="004B5F16">
      <w:pPr>
        <w:pStyle w:val="AllowPageBreak"/>
      </w:pPr>
    </w:p>
    <w:p w:rsidR="00000000" w:rsidRPr="004B5F16" w:rsidP="004B5F16">
      <w:pPr>
        <w:pStyle w:val="Heading1"/>
      </w:pPr>
      <w:bookmarkStart w:id="6" w:name="O_569070"/>
      <w:bookmarkEnd w:id="6"/>
      <w:r w:rsidRPr="004B5F16">
        <w:t>Employability Skills Information</w:t>
      </w:r>
    </w:p>
    <w:p w:rsidR="00625A69" w:rsidP="004B5F16">
      <w:pPr>
        <w:pStyle w:val="BodyText"/>
      </w:pPr>
      <w:r w:rsidRPr="004B5F16">
        <w:t>This unit contains employability skills.</w:t>
      </w:r>
    </w:p>
    <w:p w:rsidR="00625A69" w:rsidP="004B5F16">
      <w:pPr>
        <w:pStyle w:val="BodyText"/>
      </w:pPr>
    </w:p>
    <w:p w:rsidR="00000000" w:rsidRPr="004B5F16" w:rsidP="004B5F16">
      <w:pPr>
        <w:pStyle w:val="Heading1"/>
      </w:pPr>
      <w:bookmarkStart w:id="7" w:name="O_569069"/>
      <w:bookmarkEnd w:id="7"/>
      <w:r w:rsidRPr="004B5F16">
        <w:t>Elements and Performance Criteria Pre-Content</w:t>
      </w:r>
    </w:p>
    <w:tbl>
      <w:tblPr>
        <w:tblW w:w="0" w:type="auto"/>
        <w:tblCellMar>
          <w:left w:w="62" w:type="dxa"/>
          <w:right w:w="62" w:type="dxa"/>
        </w:tblCellMar>
        <w:tblLook w:val="0000"/>
      </w:tblPr>
      <w:tblGrid>
        <w:gridCol w:w="2576"/>
        <w:gridCol w:w="6620"/>
      </w:tblGrid>
      <w:tr w:rsidTr="00625A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4B5F16" w:rsidP="004B5F16">
            <w:pPr>
              <w:pStyle w:val="BodyText"/>
            </w:pPr>
            <w:r w:rsidRPr="004B5F16">
              <w:t>Performance criteria describe the performance needed to demonstrate achievement of the element. Where bold italicised text is used, further information is detailed in the required skills and knowledge section and the range statement. Assessment of performa</w:t>
            </w:r>
            <w:r w:rsidRPr="004B5F16">
              <w:t>nce is to be consistent with the evidence guide.</w:t>
            </w:r>
          </w:p>
        </w:tc>
      </w:tr>
    </w:tbl>
    <w:p w:rsidR="00625A69" w:rsidP="004B5F16">
      <w:pPr>
        <w:pStyle w:val="BodyText"/>
      </w:pPr>
    </w:p>
    <w:p w:rsidR="00625A69" w:rsidP="004B5F16">
      <w:pPr>
        <w:pStyle w:val="BodyText"/>
      </w:pPr>
    </w:p>
    <w:p w:rsidR="00000000" w:rsidRPr="004B5F16" w:rsidP="004B5F16">
      <w:pPr>
        <w:pStyle w:val="Heading1"/>
      </w:pPr>
      <w:bookmarkStart w:id="8" w:name="O_569068"/>
      <w:bookmarkEnd w:id="8"/>
      <w:r w:rsidRPr="004B5F16">
        <w:t>Elements and Performance Criteria</w:t>
      </w:r>
    </w:p>
    <w:p w:rsidR="00000000" w:rsidRPr="004B5F16" w:rsidP="004B5F16">
      <w:pPr>
        <w:pStyle w:val="BodyText"/>
      </w:pPr>
    </w:p>
    <w:tbl>
      <w:tblPr>
        <w:tblW w:w="0" w:type="auto"/>
        <w:tblLayout w:type="fixed"/>
        <w:tblCellMar>
          <w:left w:w="62" w:type="dxa"/>
          <w:right w:w="62" w:type="dxa"/>
        </w:tblCellMar>
        <w:tblLook w:val="0000"/>
      </w:tblPr>
      <w:tblGrid>
        <w:gridCol w:w="678"/>
        <w:gridCol w:w="1962"/>
        <w:gridCol w:w="770"/>
        <w:gridCol w:w="5610"/>
      </w:tblGrid>
      <w:tr w:rsidTr="004B5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1</w:t>
            </w:r>
          </w:p>
        </w:tc>
        <w:tc>
          <w:tcPr>
            <w:tcW w:w="1962" w:type="dxa"/>
            <w:vMerge w:val="restart"/>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Prepare for work</w:t>
            </w:r>
          </w:p>
        </w:tc>
        <w:tc>
          <w:tcPr>
            <w:tcW w:w="77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1.1</w:t>
            </w:r>
          </w:p>
        </w:tc>
        <w:tc>
          <w:tcPr>
            <w:tcW w:w="561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Check documentation for load-out details</w:t>
            </w:r>
          </w:p>
        </w:tc>
      </w:tr>
      <w:tr w:rsidTr="004B5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1.2</w:t>
            </w:r>
          </w:p>
        </w:tc>
        <w:tc>
          <w:tcPr>
            <w:tcW w:w="561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Identify work requirements</w:t>
            </w:r>
          </w:p>
        </w:tc>
      </w:tr>
      <w:tr w:rsidTr="004B5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1.3</w:t>
            </w:r>
          </w:p>
        </w:tc>
        <w:tc>
          <w:tcPr>
            <w:tcW w:w="561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Identify and report any hazards in accordance with procedures</w:t>
            </w:r>
          </w:p>
        </w:tc>
      </w:tr>
      <w:tr w:rsidTr="004B5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1.4</w:t>
            </w:r>
          </w:p>
        </w:tc>
        <w:tc>
          <w:tcPr>
            <w:tcW w:w="561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Coordinate with appropriate personnel</w:t>
            </w:r>
          </w:p>
        </w:tc>
      </w:tr>
      <w:tr w:rsidTr="004B5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1.5</w:t>
            </w:r>
          </w:p>
        </w:tc>
        <w:tc>
          <w:tcPr>
            <w:tcW w:w="561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Check operational status of equipment</w:t>
            </w:r>
          </w:p>
        </w:tc>
      </w:tr>
      <w:tr w:rsidTr="004B5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1.6</w:t>
            </w:r>
          </w:p>
        </w:tc>
        <w:tc>
          <w:tcPr>
            <w:tcW w:w="5610" w:type="dxa"/>
            <w:tcBorders>
              <w:top w:val="nil"/>
              <w:left w:val="nil"/>
              <w:bottom w:val="nil"/>
              <w:right w:val="nil"/>
            </w:tcBorders>
            <w:tcMar>
              <w:top w:w="0" w:type="dxa"/>
              <w:left w:w="62" w:type="dxa"/>
              <w:bottom w:w="0" w:type="dxa"/>
              <w:right w:w="62" w:type="dxa"/>
            </w:tcMar>
          </w:tcPr>
          <w:p w:rsidR="00000000" w:rsidRPr="004B5F16" w:rsidP="004B5F16">
            <w:pPr>
              <w:pStyle w:val="BodyText"/>
            </w:pPr>
            <w:r w:rsidRPr="004B5F16">
              <w:t>Complete any required pre-start checks</w:t>
            </w:r>
          </w:p>
        </w:tc>
      </w:tr>
    </w:tbl>
    <w:p w:rsidR="00000000" w:rsidRPr="004B5F16" w:rsidP="004B5F16">
      <w:pPr>
        <w:pStyle w:val="BodyText"/>
      </w:pPr>
    </w:p>
    <w:tbl>
      <w:tblPr>
        <w:tblW w:w="0" w:type="auto"/>
        <w:tblLayout w:type="fixed"/>
        <w:tblCellMar>
          <w:left w:w="62" w:type="dxa"/>
          <w:right w:w="62" w:type="dxa"/>
        </w:tblCellMar>
        <w:tblLook w:val="0000"/>
      </w:tblPr>
      <w:tblGrid>
        <w:gridCol w:w="678"/>
        <w:gridCol w:w="1962"/>
        <w:gridCol w:w="770"/>
        <w:gridCol w:w="5610"/>
      </w:tblGrid>
      <w:tr w:rsidTr="004B5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2</w:t>
            </w:r>
          </w:p>
        </w:tc>
        <w:tc>
          <w:tcPr>
            <w:tcW w:w="1962" w:type="dxa"/>
            <w:vMerge w:val="restart"/>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Manage bulk material storage and operate load-out equipment</w:t>
            </w:r>
          </w:p>
        </w:tc>
        <w:tc>
          <w:tcPr>
            <w:tcW w:w="77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2.1</w:t>
            </w:r>
          </w:p>
        </w:tc>
        <w:tc>
          <w:tcPr>
            <w:tcW w:w="561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Visually inspect storage facility and load-out equipment</w:t>
            </w:r>
          </w:p>
        </w:tc>
      </w:tr>
      <w:tr w:rsidTr="004B5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2.2</w:t>
            </w:r>
          </w:p>
        </w:tc>
        <w:tc>
          <w:tcPr>
            <w:tcW w:w="561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Determine levels of solids in storage using appropriate indicators</w:t>
            </w:r>
          </w:p>
        </w:tc>
      </w:tr>
      <w:tr w:rsidTr="004B5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2.3</w:t>
            </w:r>
          </w:p>
        </w:tc>
        <w:tc>
          <w:tcPr>
            <w:tcW w:w="561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Ensure load-out equipment is ready for operation</w:t>
            </w:r>
          </w:p>
        </w:tc>
      </w:tr>
      <w:tr w:rsidTr="004B5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2.4</w:t>
            </w:r>
          </w:p>
        </w:tc>
        <w:tc>
          <w:tcPr>
            <w:tcW w:w="561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Ensure storage discharge areas are free from obstructions</w:t>
            </w:r>
          </w:p>
        </w:tc>
      </w:tr>
      <w:tr w:rsidTr="004B5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2.5</w:t>
            </w:r>
          </w:p>
        </w:tc>
        <w:tc>
          <w:tcPr>
            <w:tcW w:w="561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Operate load-out equipment</w:t>
            </w:r>
          </w:p>
        </w:tc>
      </w:tr>
      <w:tr w:rsidTr="004B5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2.6</w:t>
            </w:r>
          </w:p>
        </w:tc>
        <w:tc>
          <w:tcPr>
            <w:tcW w:w="561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 xml:space="preserve">Monitor flow of materials as appropriate </w:t>
            </w:r>
          </w:p>
        </w:tc>
      </w:tr>
      <w:tr w:rsidTr="004B5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2.7</w:t>
            </w:r>
          </w:p>
        </w:tc>
        <w:tc>
          <w:tcPr>
            <w:tcW w:w="561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 xml:space="preserve">Ensure containment is properly sealed according to </w:t>
            </w:r>
            <w:r w:rsidRPr="004B5F16">
              <w:t>procedures after load-out</w:t>
            </w:r>
          </w:p>
        </w:tc>
      </w:tr>
      <w:tr w:rsidTr="004B5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2.8</w:t>
            </w:r>
          </w:p>
        </w:tc>
        <w:tc>
          <w:tcPr>
            <w:tcW w:w="5610" w:type="dxa"/>
            <w:tcBorders>
              <w:top w:val="nil"/>
              <w:left w:val="nil"/>
              <w:bottom w:val="nil"/>
              <w:right w:val="nil"/>
            </w:tcBorders>
            <w:tcMar>
              <w:top w:w="0" w:type="dxa"/>
              <w:left w:w="62" w:type="dxa"/>
              <w:bottom w:w="0" w:type="dxa"/>
              <w:right w:w="62" w:type="dxa"/>
            </w:tcMar>
          </w:tcPr>
          <w:p w:rsidR="00000000" w:rsidRPr="004B5F16" w:rsidP="004B5F16">
            <w:pPr>
              <w:pStyle w:val="BodyText"/>
            </w:pPr>
            <w:r w:rsidRPr="004B5F16">
              <w:t>Move containment to transhipment area</w:t>
            </w:r>
          </w:p>
        </w:tc>
      </w:tr>
    </w:tbl>
    <w:p w:rsidR="00000000" w:rsidRPr="004B5F16" w:rsidP="004B5F16">
      <w:pPr>
        <w:pStyle w:val="BodyText"/>
      </w:pPr>
    </w:p>
    <w:tbl>
      <w:tblPr>
        <w:tblW w:w="0" w:type="auto"/>
        <w:tblLayout w:type="fixed"/>
        <w:tblCellMar>
          <w:left w:w="62" w:type="dxa"/>
          <w:right w:w="62" w:type="dxa"/>
        </w:tblCellMar>
        <w:tblLook w:val="0000"/>
      </w:tblPr>
      <w:tblGrid>
        <w:gridCol w:w="678"/>
        <w:gridCol w:w="1962"/>
        <w:gridCol w:w="770"/>
        <w:gridCol w:w="5610"/>
      </w:tblGrid>
      <w:tr w:rsidTr="004B5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3</w:t>
            </w:r>
          </w:p>
        </w:tc>
        <w:tc>
          <w:tcPr>
            <w:tcW w:w="1962" w:type="dxa"/>
            <w:vMerge w:val="restart"/>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 xml:space="preserve">Recognise problems and take appropriate action </w:t>
            </w:r>
          </w:p>
        </w:tc>
        <w:tc>
          <w:tcPr>
            <w:tcW w:w="77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3.1</w:t>
            </w:r>
          </w:p>
        </w:tc>
        <w:tc>
          <w:tcPr>
            <w:tcW w:w="561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Monitor plant frequently and critically throughout shift using measured/indicated data and senses (e.g. sight and hearing), as appropriate</w:t>
            </w:r>
          </w:p>
        </w:tc>
      </w:tr>
      <w:tr w:rsidTr="004B5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3.2</w:t>
            </w:r>
          </w:p>
        </w:tc>
        <w:tc>
          <w:tcPr>
            <w:tcW w:w="561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Recognise developing situations which may require action</w:t>
            </w:r>
          </w:p>
        </w:tc>
      </w:tr>
      <w:tr w:rsidTr="004B5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3.3</w:t>
            </w:r>
          </w:p>
        </w:tc>
        <w:tc>
          <w:tcPr>
            <w:tcW w:w="561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Identify and rectify/report faults in accordance with established enterprise procedures</w:t>
            </w:r>
          </w:p>
        </w:tc>
      </w:tr>
      <w:tr w:rsidTr="004B5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3.4</w:t>
            </w:r>
          </w:p>
        </w:tc>
        <w:tc>
          <w:tcPr>
            <w:tcW w:w="561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Identify non-routine problems and report according to procedures</w:t>
            </w:r>
          </w:p>
        </w:tc>
      </w:tr>
      <w:tr w:rsidTr="004B5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3.5</w:t>
            </w:r>
          </w:p>
        </w:tc>
        <w:tc>
          <w:tcPr>
            <w:tcW w:w="5610" w:type="dxa"/>
            <w:tcBorders>
              <w:top w:val="nil"/>
              <w:left w:val="nil"/>
              <w:bottom w:val="nil"/>
              <w:right w:val="nil"/>
            </w:tcBorders>
            <w:tcMar>
              <w:top w:w="0" w:type="dxa"/>
              <w:left w:w="62" w:type="dxa"/>
              <w:bottom w:w="0" w:type="dxa"/>
              <w:right w:w="62" w:type="dxa"/>
            </w:tcMar>
          </w:tcPr>
          <w:p w:rsidR="00000000" w:rsidRPr="004B5F16" w:rsidP="004B5F16">
            <w:pPr>
              <w:pStyle w:val="BodyText"/>
            </w:pPr>
            <w:r w:rsidRPr="004B5F16">
              <w:t>Complete appropriate records and log books of equipment operations to meet enterprise requirements</w:t>
            </w:r>
          </w:p>
        </w:tc>
      </w:tr>
    </w:tbl>
    <w:p w:rsidR="00000000" w:rsidRPr="004B5F16" w:rsidP="004B5F16">
      <w:pPr>
        <w:pStyle w:val="BodyText"/>
      </w:pPr>
    </w:p>
    <w:tbl>
      <w:tblPr>
        <w:tblW w:w="0" w:type="auto"/>
        <w:tblLayout w:type="fixed"/>
        <w:tblCellMar>
          <w:left w:w="62" w:type="dxa"/>
          <w:right w:w="62" w:type="dxa"/>
        </w:tblCellMar>
        <w:tblLook w:val="0000"/>
      </w:tblPr>
      <w:tblGrid>
        <w:gridCol w:w="678"/>
        <w:gridCol w:w="1962"/>
        <w:gridCol w:w="770"/>
        <w:gridCol w:w="5610"/>
      </w:tblGrid>
      <w:tr w:rsidTr="004B5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4</w:t>
            </w:r>
          </w:p>
        </w:tc>
        <w:tc>
          <w:tcPr>
            <w:tcW w:w="1962" w:type="dxa"/>
            <w:vMerge w:val="restart"/>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Carry out maintenance procedures</w:t>
            </w:r>
          </w:p>
        </w:tc>
        <w:tc>
          <w:tcPr>
            <w:tcW w:w="77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4.1</w:t>
            </w:r>
          </w:p>
        </w:tc>
        <w:tc>
          <w:tcPr>
            <w:tcW w:w="561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Recognise a maintenance need according to procedure</w:t>
            </w:r>
          </w:p>
        </w:tc>
      </w:tr>
      <w:tr w:rsidTr="004B5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4.2</w:t>
            </w:r>
          </w:p>
        </w:tc>
        <w:tc>
          <w:tcPr>
            <w:tcW w:w="561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Isolate loading equipment and prepare for maintenance</w:t>
            </w:r>
          </w:p>
        </w:tc>
      </w:tr>
      <w:tr w:rsidTr="004B5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4.3</w:t>
            </w:r>
          </w:p>
        </w:tc>
        <w:tc>
          <w:tcPr>
            <w:tcW w:w="561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Complete minor maintenance according to procedures</w:t>
            </w:r>
          </w:p>
        </w:tc>
      </w:tr>
      <w:tr w:rsidTr="004B5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4.4</w:t>
            </w:r>
          </w:p>
        </w:tc>
        <w:tc>
          <w:tcPr>
            <w:tcW w:w="561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Receive plant back from maintenance and check for safe operation</w:t>
            </w:r>
          </w:p>
        </w:tc>
      </w:tr>
      <w:tr w:rsidTr="004B5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4.5</w:t>
            </w:r>
          </w:p>
        </w:tc>
        <w:tc>
          <w:tcPr>
            <w:tcW w:w="5610" w:type="dxa"/>
            <w:tcBorders>
              <w:top w:val="nil"/>
              <w:left w:val="nil"/>
              <w:bottom w:val="nil"/>
              <w:right w:val="nil"/>
            </w:tcBorders>
            <w:tcMar>
              <w:top w:w="0" w:type="dxa"/>
              <w:left w:w="62" w:type="dxa"/>
              <w:bottom w:w="0" w:type="dxa"/>
              <w:right w:w="62" w:type="dxa"/>
            </w:tcMar>
          </w:tcPr>
          <w:p w:rsidR="00000000" w:rsidRPr="004B5F16" w:rsidP="004B5F16">
            <w:pPr>
              <w:pStyle w:val="BodyText"/>
            </w:pPr>
            <w:r w:rsidRPr="004B5F16">
              <w:t>Prepare plant for the introduction of materials and for operation</w:t>
            </w:r>
          </w:p>
        </w:tc>
      </w:tr>
    </w:tbl>
    <w:p w:rsidR="00000000" w:rsidRPr="004B5F16" w:rsidP="004B5F16">
      <w:pPr>
        <w:pStyle w:val="BodyText"/>
      </w:pPr>
    </w:p>
    <w:tbl>
      <w:tblPr>
        <w:tblW w:w="0" w:type="auto"/>
        <w:tblLayout w:type="fixed"/>
        <w:tblCellMar>
          <w:left w:w="62" w:type="dxa"/>
          <w:right w:w="62" w:type="dxa"/>
        </w:tblCellMar>
        <w:tblLook w:val="0000"/>
      </w:tblPr>
      <w:tblGrid>
        <w:gridCol w:w="678"/>
        <w:gridCol w:w="1962"/>
        <w:gridCol w:w="770"/>
        <w:gridCol w:w="5610"/>
      </w:tblGrid>
      <w:tr w:rsidTr="004B5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5</w:t>
            </w:r>
          </w:p>
        </w:tc>
        <w:tc>
          <w:tcPr>
            <w:tcW w:w="1962" w:type="dxa"/>
            <w:vMerge w:val="restart"/>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Control hazards</w:t>
            </w:r>
          </w:p>
        </w:tc>
        <w:tc>
          <w:tcPr>
            <w:tcW w:w="77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5.1</w:t>
            </w:r>
          </w:p>
        </w:tc>
        <w:tc>
          <w:tcPr>
            <w:tcW w:w="561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Identify hazards in the load-out work area</w:t>
            </w:r>
          </w:p>
        </w:tc>
      </w:tr>
      <w:tr w:rsidTr="004B5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5.2</w:t>
            </w:r>
          </w:p>
        </w:tc>
        <w:tc>
          <w:tcPr>
            <w:tcW w:w="561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Assess the risks arising from those hazards</w:t>
            </w:r>
          </w:p>
        </w:tc>
      </w:tr>
      <w:tr w:rsidTr="004B5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5.3</w:t>
            </w:r>
          </w:p>
        </w:tc>
        <w:tc>
          <w:tcPr>
            <w:tcW w:w="561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Implement measures to control those risks in line with procedures</w:t>
            </w:r>
          </w:p>
        </w:tc>
      </w:tr>
      <w:tr w:rsidTr="004B5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5.4</w:t>
            </w:r>
          </w:p>
        </w:tc>
        <w:tc>
          <w:tcPr>
            <w:tcW w:w="5610" w:type="dxa"/>
            <w:tcBorders>
              <w:top w:val="nil"/>
              <w:left w:val="nil"/>
              <w:bottom w:val="nil"/>
              <w:right w:val="nil"/>
            </w:tcBorders>
            <w:tcMar>
              <w:top w:w="0" w:type="dxa"/>
              <w:left w:w="62" w:type="dxa"/>
              <w:bottom w:w="0" w:type="dxa"/>
              <w:right w:w="62" w:type="dxa"/>
            </w:tcMar>
          </w:tcPr>
          <w:p w:rsidR="00000000" w:rsidRPr="004B5F16" w:rsidP="004B5F16">
            <w:pPr>
              <w:pStyle w:val="BodyText"/>
            </w:pPr>
            <w:r w:rsidRPr="004B5F16">
              <w:t>Shut down load-out equipment in an emergency, as required</w:t>
            </w:r>
          </w:p>
        </w:tc>
      </w:tr>
    </w:tbl>
    <w:p w:rsidR="00625A69" w:rsidP="004B5F16">
      <w:pPr>
        <w:pStyle w:val="BodyText"/>
      </w:pPr>
    </w:p>
    <w:p w:rsidR="00625A69" w:rsidP="004B5F16">
      <w:pPr>
        <w:pStyle w:val="BodyText"/>
      </w:pPr>
    </w:p>
    <w:p w:rsidR="00000000" w:rsidRPr="004B5F16" w:rsidP="004B5F16">
      <w:pPr>
        <w:pStyle w:val="Heading1"/>
      </w:pPr>
      <w:bookmarkStart w:id="9" w:name="O_569067"/>
      <w:bookmarkEnd w:id="9"/>
      <w:r w:rsidRPr="004B5F16">
        <w:t>Required Skills and Knowledge</w:t>
      </w:r>
    </w:p>
    <w:tbl>
      <w:tblPr>
        <w:tblW w:w="0" w:type="auto"/>
        <w:tblLayout w:type="fixed"/>
        <w:tblCellMar>
          <w:left w:w="62" w:type="dxa"/>
          <w:right w:w="62" w:type="dxa"/>
        </w:tblCellMar>
        <w:tblLook w:val="0000"/>
      </w:tblPr>
      <w:tblGrid>
        <w:gridCol w:w="9072"/>
      </w:tblGrid>
      <w:tr w:rsidTr="004B5F16">
        <w:tblPrEx>
          <w:tblW w:w="0" w:type="auto"/>
          <w:tblLayout w:type="fixed"/>
          <w:tblCellMar>
            <w:left w:w="62" w:type="dxa"/>
            <w:right w:w="62" w:type="dxa"/>
          </w:tblCellMar>
          <w:tblLook w:val="0000"/>
        </w:tblPrEx>
        <w:trPr>
          <w:trHeight w:val="264"/>
        </w:trPr>
        <w:tc>
          <w:tcPr>
            <w:tcW w:w="9072"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This section describes the skills and knowledge required for this unit.</w:t>
            </w:r>
          </w:p>
        </w:tc>
      </w:tr>
      <w:tr w:rsidTr="004B5F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p>
        </w:tc>
      </w:tr>
      <w:tr w:rsidTr="004B5F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rPr>
                <w:rStyle w:val="SpecialBold"/>
              </w:rPr>
              <w:t>Required skills</w:t>
            </w:r>
          </w:p>
        </w:tc>
      </w:tr>
      <w:tr w:rsidTr="004B5F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B5F16" w:rsidP="004B5F16">
            <w:pPr>
              <w:pStyle w:val="BodyText"/>
            </w:pPr>
            <w:r w:rsidRPr="004B5F16">
              <w:t>Required skills include:</w:t>
            </w:r>
          </w:p>
          <w:p w:rsidR="00000000" w:rsidRPr="004B5F16" w:rsidP="004B5F16">
            <w:pPr>
              <w:pStyle w:val="ListBullet"/>
            </w:pPr>
            <w:r w:rsidRPr="004B5F16">
              <w:t>recognising conditions which will lead to out of specification operation</w:t>
            </w:r>
          </w:p>
          <w:p w:rsidR="00000000" w:rsidRPr="004B5F16" w:rsidP="004B5F16">
            <w:pPr>
              <w:pStyle w:val="ListBullet"/>
            </w:pPr>
            <w:r w:rsidRPr="004B5F16">
              <w:t>implementing enterprise procedures within time constraints and in a manner relevant to the correct use of the equipment</w:t>
            </w:r>
          </w:p>
          <w:p w:rsidR="00000000" w:rsidRPr="004B5F16" w:rsidP="004B5F16">
            <w:pPr>
              <w:pStyle w:val="ListBullet"/>
            </w:pPr>
            <w:r w:rsidRPr="004B5F16">
              <w:t>operating skills sufficient to correctly operate the equipment</w:t>
            </w:r>
          </w:p>
          <w:p w:rsidR="00000000" w:rsidRPr="004B5F16" w:rsidP="004B5F16">
            <w:pPr>
              <w:pStyle w:val="ListBullet"/>
            </w:pPr>
            <w:r w:rsidRPr="004B5F16">
              <w:t>conveying information relevant to the operation clearly and effectively</w:t>
            </w:r>
          </w:p>
          <w:p w:rsidR="00000000" w:rsidRPr="004B5F16" w:rsidP="004B5F16">
            <w:pPr>
              <w:pStyle w:val="ListBullet"/>
            </w:pPr>
            <w:r w:rsidRPr="004B5F16">
              <w:t>r</w:t>
            </w:r>
            <w:r w:rsidRPr="004B5F16">
              <w:t>eading and numeracy to interpret workplace documents and technical information</w:t>
            </w:r>
          </w:p>
          <w:p w:rsidR="00000000" w:rsidP="004B5F16">
            <w:pPr>
              <w:pStyle w:val="ListBullet"/>
              <w:rPr>
                <w:lang w:val="en-NZ"/>
              </w:rPr>
            </w:pPr>
            <w:r w:rsidRPr="004B5F16">
              <w:t>applying mathematics to the level necessary to monitor instrumentation</w:t>
            </w:r>
          </w:p>
        </w:tc>
      </w:tr>
      <w:tr w:rsidTr="004B5F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rPr>
                <w:rStyle w:val="SpecialBold"/>
              </w:rPr>
              <w:t>Required knowledge</w:t>
            </w:r>
          </w:p>
        </w:tc>
      </w:tr>
      <w:tr w:rsidTr="004B5F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B5F16" w:rsidP="004B5F16">
            <w:pPr>
              <w:pStyle w:val="BodyText"/>
            </w:pPr>
            <w:r w:rsidRPr="004B5F16">
              <w:t>Required knowledge, to the breadth and depth required for the operation of bulk particulates loading equipment, includes:</w:t>
            </w:r>
          </w:p>
          <w:p w:rsidR="00000000" w:rsidRPr="004B5F16" w:rsidP="004B5F16">
            <w:pPr>
              <w:pStyle w:val="ListBullet"/>
            </w:pPr>
            <w:r w:rsidRPr="004B5F16">
              <w:t>principles of operation of load-out equipment</w:t>
            </w:r>
          </w:p>
          <w:p w:rsidR="00000000" w:rsidRPr="004B5F16" w:rsidP="004B5F16">
            <w:pPr>
              <w:pStyle w:val="ListBullet"/>
            </w:pPr>
            <w:r w:rsidRPr="004B5F16">
              <w:t>process parameters and limits</w:t>
            </w:r>
          </w:p>
          <w:p w:rsidR="00000000" w:rsidRPr="004B5F16" w:rsidP="004B5F16">
            <w:pPr>
              <w:pStyle w:val="ListBullet"/>
            </w:pPr>
            <w:r w:rsidRPr="004B5F16">
              <w:t>duty of care obligations</w:t>
            </w:r>
          </w:p>
          <w:p w:rsidR="00000000" w:rsidRPr="004B5F16" w:rsidP="004B5F16">
            <w:pPr>
              <w:pStyle w:val="ListBullet"/>
            </w:pPr>
            <w:r w:rsidRPr="004B5F16">
              <w:t xml:space="preserve">typical issues causing problems </w:t>
            </w:r>
            <w:r w:rsidRPr="004B5F16">
              <w:t>and the resolution of those problems</w:t>
            </w:r>
          </w:p>
          <w:p w:rsidR="00000000" w:rsidRPr="004B5F16" w:rsidP="004B5F16">
            <w:pPr>
              <w:pStyle w:val="ListBullet"/>
            </w:pPr>
            <w:r w:rsidRPr="004B5F16">
              <w:t>routine problems, faults and their symptoms and the corrective action to be taken</w:t>
            </w:r>
          </w:p>
          <w:p w:rsidR="00000000" w:rsidRPr="004B5F16" w:rsidP="004B5F16">
            <w:pPr>
              <w:pStyle w:val="ListBullet"/>
            </w:pPr>
            <w:r w:rsidRPr="004B5F16">
              <w:t>relevant alarms and actions</w:t>
            </w:r>
          </w:p>
          <w:p w:rsidR="00000000" w:rsidRPr="004B5F16" w:rsidP="004B5F16">
            <w:pPr>
              <w:pStyle w:val="ListBullet"/>
            </w:pPr>
            <w:r w:rsidRPr="004B5F16">
              <w:t>plant process idiosyncrasies</w:t>
            </w:r>
          </w:p>
          <w:p w:rsidR="00000000" w:rsidRPr="004B5F16" w:rsidP="004B5F16">
            <w:pPr>
              <w:pStyle w:val="ListBullet"/>
            </w:pPr>
            <w:r w:rsidRPr="004B5F16">
              <w:t>relevant environmental and heritage requirements</w:t>
            </w:r>
          </w:p>
          <w:p w:rsidR="00000000" w:rsidRPr="004B5F16" w:rsidP="004B5F16">
            <w:pPr>
              <w:pStyle w:val="ListBullet"/>
            </w:pPr>
            <w:r w:rsidRPr="004B5F16">
              <w:t>distinguish between causes of p</w:t>
            </w:r>
            <w:r w:rsidRPr="004B5F16">
              <w:t>roblems, such as:</w:t>
            </w:r>
          </w:p>
          <w:p w:rsidR="00000000" w:rsidRPr="004B5F16" w:rsidP="004B5F16">
            <w:pPr>
              <w:pStyle w:val="ListBullet2"/>
            </w:pPr>
            <w:r w:rsidRPr="004B5F16">
              <w:t>material</w:t>
            </w:r>
          </w:p>
          <w:p w:rsidR="00000000" w:rsidRPr="004B5F16" w:rsidP="004B5F16">
            <w:pPr>
              <w:pStyle w:val="ListBullet2"/>
            </w:pPr>
            <w:r w:rsidRPr="004B5F16">
              <w:t>instrument</w:t>
            </w:r>
          </w:p>
          <w:p w:rsidR="00000000" w:rsidRPr="004B5F16" w:rsidP="004B5F16">
            <w:pPr>
              <w:pStyle w:val="ListBullet2"/>
            </w:pPr>
            <w:r w:rsidRPr="004B5F16">
              <w:t>equipment (electrical/mechanical)</w:t>
            </w:r>
          </w:p>
          <w:p w:rsidR="00000000" w:rsidRPr="004B5F16" w:rsidP="004B5F16">
            <w:pPr>
              <w:pStyle w:val="ListBullet2"/>
            </w:pPr>
            <w:r w:rsidRPr="004B5F16">
              <w:t xml:space="preserve">maintenance </w:t>
            </w:r>
          </w:p>
          <w:p w:rsidR="00000000" w:rsidRPr="004B5F16" w:rsidP="004B5F16">
            <w:pPr>
              <w:pStyle w:val="ListBullet"/>
            </w:pPr>
            <w:r w:rsidRPr="004B5F16">
              <w:t xml:space="preserve">relevant work health and safety (WHS) and environmental requirements, along with </w:t>
            </w:r>
            <w:r w:rsidRPr="004B5F16">
              <w:t>an ability to implement them within appropriate time constraints and in a manner which is relevant to the operation of the materials load-out equipment</w:t>
            </w:r>
          </w:p>
        </w:tc>
      </w:tr>
    </w:tbl>
    <w:p w:rsidR="00000000" w:rsidRPr="004B5F16" w:rsidP="004B5F16">
      <w:pPr>
        <w:pStyle w:val="BodyText"/>
      </w:pPr>
    </w:p>
    <w:p w:rsidR="00000000" w:rsidRPr="004B5F16" w:rsidP="004B5F16">
      <w:pPr>
        <w:pStyle w:val="AllowPageBreak"/>
      </w:pPr>
    </w:p>
    <w:p w:rsidR="00000000" w:rsidRPr="004B5F16" w:rsidP="004B5F16">
      <w:pPr>
        <w:pStyle w:val="Heading1"/>
      </w:pPr>
      <w:bookmarkStart w:id="10" w:name="O_569066"/>
      <w:bookmarkEnd w:id="10"/>
      <w:r w:rsidRPr="004B5F16">
        <w:t>Evidence Guide</w:t>
      </w:r>
    </w:p>
    <w:tbl>
      <w:tblPr>
        <w:tblW w:w="0" w:type="auto"/>
        <w:tblLayout w:type="fixed"/>
        <w:tblCellMar>
          <w:left w:w="62" w:type="dxa"/>
          <w:right w:w="62" w:type="dxa"/>
        </w:tblCellMar>
        <w:tblLook w:val="0000"/>
      </w:tblPr>
      <w:tblGrid>
        <w:gridCol w:w="3648"/>
        <w:gridCol w:w="5352"/>
      </w:tblGrid>
      <w:tr w:rsidTr="004B5F1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 xml:space="preserve">The </w:t>
            </w:r>
            <w:r w:rsidRPr="004B5F16">
              <w:t>evidence guide provides advice on assessment and must be read in conjunction with the performance criteria required skills and knowledge range statement and the Assessment Guidelines for the Training Package.</w:t>
            </w:r>
          </w:p>
        </w:tc>
      </w:tr>
      <w:tr w:rsidTr="004B5F16">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rPr>
                <w:rStyle w:val="SpecialBold"/>
              </w:rPr>
              <w:t xml:space="preserve">Critical aspects for assessment and evidence </w:t>
            </w:r>
            <w:r w:rsidRPr="004B5F16">
              <w:rPr>
                <w:rStyle w:val="SpecialBold"/>
              </w:rPr>
              <w:t>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4B5F16" w:rsidP="004B5F16">
            <w:pPr>
              <w:pStyle w:val="BodyText"/>
            </w:pPr>
            <w:r w:rsidRPr="004B5F16">
              <w:t>Critical aspects for assessment and evidence are:</w:t>
            </w:r>
          </w:p>
          <w:p w:rsidR="00000000" w:rsidRPr="004B5F16" w:rsidP="004B5F16">
            <w:pPr>
              <w:pStyle w:val="ListBullet"/>
            </w:pPr>
            <w:r w:rsidRPr="004B5F16">
              <w:t>early warning signs of equipment/processes needing attention or with potential problems are recognised</w:t>
            </w:r>
          </w:p>
          <w:p w:rsidR="00000000" w:rsidRPr="004B5F16" w:rsidP="004B5F16">
            <w:pPr>
              <w:pStyle w:val="ListBullet"/>
            </w:pPr>
            <w:r w:rsidRPr="004B5F16">
              <w:t>the range of possible causes can be identified and ana</w:t>
            </w:r>
            <w:r w:rsidRPr="004B5F16">
              <w:t>lysed and the most likely cause determined</w:t>
            </w:r>
          </w:p>
          <w:p w:rsidR="00000000" w:rsidP="004B5F16">
            <w:pPr>
              <w:pStyle w:val="ListBullet"/>
              <w:rPr>
                <w:lang w:val="en-NZ"/>
              </w:rPr>
            </w:pPr>
            <w:r w:rsidRPr="004B5F16">
              <w:t>appropriate action is taken to ensure a timely return to full performance.</w:t>
            </w:r>
          </w:p>
        </w:tc>
      </w:tr>
      <w:tr w:rsidTr="004B5F16">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rPr>
                <w:rStyle w:val="SpecialBold"/>
              </w:rPr>
              <w:t>Context of and specific resources for assessment</w:t>
            </w:r>
          </w:p>
        </w:tc>
        <w:tc>
          <w:tcPr>
            <w:tcW w:w="5352"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Assessment of this competency will occur over a range of situations which will include typical disruptions to normal, smooth operation. This will require access to an operating plant over an extended period of time, or a suitable method of gathering eviden</w:t>
            </w:r>
            <w:r w:rsidRPr="004B5F16">
              <w:t>ce of operating ability. Where safety, lack of opportunity or significant cost is an issue an industry-based simulation may be employed to assist the process.</w:t>
            </w:r>
          </w:p>
        </w:tc>
      </w:tr>
      <w:tr w:rsidTr="004B5F16">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rPr>
                <w:rStyle w:val="SpecialBold"/>
              </w:rPr>
              <w:t>Guidance information for assessment</w:t>
            </w:r>
          </w:p>
        </w:tc>
        <w:tc>
          <w:tcPr>
            <w:tcW w:w="5352" w:type="dxa"/>
            <w:tcBorders>
              <w:top w:val="nil"/>
              <w:left w:val="nil"/>
              <w:bottom w:val="nil"/>
              <w:right w:val="nil"/>
            </w:tcBorders>
            <w:tcMar>
              <w:top w:w="0" w:type="dxa"/>
              <w:left w:w="62" w:type="dxa"/>
              <w:bottom w:w="0" w:type="dxa"/>
              <w:right w:w="62" w:type="dxa"/>
            </w:tcMar>
          </w:tcPr>
          <w:p w:rsidR="00000000" w:rsidRPr="004B5F16" w:rsidP="004B5F16">
            <w:pPr>
              <w:pStyle w:val="BodyText"/>
            </w:pPr>
            <w:r w:rsidRPr="004B5F16">
              <w:t>Assessment processes and techniques must be appropriate to t</w:t>
            </w:r>
            <w:r w:rsidRPr="004B5F16">
              <w:t>he language, competency and safety requirements of the site and consistent with workplace systems or procedures.</w:t>
            </w:r>
          </w:p>
        </w:tc>
      </w:tr>
    </w:tbl>
    <w:p w:rsidR="00000000" w:rsidRPr="004B5F16" w:rsidP="004B5F16">
      <w:pPr>
        <w:pStyle w:val="BodyText"/>
      </w:pPr>
    </w:p>
    <w:p w:rsidR="00000000" w:rsidRPr="004B5F16" w:rsidP="004B5F16">
      <w:pPr>
        <w:pStyle w:val="AllowPageBreak"/>
      </w:pPr>
    </w:p>
    <w:p w:rsidR="00000000" w:rsidRPr="004B5F16" w:rsidP="004B5F16">
      <w:pPr>
        <w:pStyle w:val="Heading1"/>
      </w:pPr>
      <w:bookmarkStart w:id="11" w:name="O_569065"/>
      <w:bookmarkEnd w:id="11"/>
      <w:r w:rsidRPr="004B5F16">
        <w:t>Range Statement</w:t>
      </w:r>
    </w:p>
    <w:tbl>
      <w:tblPr>
        <w:tblW w:w="0" w:type="auto"/>
        <w:tblLayout w:type="fixed"/>
        <w:tblCellMar>
          <w:left w:w="62" w:type="dxa"/>
          <w:right w:w="62" w:type="dxa"/>
        </w:tblCellMar>
        <w:tblLook w:val="0000"/>
      </w:tblPr>
      <w:tblGrid>
        <w:gridCol w:w="3674"/>
        <w:gridCol w:w="5398"/>
      </w:tblGrid>
      <w:tr w:rsidTr="004B5F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 xml:space="preserve">The range statement relates to the unit of competency as a whole. It allows for different work environments </w:t>
            </w:r>
            <w:r w:rsidRPr="004B5F16">
              <w:t>and situations that may affect performance. Bold italicised wording, if used in the performance criteria, is detailed below. Essential operating conditions that may be present with training and assessment (depending on the work situation, needs of the cand</w:t>
            </w:r>
            <w:r w:rsidRPr="004B5F16">
              <w:t>idate, accessibility of the item, and local industry and regional contexts) may also be included.</w:t>
            </w:r>
          </w:p>
        </w:tc>
      </w:tr>
      <w:tr w:rsidTr="004B5F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5F16">
            <w:pPr>
              <w:pStyle w:val="BodyText"/>
              <w:rPr>
                <w:lang w:val="en-NZ"/>
              </w:rPr>
            </w:pPr>
          </w:p>
        </w:tc>
      </w:tr>
      <w:tr w:rsidTr="004B5F16">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rPr>
                <w:rStyle w:val="SpecialBold"/>
              </w:rPr>
              <w:t>Procedures</w:t>
            </w:r>
          </w:p>
        </w:tc>
        <w:tc>
          <w:tcPr>
            <w:tcW w:w="5398" w:type="dxa"/>
            <w:tcBorders>
              <w:top w:val="nil"/>
              <w:left w:val="nil"/>
              <w:bottom w:val="nil"/>
              <w:right w:val="nil"/>
            </w:tcBorders>
            <w:tcMar>
              <w:top w:w="0" w:type="dxa"/>
              <w:left w:w="62" w:type="dxa"/>
              <w:bottom w:w="0" w:type="dxa"/>
              <w:right w:w="62" w:type="dxa"/>
            </w:tcMar>
          </w:tcPr>
          <w:p w:rsidR="00000000" w:rsidRPr="004B5F16" w:rsidP="004B5F16">
            <w:pPr>
              <w:pStyle w:val="BodyText"/>
            </w:pPr>
            <w:r w:rsidRPr="004B5F16">
              <w:t>Procedures may be written, verbal, computer-based or in some other form. They may include, but are not limited to:</w:t>
            </w:r>
          </w:p>
          <w:p w:rsidR="00000000" w:rsidRPr="004B5F16" w:rsidP="004B5F16">
            <w:pPr>
              <w:pStyle w:val="ListBullet"/>
            </w:pPr>
            <w:r w:rsidRPr="004B5F16">
              <w:t>all work instructions</w:t>
            </w:r>
          </w:p>
          <w:p w:rsidR="00000000" w:rsidRPr="004B5F16" w:rsidP="004B5F16">
            <w:pPr>
              <w:pStyle w:val="ListBullet"/>
            </w:pPr>
            <w:r w:rsidRPr="004B5F16">
              <w:t>standard operating procedures</w:t>
            </w:r>
          </w:p>
          <w:p w:rsidR="00000000" w:rsidRPr="004B5F16" w:rsidP="004B5F16">
            <w:pPr>
              <w:pStyle w:val="ListBullet"/>
            </w:pPr>
            <w:r w:rsidRPr="004B5F16">
              <w:t>formulas/recipes</w:t>
            </w:r>
          </w:p>
          <w:p w:rsidR="00000000" w:rsidRPr="004B5F16" w:rsidP="004B5F16">
            <w:pPr>
              <w:pStyle w:val="ListBullet"/>
            </w:pPr>
            <w:r w:rsidRPr="004B5F16">
              <w:t>batch sheets</w:t>
            </w:r>
          </w:p>
          <w:p w:rsidR="00000000" w:rsidRPr="004B5F16" w:rsidP="004B5F16">
            <w:pPr>
              <w:pStyle w:val="ListBullet"/>
            </w:pPr>
            <w:r w:rsidRPr="004B5F16">
              <w:t>temporary instructions</w:t>
            </w:r>
          </w:p>
          <w:p w:rsidR="00000000" w:rsidRPr="004B5F16" w:rsidP="004B5F16">
            <w:pPr>
              <w:pStyle w:val="ListBullet"/>
            </w:pPr>
            <w:r w:rsidRPr="004B5F16">
              <w:t>any similar instructions provided for the smooth running of the plant</w:t>
            </w:r>
          </w:p>
          <w:p w:rsidR="00000000" w:rsidRPr="004B5F16" w:rsidP="004B5F16">
            <w:pPr>
              <w:pStyle w:val="ListBullet"/>
            </w:pPr>
            <w:r w:rsidRPr="004B5F16">
              <w:t>good operating practice as may be defined by industry codes of practice</w:t>
            </w:r>
          </w:p>
          <w:p w:rsidR="00000000" w:rsidP="004B5F16">
            <w:pPr>
              <w:pStyle w:val="BodyText"/>
              <w:rPr>
                <w:lang w:val="en-NZ"/>
              </w:rPr>
            </w:pPr>
            <w:r w:rsidRPr="004B5F16">
              <w:t>Procedures would be expected to</w:t>
            </w:r>
            <w:r w:rsidRPr="004B5F16">
              <w:t xml:space="preserve"> comply with any relevant government regulations.</w:t>
            </w:r>
          </w:p>
        </w:tc>
      </w:tr>
      <w:tr w:rsidTr="004B5F16">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rPr>
                <w:rStyle w:val="SpecialBold"/>
              </w:rPr>
              <w:t>Logs and reports</w:t>
            </w:r>
          </w:p>
        </w:tc>
        <w:tc>
          <w:tcPr>
            <w:tcW w:w="5398" w:type="dxa"/>
            <w:tcBorders>
              <w:top w:val="nil"/>
              <w:left w:val="nil"/>
              <w:bottom w:val="nil"/>
              <w:right w:val="nil"/>
            </w:tcBorders>
            <w:tcMar>
              <w:top w:w="0" w:type="dxa"/>
              <w:left w:w="62" w:type="dxa"/>
              <w:bottom w:w="0" w:type="dxa"/>
              <w:right w:w="62" w:type="dxa"/>
            </w:tcMar>
          </w:tcPr>
          <w:p w:rsidR="00000000" w:rsidRPr="004B5F16" w:rsidP="004B5F16">
            <w:pPr>
              <w:pStyle w:val="BodyText"/>
            </w:pPr>
            <w:r w:rsidRPr="004B5F16">
              <w:t>Logs and reports may include:</w:t>
            </w:r>
          </w:p>
          <w:p w:rsidR="00000000" w:rsidRPr="004B5F16" w:rsidP="004B5F16">
            <w:pPr>
              <w:pStyle w:val="ListBullet"/>
            </w:pPr>
            <w:r w:rsidRPr="004B5F16">
              <w:t>paper or electronic-based logs and reports</w:t>
            </w:r>
          </w:p>
          <w:p w:rsidR="00000000" w:rsidRPr="004B5F16" w:rsidP="004B5F16">
            <w:pPr>
              <w:pStyle w:val="ListBullet"/>
            </w:pPr>
            <w:r w:rsidRPr="004B5F16">
              <w:t>verbal/radio reports</w:t>
            </w:r>
          </w:p>
          <w:p w:rsidR="00000000" w:rsidP="004B5F16">
            <w:pPr>
              <w:pStyle w:val="ListBullet"/>
              <w:rPr>
                <w:lang w:val="en-NZ"/>
              </w:rPr>
            </w:pPr>
            <w:r w:rsidRPr="004B5F16">
              <w:t>reporting items found which require action</w:t>
            </w:r>
          </w:p>
        </w:tc>
      </w:tr>
      <w:tr w:rsidTr="004B5F16">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rPr>
                <w:rStyle w:val="SpecialBold"/>
              </w:rPr>
              <w:t>Appropriate action</w:t>
            </w:r>
          </w:p>
        </w:tc>
        <w:tc>
          <w:tcPr>
            <w:tcW w:w="5398" w:type="dxa"/>
            <w:tcBorders>
              <w:top w:val="nil"/>
              <w:left w:val="nil"/>
              <w:bottom w:val="nil"/>
              <w:right w:val="nil"/>
            </w:tcBorders>
            <w:tcMar>
              <w:top w:w="0" w:type="dxa"/>
              <w:left w:w="62" w:type="dxa"/>
              <w:bottom w:w="0" w:type="dxa"/>
              <w:right w:w="62" w:type="dxa"/>
            </w:tcMar>
          </w:tcPr>
          <w:p w:rsidR="00000000" w:rsidRPr="004B5F16" w:rsidP="004B5F16">
            <w:pPr>
              <w:pStyle w:val="BodyText"/>
            </w:pPr>
            <w:r w:rsidRPr="004B5F16">
              <w:t>Appropriate action includes but is not limited to:</w:t>
            </w:r>
          </w:p>
          <w:p w:rsidR="00000000" w:rsidRPr="004B5F16" w:rsidP="004B5F16">
            <w:pPr>
              <w:pStyle w:val="ListBullet"/>
            </w:pPr>
            <w:r w:rsidRPr="004B5F16">
              <w:t>determining problems needing action</w:t>
            </w:r>
          </w:p>
          <w:p w:rsidR="00000000" w:rsidRPr="004B5F16" w:rsidP="004B5F16">
            <w:pPr>
              <w:pStyle w:val="ListBullet"/>
            </w:pPr>
            <w:r w:rsidRPr="004B5F16">
              <w:t>determining possible fault causes</w:t>
            </w:r>
          </w:p>
          <w:p w:rsidR="00000000" w:rsidRPr="004B5F16" w:rsidP="004B5F16">
            <w:pPr>
              <w:pStyle w:val="ListBullet"/>
            </w:pPr>
            <w:r w:rsidRPr="004B5F16">
              <w:t>rectifying predictable problems using appropriate solution from procedures</w:t>
            </w:r>
          </w:p>
          <w:p w:rsidR="00000000" w:rsidRPr="004B5F16" w:rsidP="004B5F16">
            <w:pPr>
              <w:pStyle w:val="ListBullet"/>
            </w:pPr>
            <w:r w:rsidRPr="004B5F16">
              <w:t>following through items initiated until final resolution ha</w:t>
            </w:r>
            <w:r w:rsidRPr="004B5F16">
              <w:t>s occurred</w:t>
            </w:r>
          </w:p>
          <w:p w:rsidR="00000000" w:rsidP="004B5F16">
            <w:pPr>
              <w:pStyle w:val="ListBullet"/>
              <w:rPr>
                <w:lang w:val="en-NZ"/>
              </w:rPr>
            </w:pPr>
            <w:r w:rsidRPr="004B5F16">
              <w:t>reporting problems outside area of responsibility/scope to designated person</w:t>
            </w:r>
          </w:p>
        </w:tc>
      </w:tr>
      <w:tr w:rsidTr="004B5F16">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rPr>
                <w:rStyle w:val="SpecialBold"/>
              </w:rPr>
              <w:t>Equipment</w:t>
            </w:r>
          </w:p>
        </w:tc>
        <w:tc>
          <w:tcPr>
            <w:tcW w:w="5398" w:type="dxa"/>
            <w:tcBorders>
              <w:top w:val="nil"/>
              <w:left w:val="nil"/>
              <w:bottom w:val="nil"/>
              <w:right w:val="nil"/>
            </w:tcBorders>
            <w:tcMar>
              <w:top w:w="0" w:type="dxa"/>
              <w:left w:w="62" w:type="dxa"/>
              <w:bottom w:w="0" w:type="dxa"/>
              <w:right w:w="62" w:type="dxa"/>
            </w:tcMar>
          </w:tcPr>
          <w:p w:rsidR="00000000" w:rsidRPr="004B5F16" w:rsidP="004B5F16">
            <w:pPr>
              <w:pStyle w:val="BodyText"/>
            </w:pPr>
            <w:r w:rsidRPr="004B5F16">
              <w:t>Load-out equipment may include, but is not limited to:</w:t>
            </w:r>
          </w:p>
          <w:p w:rsidR="00000000" w:rsidRPr="004B5F16" w:rsidP="004B5F16">
            <w:pPr>
              <w:pStyle w:val="ListBullet"/>
            </w:pPr>
            <w:r w:rsidRPr="004B5F16">
              <w:t>hoppers, bins or silos</w:t>
            </w:r>
          </w:p>
          <w:p w:rsidR="00000000" w:rsidRPr="004B5F16" w:rsidP="004B5F16">
            <w:pPr>
              <w:pStyle w:val="ListBullet"/>
            </w:pPr>
            <w:r w:rsidRPr="004B5F16">
              <w:t>conveyors</w:t>
            </w:r>
          </w:p>
          <w:p w:rsidR="00000000" w:rsidRPr="004B5F16" w:rsidP="004B5F16">
            <w:pPr>
              <w:pStyle w:val="ListBullet"/>
            </w:pPr>
            <w:r w:rsidRPr="004B5F16">
              <w:t>chutes</w:t>
            </w:r>
          </w:p>
          <w:p w:rsidR="00000000" w:rsidRPr="004B5F16" w:rsidP="004B5F16">
            <w:pPr>
              <w:pStyle w:val="ListBullet"/>
            </w:pPr>
            <w:r w:rsidRPr="004B5F16">
              <w:t>dust extraction equipment and bag houses</w:t>
            </w:r>
          </w:p>
          <w:p w:rsidR="00000000" w:rsidRPr="004B5F16" w:rsidP="004B5F16">
            <w:pPr>
              <w:pStyle w:val="ListBullet"/>
            </w:pPr>
            <w:r w:rsidRPr="004B5F16">
              <w:t>automated bagging or filling equipment</w:t>
            </w:r>
          </w:p>
          <w:p w:rsidR="00000000" w:rsidRPr="004B5F16" w:rsidP="004B5F16">
            <w:pPr>
              <w:pStyle w:val="ListBullet"/>
            </w:pPr>
            <w:r w:rsidRPr="004B5F16">
              <w:t>vibratory settling equipment</w:t>
            </w:r>
          </w:p>
          <w:p w:rsidR="00000000" w:rsidRPr="004B5F16" w:rsidP="004B5F16">
            <w:pPr>
              <w:pStyle w:val="ListBullet"/>
            </w:pPr>
            <w:r w:rsidRPr="004B5F16">
              <w:t>roller conveyors</w:t>
            </w:r>
          </w:p>
          <w:p w:rsidR="00000000" w:rsidRPr="004B5F16" w:rsidP="004B5F16">
            <w:pPr>
              <w:pStyle w:val="ListBullet"/>
            </w:pPr>
            <w:r w:rsidRPr="004B5F16">
              <w:t>motorised lifting equipment</w:t>
            </w:r>
          </w:p>
          <w:p w:rsidR="00000000" w:rsidRPr="004B5F16" w:rsidP="004B5F16">
            <w:pPr>
              <w:pStyle w:val="ListBullet"/>
            </w:pPr>
            <w:r w:rsidRPr="004B5F16">
              <w:t>appropriate personal protective equipment (PPE)</w:t>
            </w:r>
          </w:p>
          <w:p w:rsidR="00000000" w:rsidRPr="004B5F16" w:rsidP="004B5F16">
            <w:pPr>
              <w:pStyle w:val="ListBullet"/>
            </w:pPr>
            <w:r w:rsidRPr="004B5F16">
              <w:t>weighing equipment</w:t>
            </w:r>
          </w:p>
          <w:p w:rsidR="00000000" w:rsidP="004B5F16">
            <w:pPr>
              <w:pStyle w:val="ListBullet"/>
              <w:rPr>
                <w:lang w:val="en-NZ"/>
              </w:rPr>
            </w:pPr>
            <w:r w:rsidRPr="004B5F16">
              <w:t xml:space="preserve">moisture testing equipment </w:t>
            </w:r>
          </w:p>
        </w:tc>
      </w:tr>
      <w:tr w:rsidTr="004B5F16">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rPr>
                <w:rStyle w:val="SpecialBold"/>
              </w:rPr>
              <w:t>Containments</w:t>
            </w:r>
          </w:p>
        </w:tc>
        <w:tc>
          <w:tcPr>
            <w:tcW w:w="5398" w:type="dxa"/>
            <w:tcBorders>
              <w:top w:val="nil"/>
              <w:left w:val="nil"/>
              <w:bottom w:val="nil"/>
              <w:right w:val="nil"/>
            </w:tcBorders>
            <w:tcMar>
              <w:top w:w="0" w:type="dxa"/>
              <w:left w:w="62" w:type="dxa"/>
              <w:bottom w:w="0" w:type="dxa"/>
              <w:right w:w="62" w:type="dxa"/>
            </w:tcMar>
          </w:tcPr>
          <w:p w:rsidR="00000000" w:rsidRPr="004B5F16" w:rsidP="004B5F16">
            <w:pPr>
              <w:pStyle w:val="BodyText"/>
            </w:pPr>
            <w:r w:rsidRPr="004B5F16">
              <w:t>Solids containments may include, b</w:t>
            </w:r>
            <w:r w:rsidRPr="004B5F16">
              <w:t>ut are not limited to:</w:t>
            </w:r>
          </w:p>
          <w:p w:rsidR="00000000" w:rsidRPr="004B5F16" w:rsidP="004B5F16">
            <w:pPr>
              <w:pStyle w:val="ListBullet"/>
            </w:pPr>
            <w:r w:rsidRPr="004B5F16">
              <w:t>bulk bags</w:t>
            </w:r>
          </w:p>
          <w:p w:rsidR="00000000" w:rsidRPr="004B5F16" w:rsidP="004B5F16">
            <w:pPr>
              <w:pStyle w:val="ListBullet"/>
            </w:pPr>
            <w:r w:rsidRPr="004B5F16">
              <w:t>drums</w:t>
            </w:r>
          </w:p>
          <w:p w:rsidR="00000000" w:rsidRPr="004B5F16" w:rsidP="004B5F16">
            <w:pPr>
              <w:pStyle w:val="ListBullet"/>
            </w:pPr>
            <w:r w:rsidRPr="004B5F16">
              <w:t>road tankers</w:t>
            </w:r>
          </w:p>
          <w:p w:rsidR="00000000" w:rsidRPr="004B5F16" w:rsidP="004B5F16">
            <w:pPr>
              <w:pStyle w:val="ListBullet"/>
            </w:pPr>
            <w:r w:rsidRPr="004B5F16">
              <w:t>hopper cars</w:t>
            </w:r>
          </w:p>
          <w:p w:rsidR="00000000" w:rsidRPr="004B5F16" w:rsidP="004B5F16">
            <w:pPr>
              <w:pStyle w:val="ListBullet"/>
            </w:pPr>
            <w:r w:rsidRPr="004B5F16">
              <w:t>containers</w:t>
            </w:r>
          </w:p>
          <w:p w:rsidR="00000000" w:rsidP="004B5F16">
            <w:pPr>
              <w:pStyle w:val="ListBullet"/>
              <w:rPr>
                <w:lang w:val="en-NZ"/>
              </w:rPr>
            </w:pPr>
            <w:r w:rsidRPr="004B5F16">
              <w:t>sealed bins</w:t>
            </w:r>
          </w:p>
        </w:tc>
      </w:tr>
      <w:tr w:rsidTr="004B5F16">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rPr>
                <w:rStyle w:val="SpecialBold"/>
              </w:rPr>
              <w:t>Health, safety and environment (HSE)</w:t>
            </w:r>
          </w:p>
        </w:tc>
        <w:tc>
          <w:tcPr>
            <w:tcW w:w="5398"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 xml:space="preserve">All operations to which this unit applies are subject to </w:t>
            </w:r>
            <w:r w:rsidRPr="004B5F16">
              <w:t xml:space="preserve">stringent HSE requirements, which may be imposed through state or federal legislation, and these must not be compromised at any time. Where there is an apparent conflict between Performance Criteria </w:t>
            </w:r>
            <w:r w:rsidRPr="004B5F16">
              <w:t>and HSE requirements, the HSE requirements take precedence.</w:t>
            </w:r>
          </w:p>
        </w:tc>
      </w:tr>
      <w:tr w:rsidTr="004B5F16">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rPr>
                <w:rStyle w:val="SpecialBold"/>
              </w:rPr>
              <w:t>Typical problems</w:t>
            </w:r>
          </w:p>
        </w:tc>
        <w:tc>
          <w:tcPr>
            <w:tcW w:w="5398" w:type="dxa"/>
            <w:tcBorders>
              <w:top w:val="nil"/>
              <w:left w:val="nil"/>
              <w:bottom w:val="nil"/>
              <w:right w:val="nil"/>
            </w:tcBorders>
            <w:tcMar>
              <w:top w:w="0" w:type="dxa"/>
              <w:left w:w="62" w:type="dxa"/>
              <w:bottom w:w="0" w:type="dxa"/>
              <w:right w:w="62" w:type="dxa"/>
            </w:tcMar>
          </w:tcPr>
          <w:p w:rsidR="00000000" w:rsidRPr="004B5F16" w:rsidP="004B5F16">
            <w:pPr>
              <w:pStyle w:val="BodyText"/>
            </w:pPr>
            <w:r w:rsidRPr="004B5F16">
              <w:t>Typical problems may include:</w:t>
            </w:r>
          </w:p>
          <w:p w:rsidR="00000000" w:rsidRPr="004B5F16" w:rsidP="004B5F16">
            <w:pPr>
              <w:pStyle w:val="ListBullet"/>
            </w:pPr>
            <w:r w:rsidRPr="004B5F16">
              <w:t>rat holing and bridging in silos/bins/hoppers</w:t>
            </w:r>
          </w:p>
          <w:p w:rsidR="00000000" w:rsidRPr="004B5F16" w:rsidP="004B5F16">
            <w:pPr>
              <w:pStyle w:val="ListBullet"/>
            </w:pPr>
            <w:r w:rsidRPr="004B5F16">
              <w:t>routing issues</w:t>
            </w:r>
          </w:p>
          <w:p w:rsidR="00000000" w:rsidP="004B5F16">
            <w:pPr>
              <w:pStyle w:val="ListBullet"/>
              <w:rPr>
                <w:lang w:val="en-NZ"/>
              </w:rPr>
            </w:pPr>
            <w:r w:rsidRPr="004B5F16">
              <w:t>equipment problems</w:t>
            </w:r>
          </w:p>
        </w:tc>
      </w:tr>
      <w:tr w:rsidTr="004B5F16">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rPr>
                <w:rStyle w:val="SpecialBold"/>
              </w:rPr>
              <w:t>Work requirements</w:t>
            </w:r>
          </w:p>
        </w:tc>
        <w:tc>
          <w:tcPr>
            <w:tcW w:w="5398" w:type="dxa"/>
            <w:tcBorders>
              <w:top w:val="nil"/>
              <w:left w:val="nil"/>
              <w:bottom w:val="nil"/>
              <w:right w:val="nil"/>
            </w:tcBorders>
            <w:tcMar>
              <w:top w:w="0" w:type="dxa"/>
              <w:left w:w="62" w:type="dxa"/>
              <w:bottom w:w="0" w:type="dxa"/>
              <w:right w:w="62" w:type="dxa"/>
            </w:tcMar>
          </w:tcPr>
          <w:p w:rsidR="00000000" w:rsidRPr="004B5F16" w:rsidP="004B5F16">
            <w:pPr>
              <w:pStyle w:val="BodyText"/>
            </w:pPr>
            <w:r w:rsidRPr="004B5F16">
              <w:t xml:space="preserve">Work requirements may come from briefings, handovers and work orders and may include: </w:t>
            </w:r>
          </w:p>
          <w:p w:rsidR="00000000" w:rsidRPr="004B5F16" w:rsidP="004B5F16">
            <w:pPr>
              <w:pStyle w:val="ListBullet"/>
            </w:pPr>
            <w:r w:rsidRPr="004B5F16">
              <w:t>compliance documentation</w:t>
            </w:r>
          </w:p>
          <w:p w:rsidR="00000000" w:rsidRPr="004B5F16" w:rsidP="004B5F16">
            <w:pPr>
              <w:pStyle w:val="ListBullet"/>
            </w:pPr>
            <w:r w:rsidRPr="004B5F16">
              <w:t xml:space="preserve">product specifications </w:t>
            </w:r>
          </w:p>
          <w:p w:rsidR="00000000" w:rsidRPr="004B5F16" w:rsidP="004B5F16">
            <w:pPr>
              <w:pStyle w:val="ListBullet"/>
            </w:pPr>
            <w:r w:rsidRPr="004B5F16">
              <w:t xml:space="preserve">nature and scope of tasks </w:t>
            </w:r>
          </w:p>
          <w:p w:rsidR="00000000" w:rsidRPr="004B5F16" w:rsidP="004B5F16">
            <w:pPr>
              <w:pStyle w:val="ListBullet"/>
            </w:pPr>
            <w:r w:rsidRPr="004B5F16">
              <w:t xml:space="preserve">achievement targets </w:t>
            </w:r>
          </w:p>
          <w:p w:rsidR="00000000" w:rsidRPr="004B5F16" w:rsidP="004B5F16">
            <w:pPr>
              <w:pStyle w:val="ListBullet"/>
            </w:pPr>
            <w:r w:rsidRPr="004B5F16">
              <w:t xml:space="preserve">operational conditions </w:t>
            </w:r>
          </w:p>
          <w:p w:rsidR="00000000" w:rsidRPr="004B5F16" w:rsidP="004B5F16">
            <w:pPr>
              <w:pStyle w:val="ListBullet"/>
            </w:pPr>
            <w:r w:rsidRPr="004B5F16">
              <w:t xml:space="preserve">site layout and out of bounds areas </w:t>
            </w:r>
          </w:p>
          <w:p w:rsidR="00000000" w:rsidRPr="004B5F16" w:rsidP="004B5F16">
            <w:pPr>
              <w:pStyle w:val="ListBullet"/>
            </w:pPr>
            <w:r w:rsidRPr="004B5F16">
              <w:t xml:space="preserve">worksite inspection requirements </w:t>
            </w:r>
          </w:p>
          <w:p w:rsidR="00000000" w:rsidRPr="004B5F16" w:rsidP="004B5F16">
            <w:pPr>
              <w:pStyle w:val="ListBullet"/>
            </w:pPr>
            <w:r w:rsidRPr="004B5F16">
              <w:t xml:space="preserve">lighting conditions </w:t>
            </w:r>
          </w:p>
          <w:p w:rsidR="00000000" w:rsidRPr="004B5F16" w:rsidP="004B5F16">
            <w:pPr>
              <w:pStyle w:val="ListBullet"/>
            </w:pPr>
            <w:r w:rsidRPr="004B5F16">
              <w:t xml:space="preserve">plant or equipment defects </w:t>
            </w:r>
          </w:p>
          <w:p w:rsidR="00000000" w:rsidRPr="004B5F16" w:rsidP="004B5F16">
            <w:pPr>
              <w:pStyle w:val="ListBullet"/>
            </w:pPr>
            <w:r w:rsidRPr="004B5F16">
              <w:t xml:space="preserve">hazards and potential hazards </w:t>
            </w:r>
          </w:p>
          <w:p w:rsidR="00000000" w:rsidP="004B5F16">
            <w:pPr>
              <w:pStyle w:val="ListBullet"/>
              <w:rPr>
                <w:lang w:val="en-NZ"/>
              </w:rPr>
            </w:pPr>
            <w:r w:rsidRPr="004B5F16">
              <w:t>coordination requirements or issues</w:t>
            </w:r>
          </w:p>
        </w:tc>
      </w:tr>
      <w:tr w:rsidTr="004B5F16">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rPr>
                <w:rStyle w:val="SpecialBold"/>
              </w:rPr>
              <w:t>Appropriate personnel</w:t>
            </w:r>
          </w:p>
        </w:tc>
        <w:tc>
          <w:tcPr>
            <w:tcW w:w="5398" w:type="dxa"/>
            <w:tcBorders>
              <w:top w:val="nil"/>
              <w:left w:val="nil"/>
              <w:bottom w:val="nil"/>
              <w:right w:val="nil"/>
            </w:tcBorders>
            <w:tcMar>
              <w:top w:w="0" w:type="dxa"/>
              <w:left w:w="62" w:type="dxa"/>
              <w:bottom w:w="0" w:type="dxa"/>
              <w:right w:w="62" w:type="dxa"/>
            </w:tcMar>
          </w:tcPr>
          <w:p w:rsidR="00000000" w:rsidRPr="004B5F16" w:rsidP="004B5F16">
            <w:pPr>
              <w:pStyle w:val="BodyText"/>
            </w:pPr>
            <w:r w:rsidRPr="004B5F16">
              <w:t>Appropriate personnel may include:</w:t>
            </w:r>
          </w:p>
          <w:p w:rsidR="00000000" w:rsidRPr="004B5F16" w:rsidP="004B5F16">
            <w:pPr>
              <w:pStyle w:val="ListBullet"/>
            </w:pPr>
            <w:r w:rsidRPr="004B5F16">
              <w:t>other process operators</w:t>
            </w:r>
          </w:p>
          <w:p w:rsidR="00000000" w:rsidRPr="004B5F16" w:rsidP="004B5F16">
            <w:pPr>
              <w:pStyle w:val="ListBullet"/>
            </w:pPr>
            <w:r w:rsidRPr="004B5F16">
              <w:t>contractors</w:t>
            </w:r>
          </w:p>
          <w:p w:rsidR="00000000" w:rsidRPr="004B5F16" w:rsidP="004B5F16">
            <w:pPr>
              <w:pStyle w:val="ListBullet"/>
            </w:pPr>
            <w:r w:rsidRPr="004B5F16">
              <w:t xml:space="preserve">laboratory </w:t>
            </w:r>
            <w:r w:rsidRPr="004B5F16">
              <w:t>personnel</w:t>
            </w:r>
          </w:p>
          <w:p w:rsidR="00000000" w:rsidRPr="004B5F16" w:rsidP="004B5F16">
            <w:pPr>
              <w:pStyle w:val="ListBullet"/>
            </w:pPr>
            <w:r w:rsidRPr="004B5F16">
              <w:t>mobile plant operators</w:t>
            </w:r>
          </w:p>
          <w:p w:rsidR="00000000" w:rsidRPr="004B5F16" w:rsidP="004B5F16">
            <w:pPr>
              <w:pStyle w:val="ListBullet"/>
            </w:pPr>
            <w:r w:rsidRPr="004B5F16">
              <w:t>maintenance personnel</w:t>
            </w:r>
          </w:p>
        </w:tc>
      </w:tr>
    </w:tbl>
    <w:p w:rsidR="00625A69" w:rsidP="004B5F16">
      <w:pPr>
        <w:pStyle w:val="BodyText"/>
      </w:pPr>
    </w:p>
    <w:p w:rsidR="00625A69" w:rsidP="004B5F16">
      <w:pPr>
        <w:pStyle w:val="BodyText"/>
      </w:pPr>
    </w:p>
    <w:p w:rsidR="00000000" w:rsidRPr="004B5F16" w:rsidP="004B5F16">
      <w:pPr>
        <w:pStyle w:val="Heading1"/>
      </w:pPr>
      <w:bookmarkStart w:id="12" w:name="O_569064"/>
      <w:bookmarkEnd w:id="12"/>
      <w:r w:rsidRPr="004B5F16">
        <w:t>Unit Sector(s)</w:t>
      </w:r>
    </w:p>
    <w:tbl>
      <w:tblPr>
        <w:tblW w:w="0" w:type="auto"/>
        <w:tblCellMar>
          <w:left w:w="62" w:type="dxa"/>
          <w:right w:w="62" w:type="dxa"/>
        </w:tblCellMar>
        <w:tblLook w:val="0000"/>
      </w:tblPr>
      <w:tblGrid>
        <w:gridCol w:w="2576"/>
        <w:gridCol w:w="6620"/>
      </w:tblGrid>
      <w:tr w:rsidTr="00625A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t>Operational/technical</w:t>
            </w:r>
          </w:p>
        </w:tc>
      </w:tr>
      <w:tr w:rsidTr="00625A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5F16">
            <w:pPr>
              <w:pStyle w:val="BodyText"/>
              <w:rPr>
                <w:lang w:val="en-NZ"/>
              </w:rPr>
            </w:pPr>
            <w:r w:rsidRPr="004B5F16">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4B5F16" w:rsidP="004B5F16">
            <w:pPr>
              <w:pStyle w:val="BodyText"/>
            </w:pPr>
          </w:p>
        </w:tc>
      </w:tr>
    </w:tbl>
    <w:p w:rsidR="00000000" w:rsidRPr="004B5F16" w:rsidP="004B5F16">
      <w:pPr>
        <w:pStyle w:val="BodyText"/>
      </w:pPr>
    </w:p>
    <w:p w:rsidR="00000000" w:rsidRPr="004B5F16" w:rsidP="004B5F16">
      <w:pPr>
        <w:pStyle w:val="AllowPageBreak"/>
      </w:pPr>
    </w:p>
    <w:p w:rsidR="00000000" w:rsidRPr="004B5F16" w:rsidP="004B5F16">
      <w:pPr>
        <w:pStyle w:val="Heading1"/>
      </w:pPr>
      <w:bookmarkStart w:id="13" w:name="O_569063"/>
      <w:bookmarkEnd w:id="13"/>
      <w:r w:rsidRPr="004B5F16">
        <w:t>Custom Content Section</w:t>
      </w:r>
    </w:p>
    <w:p w:rsidR="00000000" w:rsidRPr="004B5F16" w:rsidP="004B5F16">
      <w:pPr>
        <w:pStyle w:val="BodyText"/>
      </w:pPr>
      <w:r w:rsidRPr="004B5F16">
        <w:t>Not applicable.</w:t>
      </w:r>
    </w:p>
    <w:p w:rsidR="00000000" w:rsidRPr="004B5F16" w:rsidP="004B5F16"/>
    <w:sectPr w:rsidSect="004B5F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F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F16" w:rsidRPr="00625A69" w:rsidP="00625A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F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A69" w:rsidP="004B5F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25A69" w:rsidP="004B5F1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25A69" w:rsidP="004B5F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F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F16" w:rsidRPr="00625A69" w:rsidP="00625A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F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A69" w:rsidRPr="002D2AF8" w:rsidP="004B5F16">
    <w:pPr>
      <w:pStyle w:val="Header"/>
      <w:framePr w:wrap="around"/>
    </w:pPr>
    <w:r>
      <w:fldChar w:fldCharType="begin"/>
    </w:r>
    <w:r>
      <w:instrText xml:space="preserve"> TITLE   \* MERGEFORMAT </w:instrText>
    </w:r>
    <w:r>
      <w:fldChar w:fldCharType="separate"/>
    </w:r>
    <w:r>
      <w:t>PMAOPS261A Operate bulk solids loading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2013</w:t>
    </w:r>
    <w:r>
      <w:fldChar w:fldCharType="end"/>
    </w:r>
  </w:p>
  <w:p w:rsidR="00625A69" w:rsidP="004B5F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5A00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3494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F40A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F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5F16"/>
    <w:pPr>
      <w:spacing w:before="360" w:after="60"/>
      <w:outlineLvl w:val="0"/>
    </w:pPr>
    <w:rPr>
      <w:sz w:val="32"/>
    </w:rPr>
  </w:style>
  <w:style w:type="paragraph" w:styleId="Heading2">
    <w:name w:val="heading 2"/>
    <w:basedOn w:val="HeadingBase"/>
    <w:next w:val="BodyText"/>
    <w:link w:val="Heading2Char"/>
    <w:qFormat/>
    <w:rsid w:val="004B5F16"/>
    <w:pPr>
      <w:keepLines/>
      <w:spacing w:before="240" w:after="120"/>
      <w:outlineLvl w:val="1"/>
    </w:pPr>
    <w:rPr>
      <w:sz w:val="28"/>
      <w:szCs w:val="40"/>
    </w:rPr>
  </w:style>
  <w:style w:type="paragraph" w:styleId="Heading3">
    <w:name w:val="heading 3"/>
    <w:basedOn w:val="HeadingBase"/>
    <w:next w:val="BodyText"/>
    <w:link w:val="Heading3Char"/>
    <w:qFormat/>
    <w:rsid w:val="004B5F16"/>
    <w:pPr>
      <w:spacing w:before="180" w:after="120"/>
      <w:outlineLvl w:val="2"/>
    </w:pPr>
    <w:rPr>
      <w:spacing w:val="-10"/>
      <w:kern w:val="32"/>
    </w:rPr>
  </w:style>
  <w:style w:type="paragraph" w:styleId="Heading4">
    <w:name w:val="heading 4"/>
    <w:basedOn w:val="HeadingBase"/>
    <w:next w:val="BodyText"/>
    <w:link w:val="Heading4Char"/>
    <w:qFormat/>
    <w:rsid w:val="004B5F16"/>
    <w:pPr>
      <w:spacing w:before="160" w:after="120"/>
      <w:outlineLvl w:val="3"/>
    </w:pPr>
    <w:rPr>
      <w:sz w:val="22"/>
    </w:rPr>
  </w:style>
  <w:style w:type="paragraph" w:styleId="Heading5">
    <w:name w:val="heading 5"/>
    <w:basedOn w:val="HeadingBase"/>
    <w:next w:val="Normal"/>
    <w:link w:val="Heading5Char"/>
    <w:qFormat/>
    <w:rsid w:val="004B5F16"/>
    <w:pPr>
      <w:spacing w:before="80"/>
      <w:outlineLvl w:val="4"/>
    </w:pPr>
    <w:rPr>
      <w:color w:val="918585"/>
      <w:sz w:val="20"/>
    </w:rPr>
  </w:style>
  <w:style w:type="paragraph" w:styleId="Heading6">
    <w:name w:val="heading 6"/>
    <w:basedOn w:val="HeadingBase"/>
    <w:next w:val="Normal"/>
    <w:link w:val="Heading6Char"/>
    <w:qFormat/>
    <w:rsid w:val="004B5F16"/>
    <w:pPr>
      <w:spacing w:before="60"/>
      <w:outlineLvl w:val="5"/>
    </w:pPr>
    <w:rPr>
      <w:color w:val="918585"/>
      <w:sz w:val="20"/>
    </w:rPr>
  </w:style>
  <w:style w:type="paragraph" w:styleId="Heading7">
    <w:name w:val="heading 7"/>
    <w:basedOn w:val="Normal"/>
    <w:next w:val="Normal"/>
    <w:link w:val="Heading7Char"/>
    <w:qFormat/>
    <w:rsid w:val="004B5F16"/>
    <w:pPr>
      <w:ind w:left="720"/>
      <w:outlineLvl w:val="6"/>
    </w:pPr>
    <w:rPr>
      <w:i/>
    </w:rPr>
  </w:style>
  <w:style w:type="paragraph" w:styleId="Heading8">
    <w:name w:val="heading 8"/>
    <w:basedOn w:val="Normal"/>
    <w:next w:val="Normal"/>
    <w:link w:val="Heading8Char"/>
    <w:qFormat/>
    <w:rsid w:val="004B5F16"/>
    <w:pPr>
      <w:ind w:left="720"/>
      <w:outlineLvl w:val="7"/>
    </w:pPr>
    <w:rPr>
      <w:i/>
    </w:rPr>
  </w:style>
  <w:style w:type="paragraph" w:styleId="Heading9">
    <w:name w:val="heading 9"/>
    <w:basedOn w:val="Normal"/>
    <w:next w:val="Normal"/>
    <w:link w:val="Heading9Char"/>
    <w:qFormat/>
    <w:rsid w:val="004B5F16"/>
    <w:pPr>
      <w:ind w:left="720"/>
      <w:outlineLvl w:val="8"/>
    </w:pPr>
    <w:rPr>
      <w:i/>
    </w:rPr>
  </w:style>
  <w:style w:type="character" w:default="1" w:styleId="DefaultParagraphFont">
    <w:name w:val="Default Paragraph Font"/>
    <w:uiPriority w:val="1"/>
    <w:unhideWhenUsed/>
    <w:rsid w:val="004B5F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5F16"/>
  </w:style>
  <w:style w:type="character" w:customStyle="1" w:styleId="Heading1Char">
    <w:name w:val="Heading 1 Char"/>
    <w:basedOn w:val="DefaultParagraphFont"/>
    <w:link w:val="Heading1"/>
    <w:rsid w:val="004B5F16"/>
    <w:rPr>
      <w:rFonts w:ascii="Times New Roman" w:eastAsia="Times New Roman" w:hAnsi="Times New Roman" w:cs="Times New Roman"/>
      <w:b/>
      <w:sz w:val="32"/>
      <w:szCs w:val="20"/>
      <w:lang w:eastAsia="en-US"/>
    </w:rPr>
  </w:style>
  <w:style w:type="paragraph" w:styleId="BodyText">
    <w:name w:val="Body Text"/>
    <w:basedOn w:val="Normal"/>
    <w:link w:val="BodyTextChar"/>
    <w:rsid w:val="004B5F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5F16"/>
    <w:rPr>
      <w:rFonts w:ascii="Times New Roman" w:eastAsia="Times New Roman" w:hAnsi="Times New Roman" w:cs="Times New Roman"/>
      <w:sz w:val="24"/>
      <w:lang w:eastAsia="en-US"/>
    </w:rPr>
  </w:style>
  <w:style w:type="paragraph" w:styleId="ListBullet">
    <w:name w:val="List Bullet"/>
    <w:basedOn w:val="List"/>
    <w:rsid w:val="004B5F16"/>
    <w:pPr>
      <w:numPr>
        <w:numId w:val="13"/>
      </w:numPr>
      <w:tabs>
        <w:tab w:val="clear" w:pos="340"/>
      </w:tabs>
      <w:spacing w:before="40" w:after="40"/>
    </w:pPr>
  </w:style>
  <w:style w:type="character" w:customStyle="1" w:styleId="SpecialBold">
    <w:name w:val="Special Bold"/>
    <w:basedOn w:val="DefaultParagraphFont"/>
    <w:rsid w:val="004B5F16"/>
    <w:rPr>
      <w:b/>
      <w:spacing w:val="0"/>
    </w:rPr>
  </w:style>
  <w:style w:type="paragraph" w:styleId="ListBullet2">
    <w:name w:val="List Bullet 2"/>
    <w:basedOn w:val="List2"/>
    <w:rsid w:val="004B5F16"/>
    <w:pPr>
      <w:numPr>
        <w:numId w:val="14"/>
      </w:numPr>
      <w:tabs>
        <w:tab w:val="clear" w:pos="680"/>
      </w:tabs>
    </w:pPr>
  </w:style>
  <w:style w:type="paragraph" w:customStyle="1" w:styleId="SuperHeading">
    <w:name w:val="SuperHeading"/>
    <w:basedOn w:val="Normal"/>
    <w:rsid w:val="004B5F16"/>
    <w:pPr>
      <w:spacing w:before="240" w:after="120"/>
      <w:outlineLvl w:val="0"/>
    </w:pPr>
    <w:rPr>
      <w:rFonts w:ascii="Times New Roman" w:hAnsi="Times New Roman"/>
      <w:b/>
      <w:sz w:val="32"/>
    </w:rPr>
  </w:style>
  <w:style w:type="paragraph" w:customStyle="1" w:styleId="AllowPageBreak">
    <w:name w:val="AllowPageBreak"/>
    <w:rsid w:val="004B5F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5F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5F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5F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5F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5F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5F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5F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5F16"/>
    <w:rPr>
      <w:rFonts w:ascii="Courier New" w:eastAsia="Times New Roman" w:hAnsi="Courier New" w:cs="Times New Roman"/>
      <w:i/>
      <w:szCs w:val="20"/>
      <w:lang w:eastAsia="en-US"/>
    </w:rPr>
  </w:style>
  <w:style w:type="paragraph" w:customStyle="1" w:styleId="HeadingBase">
    <w:name w:val="Heading Base"/>
    <w:rsid w:val="004B5F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5F16"/>
    <w:pPr>
      <w:tabs>
        <w:tab w:val="right" w:leader="dot" w:pos="9072"/>
      </w:tabs>
      <w:ind w:left="567"/>
    </w:pPr>
    <w:rPr>
      <w:szCs w:val="22"/>
    </w:rPr>
  </w:style>
  <w:style w:type="paragraph" w:customStyle="1" w:styleId="TOCBase">
    <w:name w:val="TOC Base"/>
    <w:rsid w:val="004B5F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5F16"/>
    <w:pPr>
      <w:tabs>
        <w:tab w:val="right" w:leader="dot" w:pos="9072"/>
      </w:tabs>
      <w:spacing w:before="40" w:after="40"/>
      <w:ind w:left="284"/>
    </w:pPr>
    <w:rPr>
      <w:rFonts w:ascii="Times New Roman" w:hAnsi="Times New Roman"/>
    </w:rPr>
  </w:style>
  <w:style w:type="paragraph" w:styleId="TOC1">
    <w:name w:val="toc 1"/>
    <w:basedOn w:val="TOCBase"/>
    <w:next w:val="Normal"/>
    <w:rsid w:val="004B5F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5F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5F16"/>
    <w:rPr>
      <w:rFonts w:ascii="Times New Roman" w:eastAsia="Times New Roman" w:hAnsi="Times New Roman" w:cs="Times New Roman"/>
      <w:sz w:val="16"/>
      <w:lang w:eastAsia="en-US"/>
    </w:rPr>
  </w:style>
  <w:style w:type="paragraph" w:styleId="Title">
    <w:name w:val="Title"/>
    <w:basedOn w:val="HeadingBase"/>
    <w:link w:val="TitleChar"/>
    <w:qFormat/>
    <w:rsid w:val="004B5F16"/>
    <w:pPr>
      <w:spacing w:before="5040"/>
      <w:jc w:val="center"/>
    </w:pPr>
    <w:rPr>
      <w:sz w:val="48"/>
      <w:szCs w:val="72"/>
      <w:lang w:val="en-US"/>
    </w:rPr>
  </w:style>
  <w:style w:type="character" w:customStyle="1" w:styleId="TitleChar">
    <w:name w:val="Title Char"/>
    <w:basedOn w:val="DefaultParagraphFont"/>
    <w:link w:val="Title"/>
    <w:rsid w:val="004B5F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5F16"/>
    <w:pPr>
      <w:tabs>
        <w:tab w:val="left" w:pos="3600"/>
        <w:tab w:val="left" w:pos="3958"/>
      </w:tabs>
    </w:pPr>
  </w:style>
  <w:style w:type="paragraph" w:styleId="List">
    <w:name w:val="List"/>
    <w:basedOn w:val="BodyText"/>
    <w:next w:val="BodyText"/>
    <w:rsid w:val="004B5F16"/>
    <w:pPr>
      <w:tabs>
        <w:tab w:val="left" w:pos="340"/>
      </w:tabs>
      <w:spacing w:before="60" w:after="60"/>
      <w:ind w:left="340" w:hanging="340"/>
    </w:pPr>
  </w:style>
  <w:style w:type="paragraph" w:customStyle="1" w:styleId="Note">
    <w:name w:val="Note"/>
    <w:basedOn w:val="BodyText"/>
    <w:rsid w:val="004B5F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5F16"/>
    <w:pPr>
      <w:framePr w:wrap="auto" w:hAnchor="text" w:y="6049"/>
    </w:pPr>
    <w:rPr>
      <w:color w:val="000000"/>
      <w:sz w:val="40"/>
    </w:rPr>
  </w:style>
  <w:style w:type="paragraph" w:customStyle="1" w:styleId="TOCTitle">
    <w:name w:val="TOCTitle"/>
    <w:basedOn w:val="Heading1"/>
    <w:rsid w:val="004B5F16"/>
    <w:pPr>
      <w:spacing w:after="240"/>
      <w:jc w:val="center"/>
      <w:outlineLvl w:val="9"/>
    </w:pPr>
    <w:rPr>
      <w:caps/>
    </w:rPr>
  </w:style>
  <w:style w:type="paragraph" w:customStyle="1" w:styleId="Version">
    <w:name w:val="Version"/>
    <w:rsid w:val="004B5F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5F16"/>
    <w:pPr>
      <w:keepNext w:val="0"/>
      <w:tabs>
        <w:tab w:val="right" w:pos="4176"/>
      </w:tabs>
      <w:ind w:left="198" w:hanging="198"/>
    </w:pPr>
    <w:rPr>
      <w:rFonts w:ascii="Garamond" w:hAnsi="Garamond"/>
    </w:rPr>
  </w:style>
  <w:style w:type="paragraph" w:styleId="IndexHeading">
    <w:name w:val="index heading"/>
    <w:basedOn w:val="Normal"/>
    <w:next w:val="Index1"/>
    <w:semiHidden/>
    <w:rsid w:val="004B5F16"/>
    <w:pPr>
      <w:spacing w:before="120" w:after="120"/>
    </w:pPr>
    <w:rPr>
      <w:rFonts w:ascii="Arial" w:hAnsi="Arial"/>
      <w:b/>
      <w:color w:val="918585"/>
      <w:sz w:val="24"/>
    </w:rPr>
  </w:style>
  <w:style w:type="paragraph" w:styleId="Header">
    <w:name w:val="header"/>
    <w:basedOn w:val="Normal"/>
    <w:link w:val="HeaderChar"/>
    <w:rsid w:val="004B5F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5F16"/>
    <w:rPr>
      <w:rFonts w:ascii="Times New Roman" w:eastAsia="Times New Roman" w:hAnsi="Times New Roman" w:cs="Times New Roman"/>
      <w:sz w:val="16"/>
      <w:szCs w:val="20"/>
      <w:lang w:val="en-GB" w:eastAsia="en-US"/>
    </w:rPr>
  </w:style>
  <w:style w:type="paragraph" w:customStyle="1" w:styleId="Chapter">
    <w:name w:val="Chapter"/>
    <w:basedOn w:val="Normal"/>
    <w:rsid w:val="004B5F16"/>
    <w:pPr>
      <w:spacing w:before="240"/>
    </w:pPr>
    <w:rPr>
      <w:rFonts w:ascii="Times New Roman" w:hAnsi="Times New Roman"/>
      <w:smallCaps/>
      <w:spacing w:val="80"/>
      <w:sz w:val="28"/>
    </w:rPr>
  </w:style>
  <w:style w:type="paragraph" w:customStyle="1" w:styleId="InChapter">
    <w:name w:val="InChapter"/>
    <w:basedOn w:val="Heading3"/>
    <w:rsid w:val="004B5F16"/>
    <w:pPr>
      <w:spacing w:after="240"/>
      <w:outlineLvl w:val="9"/>
    </w:pPr>
    <w:rPr>
      <w:noProof/>
    </w:rPr>
  </w:style>
  <w:style w:type="paragraph" w:styleId="Index2">
    <w:name w:val="index 2"/>
    <w:basedOn w:val="Normal"/>
    <w:next w:val="Normal"/>
    <w:semiHidden/>
    <w:rsid w:val="004B5F16"/>
    <w:pPr>
      <w:tabs>
        <w:tab w:val="right" w:pos="4176"/>
      </w:tabs>
      <w:ind w:left="568" w:hanging="284"/>
    </w:pPr>
    <w:rPr>
      <w:rFonts w:ascii="Garamond" w:hAnsi="Garamond"/>
    </w:rPr>
  </w:style>
  <w:style w:type="paragraph" w:customStyle="1" w:styleId="Byline">
    <w:name w:val="Byline"/>
    <w:rsid w:val="004B5F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5F16"/>
    <w:pPr>
      <w:tabs>
        <w:tab w:val="clear" w:pos="3600"/>
        <w:tab w:val="clear" w:pos="3958"/>
      </w:tabs>
      <w:jc w:val="right"/>
    </w:pPr>
  </w:style>
  <w:style w:type="character" w:styleId="Emphasis">
    <w:name w:val="Emphasis"/>
    <w:basedOn w:val="DefaultParagraphFont"/>
    <w:qFormat/>
    <w:rsid w:val="004B5F16"/>
    <w:rPr>
      <w:i/>
    </w:rPr>
  </w:style>
  <w:style w:type="paragraph" w:styleId="Caption">
    <w:name w:val="caption"/>
    <w:basedOn w:val="BodyText"/>
    <w:next w:val="Normal"/>
    <w:qFormat/>
    <w:rsid w:val="004B5F16"/>
    <w:pPr>
      <w:framePr w:w="2268" w:hSpace="181" w:vSpace="181" w:wrap="around" w:vAnchor="text" w:hAnchor="page" w:x="1135" w:y="285" w:anchorLock="1"/>
    </w:pPr>
    <w:rPr>
      <w:i/>
    </w:rPr>
  </w:style>
  <w:style w:type="paragraph" w:customStyle="1" w:styleId="MiniTOCTitle">
    <w:name w:val="MiniTOCTitle"/>
    <w:basedOn w:val="Heading4"/>
    <w:rsid w:val="004B5F16"/>
    <w:pPr>
      <w:spacing w:before="240"/>
      <w:outlineLvl w:val="9"/>
    </w:pPr>
    <w:rPr>
      <w:noProof/>
      <w:sz w:val="24"/>
    </w:rPr>
  </w:style>
  <w:style w:type="paragraph" w:customStyle="1" w:styleId="MiniTOCItem">
    <w:name w:val="MiniTOCItem"/>
    <w:basedOn w:val="ListBullet"/>
    <w:rsid w:val="004B5F16"/>
    <w:pPr>
      <w:numPr>
        <w:numId w:val="0"/>
      </w:numPr>
      <w:tabs>
        <w:tab w:val="right" w:leader="dot" w:pos="6521"/>
      </w:tabs>
      <w:spacing w:before="0" w:after="0"/>
    </w:pPr>
  </w:style>
  <w:style w:type="paragraph" w:customStyle="1" w:styleId="TOFTitle">
    <w:name w:val="TOFTitle"/>
    <w:basedOn w:val="TOCTitle"/>
    <w:rsid w:val="004B5F16"/>
  </w:style>
  <w:style w:type="paragraph" w:styleId="TableofFigures">
    <w:name w:val="table of figures"/>
    <w:basedOn w:val="Normal"/>
    <w:next w:val="Normal"/>
    <w:semiHidden/>
    <w:rsid w:val="004B5F16"/>
    <w:pPr>
      <w:tabs>
        <w:tab w:val="right" w:leader="dot" w:pos="9072"/>
      </w:tabs>
      <w:ind w:left="970" w:hanging="403"/>
    </w:pPr>
    <w:rPr>
      <w:rFonts w:ascii="Times New Roman" w:hAnsi="Times New Roman"/>
      <w:b/>
    </w:rPr>
  </w:style>
  <w:style w:type="paragraph" w:styleId="ListNumber">
    <w:name w:val="List Number"/>
    <w:basedOn w:val="List"/>
    <w:rsid w:val="004B5F16"/>
    <w:pPr>
      <w:numPr>
        <w:numId w:val="11"/>
      </w:numPr>
    </w:pPr>
  </w:style>
  <w:style w:type="character" w:customStyle="1" w:styleId="WingdingSymbols">
    <w:name w:val="Wingding Symbols"/>
    <w:rsid w:val="004B5F16"/>
    <w:rPr>
      <w:rFonts w:ascii="Wingdings" w:hAnsi="Wingdings"/>
    </w:rPr>
  </w:style>
  <w:style w:type="paragraph" w:customStyle="1" w:styleId="TableHeading">
    <w:name w:val="Table Heading"/>
    <w:basedOn w:val="HeadingBase"/>
    <w:rsid w:val="004B5F16"/>
    <w:pPr>
      <w:keepLines/>
      <w:pBdr>
        <w:bottom w:val="single" w:sz="6" w:space="1" w:color="918585"/>
      </w:pBdr>
      <w:spacing w:before="240"/>
    </w:pPr>
  </w:style>
  <w:style w:type="character" w:customStyle="1" w:styleId="HotSpot">
    <w:name w:val="HotSpot"/>
    <w:rsid w:val="004B5F16"/>
    <w:rPr>
      <w:color w:val="0033CC"/>
      <w:u w:val="none"/>
    </w:rPr>
  </w:style>
  <w:style w:type="paragraph" w:customStyle="1" w:styleId="BodyTextRight">
    <w:name w:val="Body Text Right"/>
    <w:basedOn w:val="BodyText"/>
    <w:rsid w:val="004B5F16"/>
    <w:pPr>
      <w:spacing w:before="0" w:after="0"/>
      <w:jc w:val="right"/>
    </w:pPr>
  </w:style>
  <w:style w:type="paragraph" w:styleId="Index3">
    <w:name w:val="index 3"/>
    <w:basedOn w:val="ListNumber2"/>
    <w:next w:val="Normal"/>
    <w:semiHidden/>
    <w:rsid w:val="004B5F16"/>
    <w:pPr>
      <w:numPr>
        <w:numId w:val="0"/>
      </w:numPr>
      <w:tabs>
        <w:tab w:val="right" w:leader="dot" w:pos="4176"/>
      </w:tabs>
    </w:pPr>
  </w:style>
  <w:style w:type="paragraph" w:styleId="ListNumber2">
    <w:name w:val="List Number 2"/>
    <w:basedOn w:val="List2"/>
    <w:rsid w:val="004B5F16"/>
    <w:pPr>
      <w:numPr>
        <w:numId w:val="10"/>
      </w:numPr>
      <w:tabs>
        <w:tab w:val="clear" w:pos="1060"/>
      </w:tabs>
    </w:pPr>
  </w:style>
  <w:style w:type="paragraph" w:customStyle="1" w:styleId="MarginNote">
    <w:name w:val="Margin Note"/>
    <w:basedOn w:val="BodyText"/>
    <w:rsid w:val="004B5F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5F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5F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5F16"/>
    <w:rPr>
      <w:sz w:val="32"/>
    </w:rPr>
  </w:style>
  <w:style w:type="paragraph" w:customStyle="1" w:styleId="HeadingProcedure">
    <w:name w:val="Heading Procedure"/>
    <w:basedOn w:val="HeadingBase"/>
    <w:next w:val="Normal"/>
    <w:rsid w:val="004B5F16"/>
    <w:pPr>
      <w:tabs>
        <w:tab w:val="left" w:pos="0"/>
      </w:tabs>
      <w:spacing w:before="120" w:after="60"/>
    </w:pPr>
    <w:rPr>
      <w:i/>
      <w:color w:val="918585"/>
      <w:sz w:val="22"/>
    </w:rPr>
  </w:style>
  <w:style w:type="paragraph" w:customStyle="1" w:styleId="TableBodyText">
    <w:name w:val="Table Body Text"/>
    <w:basedOn w:val="BodyText"/>
    <w:rsid w:val="004B5F16"/>
    <w:pPr>
      <w:spacing w:before="60" w:after="60"/>
    </w:pPr>
  </w:style>
  <w:style w:type="paragraph" w:styleId="ListContinue">
    <w:name w:val="List Continue"/>
    <w:basedOn w:val="List"/>
    <w:rsid w:val="004B5F16"/>
    <w:pPr>
      <w:ind w:firstLine="0"/>
    </w:pPr>
  </w:style>
  <w:style w:type="paragraph" w:customStyle="1" w:styleId="ListNote">
    <w:name w:val="List Note"/>
    <w:basedOn w:val="List"/>
    <w:rsid w:val="004B5F16"/>
    <w:pPr>
      <w:pBdr>
        <w:top w:val="single" w:sz="6" w:space="2" w:color="918585"/>
        <w:bottom w:val="single" w:sz="6" w:space="2" w:color="918585"/>
      </w:pBdr>
      <w:tabs>
        <w:tab w:val="left" w:pos="1021"/>
      </w:tabs>
      <w:ind w:firstLine="0"/>
    </w:pPr>
  </w:style>
  <w:style w:type="paragraph" w:customStyle="1" w:styleId="Warning">
    <w:name w:val="Warning"/>
    <w:basedOn w:val="BodyText"/>
    <w:rsid w:val="004B5F16"/>
    <w:pPr>
      <w:shd w:val="clear" w:color="auto" w:fill="D9D9D9"/>
      <w:tabs>
        <w:tab w:val="left" w:pos="992"/>
      </w:tabs>
      <w:ind w:left="119" w:right="119"/>
    </w:pPr>
    <w:rPr>
      <w:sz w:val="20"/>
    </w:rPr>
  </w:style>
  <w:style w:type="paragraph" w:customStyle="1" w:styleId="MarginIcons">
    <w:name w:val="Margin Icons"/>
    <w:basedOn w:val="BodyText"/>
    <w:rsid w:val="004B5F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5F16"/>
    <w:rPr>
      <w:rFonts w:ascii="Courier New" w:hAnsi="Courier New"/>
    </w:rPr>
  </w:style>
  <w:style w:type="paragraph" w:customStyle="1" w:styleId="NoteBullet">
    <w:name w:val="Note Bullet"/>
    <w:basedOn w:val="Note"/>
    <w:rsid w:val="004B5F16"/>
    <w:pPr>
      <w:tabs>
        <w:tab w:val="clear" w:pos="680"/>
      </w:tabs>
      <w:spacing w:before="60" w:after="60"/>
    </w:pPr>
  </w:style>
  <w:style w:type="paragraph" w:customStyle="1" w:styleId="SubHeading2">
    <w:name w:val="SubHeading2"/>
    <w:basedOn w:val="HeadingBase"/>
    <w:rsid w:val="004B5F16"/>
    <w:pPr>
      <w:spacing w:before="240" w:after="60"/>
    </w:pPr>
    <w:rPr>
      <w:sz w:val="20"/>
    </w:rPr>
  </w:style>
  <w:style w:type="paragraph" w:customStyle="1" w:styleId="SubHeading1">
    <w:name w:val="SubHeading1"/>
    <w:basedOn w:val="HeadingBase"/>
    <w:rsid w:val="004B5F16"/>
    <w:pPr>
      <w:spacing w:before="240" w:after="60"/>
    </w:pPr>
    <w:rPr>
      <w:color w:val="918585"/>
      <w:sz w:val="22"/>
    </w:rPr>
  </w:style>
  <w:style w:type="paragraph" w:customStyle="1" w:styleId="SideHeading">
    <w:name w:val="Side Heading"/>
    <w:basedOn w:val="HeadingBase"/>
    <w:rsid w:val="004B5F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5F16"/>
    <w:pPr>
      <w:numPr>
        <w:numId w:val="12"/>
      </w:numPr>
    </w:pPr>
  </w:style>
  <w:style w:type="paragraph" w:styleId="PlainText">
    <w:name w:val="Plain Text"/>
    <w:basedOn w:val="Normal"/>
    <w:link w:val="PlainTextChar"/>
    <w:rsid w:val="004B5F16"/>
    <w:rPr>
      <w:sz w:val="20"/>
    </w:rPr>
  </w:style>
  <w:style w:type="character" w:customStyle="1" w:styleId="PlainTextChar">
    <w:name w:val="Plain Text Char"/>
    <w:basedOn w:val="DefaultParagraphFont"/>
    <w:link w:val="PlainText"/>
    <w:rsid w:val="004B5F16"/>
    <w:rPr>
      <w:rFonts w:ascii="Courier New" w:eastAsia="Times New Roman" w:hAnsi="Courier New" w:cs="Times New Roman"/>
      <w:sz w:val="20"/>
      <w:szCs w:val="20"/>
      <w:lang w:eastAsia="en-US"/>
    </w:rPr>
  </w:style>
  <w:style w:type="character" w:customStyle="1" w:styleId="MenuOption">
    <w:name w:val="Menu Option"/>
    <w:basedOn w:val="DefaultParagraphFont"/>
    <w:rsid w:val="004B5F16"/>
    <w:rPr>
      <w:b/>
      <w:smallCaps/>
    </w:rPr>
  </w:style>
  <w:style w:type="paragraph" w:customStyle="1" w:styleId="TableListNumber">
    <w:name w:val="Table List Number"/>
    <w:basedOn w:val="ListNumber"/>
    <w:rsid w:val="004B5F16"/>
    <w:pPr>
      <w:numPr>
        <w:numId w:val="0"/>
      </w:numPr>
    </w:pPr>
  </w:style>
  <w:style w:type="paragraph" w:styleId="TOC4">
    <w:name w:val="toc 4"/>
    <w:basedOn w:val="TOCBase"/>
    <w:next w:val="Normal"/>
    <w:semiHidden/>
    <w:rsid w:val="004B5F16"/>
    <w:pPr>
      <w:tabs>
        <w:tab w:val="right" w:leader="dot" w:pos="9071"/>
      </w:tabs>
      <w:ind w:left="1701"/>
    </w:pPr>
  </w:style>
  <w:style w:type="paragraph" w:customStyle="1" w:styleId="ListAlpha">
    <w:name w:val="List Alpha"/>
    <w:basedOn w:val="List"/>
    <w:rsid w:val="004B5F16"/>
    <w:pPr>
      <w:numPr>
        <w:numId w:val="9"/>
      </w:numPr>
    </w:pPr>
  </w:style>
  <w:style w:type="paragraph" w:customStyle="1" w:styleId="ListAlpha2">
    <w:name w:val="List Alpha 2"/>
    <w:basedOn w:val="List2"/>
    <w:rsid w:val="004B5F16"/>
    <w:pPr>
      <w:numPr>
        <w:numId w:val="8"/>
      </w:numPr>
    </w:pPr>
  </w:style>
  <w:style w:type="paragraph" w:styleId="List2">
    <w:name w:val="List 2"/>
    <w:basedOn w:val="BodyText"/>
    <w:rsid w:val="004B5F16"/>
    <w:pPr>
      <w:tabs>
        <w:tab w:val="left" w:pos="680"/>
      </w:tabs>
      <w:spacing w:before="60" w:after="60"/>
      <w:ind w:left="680" w:hanging="340"/>
    </w:pPr>
  </w:style>
  <w:style w:type="paragraph" w:styleId="List3">
    <w:name w:val="List 3"/>
    <w:basedOn w:val="BodyText"/>
    <w:rsid w:val="004B5F16"/>
    <w:pPr>
      <w:tabs>
        <w:tab w:val="left" w:pos="1021"/>
      </w:tabs>
      <w:spacing w:before="60" w:after="60"/>
      <w:ind w:left="1020" w:hanging="340"/>
    </w:pPr>
  </w:style>
  <w:style w:type="paragraph" w:styleId="List4">
    <w:name w:val="List 4"/>
    <w:basedOn w:val="BodyText"/>
    <w:rsid w:val="004B5F16"/>
    <w:pPr>
      <w:tabs>
        <w:tab w:val="left" w:pos="1361"/>
      </w:tabs>
      <w:spacing w:before="60" w:after="60"/>
      <w:ind w:left="1361" w:hanging="340"/>
    </w:pPr>
  </w:style>
  <w:style w:type="paragraph" w:styleId="List5">
    <w:name w:val="List 5"/>
    <w:basedOn w:val="BodyText"/>
    <w:rsid w:val="004B5F16"/>
    <w:pPr>
      <w:tabs>
        <w:tab w:val="left" w:pos="1701"/>
      </w:tabs>
      <w:spacing w:before="60" w:after="60"/>
      <w:ind w:left="1701" w:hanging="340"/>
    </w:pPr>
  </w:style>
  <w:style w:type="paragraph" w:styleId="ListBullet3">
    <w:name w:val="List Bullet 3"/>
    <w:basedOn w:val="List3"/>
    <w:rsid w:val="004B5F16"/>
    <w:pPr>
      <w:numPr>
        <w:numId w:val="15"/>
      </w:numPr>
      <w:tabs>
        <w:tab w:val="clear" w:pos="1021"/>
      </w:tabs>
      <w:ind w:left="1037" w:hanging="357"/>
    </w:pPr>
  </w:style>
  <w:style w:type="paragraph" w:styleId="ListBullet4">
    <w:name w:val="List Bullet 4"/>
    <w:basedOn w:val="List4"/>
    <w:rsid w:val="004B5F16"/>
    <w:pPr>
      <w:numPr>
        <w:numId w:val="3"/>
      </w:numPr>
    </w:pPr>
  </w:style>
  <w:style w:type="paragraph" w:styleId="ListBullet5">
    <w:name w:val="List Bullet 5"/>
    <w:basedOn w:val="List5"/>
    <w:rsid w:val="004B5F16"/>
    <w:pPr>
      <w:numPr>
        <w:numId w:val="4"/>
      </w:numPr>
    </w:pPr>
  </w:style>
  <w:style w:type="paragraph" w:styleId="ListContinue2">
    <w:name w:val="List Continue 2"/>
    <w:basedOn w:val="List2"/>
    <w:rsid w:val="004B5F16"/>
    <w:pPr>
      <w:ind w:firstLine="0"/>
    </w:pPr>
  </w:style>
  <w:style w:type="paragraph" w:styleId="ListContinue3">
    <w:name w:val="List Continue 3"/>
    <w:basedOn w:val="List3"/>
    <w:rsid w:val="004B5F16"/>
    <w:pPr>
      <w:ind w:left="1021" w:firstLine="0"/>
    </w:pPr>
  </w:style>
  <w:style w:type="paragraph" w:styleId="ListContinue4">
    <w:name w:val="List Continue 4"/>
    <w:basedOn w:val="List4"/>
    <w:rsid w:val="004B5F16"/>
    <w:pPr>
      <w:ind w:firstLine="0"/>
    </w:pPr>
  </w:style>
  <w:style w:type="paragraph" w:styleId="ListContinue5">
    <w:name w:val="List Continue 5"/>
    <w:basedOn w:val="List5"/>
    <w:rsid w:val="004B5F16"/>
    <w:pPr>
      <w:ind w:firstLine="0"/>
    </w:pPr>
  </w:style>
  <w:style w:type="paragraph" w:styleId="ListNumber3">
    <w:name w:val="List Number 3"/>
    <w:basedOn w:val="List3"/>
    <w:rsid w:val="004B5F16"/>
    <w:pPr>
      <w:numPr>
        <w:numId w:val="5"/>
      </w:numPr>
    </w:pPr>
  </w:style>
  <w:style w:type="paragraph" w:styleId="ListNumber4">
    <w:name w:val="List Number 4"/>
    <w:basedOn w:val="List4"/>
    <w:rsid w:val="004B5F16"/>
    <w:pPr>
      <w:numPr>
        <w:numId w:val="6"/>
      </w:numPr>
    </w:pPr>
  </w:style>
  <w:style w:type="paragraph" w:styleId="ListNumber5">
    <w:name w:val="List Number 5"/>
    <w:basedOn w:val="List5"/>
    <w:rsid w:val="004B5F16"/>
    <w:pPr>
      <w:numPr>
        <w:numId w:val="7"/>
      </w:numPr>
    </w:pPr>
  </w:style>
  <w:style w:type="paragraph" w:styleId="BlockText">
    <w:name w:val="Block Text"/>
    <w:basedOn w:val="Normal"/>
    <w:rsid w:val="004B5F16"/>
    <w:pPr>
      <w:spacing w:after="120"/>
      <w:ind w:left="1440" w:right="1440"/>
    </w:pPr>
  </w:style>
  <w:style w:type="character" w:customStyle="1" w:styleId="Subscript">
    <w:name w:val="Subscript"/>
    <w:basedOn w:val="DefaultParagraphFont"/>
    <w:rsid w:val="004B5F16"/>
    <w:rPr>
      <w:sz w:val="16"/>
      <w:vertAlign w:val="subscript"/>
    </w:rPr>
  </w:style>
  <w:style w:type="character" w:customStyle="1" w:styleId="Superscript">
    <w:name w:val="Superscript"/>
    <w:basedOn w:val="DefaultParagraphFont"/>
    <w:rsid w:val="004B5F16"/>
    <w:rPr>
      <w:sz w:val="16"/>
      <w:vertAlign w:val="superscript"/>
    </w:rPr>
  </w:style>
  <w:style w:type="character" w:customStyle="1" w:styleId="Symbols">
    <w:name w:val="Symbols"/>
    <w:basedOn w:val="DefaultParagraphFont"/>
    <w:rsid w:val="004B5F16"/>
    <w:rPr>
      <w:rFonts w:ascii="Symbol" w:hAnsi="Symbol"/>
    </w:rPr>
  </w:style>
  <w:style w:type="character" w:customStyle="1" w:styleId="MenuOptions">
    <w:name w:val="Menu Options"/>
    <w:basedOn w:val="DefaultParagraphFont"/>
    <w:rsid w:val="004B5F16"/>
    <w:rPr>
      <w:rFonts w:ascii="Arial Narrow" w:hAnsi="Arial Narrow"/>
      <w:smallCaps/>
    </w:rPr>
  </w:style>
  <w:style w:type="character" w:customStyle="1" w:styleId="Buttons">
    <w:name w:val="Buttons"/>
    <w:basedOn w:val="DefaultParagraphFont"/>
    <w:rsid w:val="004B5F16"/>
    <w:rPr>
      <w:b/>
    </w:rPr>
  </w:style>
  <w:style w:type="character" w:customStyle="1" w:styleId="Underlined">
    <w:name w:val="Underlined"/>
    <w:basedOn w:val="DefaultParagraphFont"/>
    <w:rsid w:val="004B5F16"/>
    <w:rPr>
      <w:u w:val="single"/>
    </w:rPr>
  </w:style>
  <w:style w:type="paragraph" w:customStyle="1" w:styleId="TableBodyTextRight">
    <w:name w:val="Table Body Text Right"/>
    <w:basedOn w:val="TableBodyText"/>
    <w:rsid w:val="004B5F16"/>
    <w:pPr>
      <w:widowControl w:val="0"/>
      <w:autoSpaceDE w:val="0"/>
      <w:autoSpaceDN w:val="0"/>
      <w:adjustRightInd w:val="0"/>
      <w:jc w:val="right"/>
    </w:pPr>
    <w:rPr>
      <w:rFonts w:cs="Arial"/>
      <w:szCs w:val="18"/>
    </w:rPr>
  </w:style>
  <w:style w:type="paragraph" w:customStyle="1" w:styleId="CopyrightText">
    <w:name w:val="Copyright Text"/>
    <w:basedOn w:val="BodyText"/>
    <w:rsid w:val="004B5F16"/>
    <w:rPr>
      <w:sz w:val="18"/>
    </w:rPr>
  </w:style>
  <w:style w:type="paragraph" w:customStyle="1" w:styleId="BodySmallRight">
    <w:name w:val="Body Small Right"/>
    <w:basedOn w:val="BodyTextRight"/>
    <w:rsid w:val="004B5F16"/>
    <w:rPr>
      <w:sz w:val="18"/>
      <w:szCs w:val="18"/>
    </w:rPr>
  </w:style>
  <w:style w:type="paragraph" w:customStyle="1" w:styleId="MarginEdition">
    <w:name w:val="Margin Edition"/>
    <w:basedOn w:val="MarginNote"/>
    <w:rsid w:val="004B5F16"/>
    <w:pPr>
      <w:spacing w:before="0" w:after="0"/>
    </w:pPr>
    <w:rPr>
      <w:rFonts w:ascii="Times New Roman" w:hAnsi="Times New Roman"/>
      <w:color w:val="999999"/>
    </w:rPr>
  </w:style>
  <w:style w:type="paragraph" w:customStyle="1" w:styleId="Spacer">
    <w:name w:val="Spacer"/>
    <w:basedOn w:val="Normal"/>
    <w:rsid w:val="004B5F16"/>
    <w:rPr>
      <w:sz w:val="2"/>
      <w:szCs w:val="2"/>
    </w:rPr>
  </w:style>
  <w:style w:type="character" w:customStyle="1" w:styleId="Small">
    <w:name w:val="Small"/>
    <w:basedOn w:val="DefaultParagraphFont"/>
    <w:rsid w:val="004B5F16"/>
    <w:rPr>
      <w:sz w:val="16"/>
    </w:rPr>
  </w:style>
  <w:style w:type="paragraph" w:customStyle="1" w:styleId="WideTable">
    <w:name w:val="Wide Table"/>
    <w:basedOn w:val="Normal"/>
    <w:rsid w:val="004B5F16"/>
    <w:pPr>
      <w:ind w:left="-1418"/>
    </w:pPr>
    <w:rPr>
      <w:sz w:val="2"/>
      <w:szCs w:val="2"/>
    </w:rPr>
  </w:style>
  <w:style w:type="character" w:styleId="PageNumber">
    <w:name w:val="page number"/>
    <w:basedOn w:val="DefaultParagraphFont"/>
    <w:rsid w:val="004B5F16"/>
  </w:style>
  <w:style w:type="paragraph" w:styleId="Quote">
    <w:name w:val="Quote"/>
    <w:basedOn w:val="Heading1"/>
    <w:link w:val="QuoteChar"/>
    <w:qFormat/>
    <w:rsid w:val="004B5F16"/>
    <w:rPr>
      <w:b w:val="0"/>
      <w:sz w:val="72"/>
      <w:szCs w:val="72"/>
      <w:lang w:val="en-NZ"/>
    </w:rPr>
  </w:style>
  <w:style w:type="character" w:customStyle="1" w:styleId="QuoteChar">
    <w:name w:val="Quote Char"/>
    <w:basedOn w:val="DefaultParagraphFont"/>
    <w:link w:val="Quote"/>
    <w:rsid w:val="004B5F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5F16"/>
    <w:pPr>
      <w:pageBreakBefore/>
    </w:pPr>
  </w:style>
  <w:style w:type="paragraph" w:customStyle="1" w:styleId="Border">
    <w:name w:val="Border"/>
    <w:basedOn w:val="Normal"/>
    <w:qFormat/>
    <w:rsid w:val="004B5F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5F16"/>
    <w:rPr>
      <w:b/>
      <w:bCs/>
      <w:i/>
      <w:iCs/>
      <w:color w:val="auto"/>
    </w:rPr>
  </w:style>
  <w:style w:type="paragraph" w:styleId="IntenseQuote">
    <w:name w:val="Intense Quote"/>
    <w:basedOn w:val="Normal"/>
    <w:next w:val="Normal"/>
    <w:link w:val="IntenseQuoteChar"/>
    <w:uiPriority w:val="30"/>
    <w:qFormat/>
    <w:rsid w:val="004B5F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5F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5F16"/>
    <w:rPr>
      <w:smallCaps/>
      <w:color w:val="auto"/>
      <w:u w:val="single"/>
    </w:rPr>
  </w:style>
  <w:style w:type="character" w:styleId="IntenseReference">
    <w:name w:val="Intense Reference"/>
    <w:basedOn w:val="DefaultParagraphFont"/>
    <w:uiPriority w:val="32"/>
    <w:qFormat/>
    <w:rsid w:val="004B5F16"/>
    <w:rPr>
      <w:b/>
      <w:bCs/>
      <w:smallCaps/>
      <w:color w:val="auto"/>
      <w:spacing w:val="5"/>
      <w:u w:val="single"/>
    </w:rPr>
  </w:style>
  <w:style w:type="paragraph" w:customStyle="1" w:styleId="2ColumnHeading">
    <w:name w:val="2Column Heading"/>
    <w:basedOn w:val="BodyText"/>
    <w:qFormat/>
    <w:rsid w:val="004B5F16"/>
    <w:pPr>
      <w:spacing w:after="60"/>
      <w:ind w:left="-2268"/>
    </w:pPr>
    <w:rPr>
      <w:b/>
    </w:rPr>
  </w:style>
  <w:style w:type="paragraph" w:customStyle="1" w:styleId="Heading1TOC">
    <w:name w:val="Heading1 TOC"/>
    <w:basedOn w:val="Normal"/>
    <w:qFormat/>
    <w:rsid w:val="004B5F16"/>
    <w:pPr>
      <w:spacing w:before="240" w:after="120"/>
    </w:pPr>
    <w:rPr>
      <w:rFonts w:ascii="Times New Roman" w:hAnsi="Times New Roman"/>
      <w:b/>
      <w:sz w:val="32"/>
    </w:rPr>
  </w:style>
  <w:style w:type="paragraph" w:customStyle="1" w:styleId="Heading2TOC">
    <w:name w:val="Heading2 TOC"/>
    <w:basedOn w:val="Normal"/>
    <w:qFormat/>
    <w:rsid w:val="004B5F16"/>
    <w:pPr>
      <w:spacing w:before="240" w:after="60"/>
    </w:pPr>
    <w:rPr>
      <w:rFonts w:ascii="Times New Roman" w:hAnsi="Times New Roman"/>
      <w:b/>
      <w:sz w:val="28"/>
    </w:rPr>
  </w:style>
  <w:style w:type="character" w:customStyle="1" w:styleId="Underline">
    <w:name w:val="Underline"/>
    <w:basedOn w:val="DefaultParagraphFont"/>
    <w:qFormat/>
    <w:rsid w:val="004B5F16"/>
    <w:rPr>
      <w:u w:val="single"/>
    </w:rPr>
  </w:style>
  <w:style w:type="character" w:customStyle="1" w:styleId="BoldandItalics">
    <w:name w:val="Bold and Italics"/>
    <w:qFormat/>
    <w:rsid w:val="004B5F16"/>
    <w:rPr>
      <w:b/>
      <w:i/>
      <w:u w:val="none"/>
    </w:rPr>
  </w:style>
  <w:style w:type="paragraph" w:styleId="BalloonText">
    <w:name w:val="Balloon Text"/>
    <w:basedOn w:val="Normal"/>
    <w:link w:val="BalloonTextChar"/>
    <w:rsid w:val="004B5F16"/>
    <w:rPr>
      <w:rFonts w:ascii="Tahoma" w:hAnsi="Tahoma" w:cs="Tahoma"/>
      <w:sz w:val="16"/>
      <w:szCs w:val="16"/>
    </w:rPr>
  </w:style>
  <w:style w:type="character" w:customStyle="1" w:styleId="BalloonTextChar">
    <w:name w:val="Balloon Text Char"/>
    <w:basedOn w:val="DefaultParagraphFont"/>
    <w:link w:val="BalloonText"/>
    <w:rsid w:val="004B5F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5F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5F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5F16"/>
    <w:rPr>
      <w:b/>
      <w:color w:val="660033"/>
      <w:spacing w:val="0"/>
    </w:rPr>
  </w:style>
  <w:style w:type="paragraph" w:customStyle="1" w:styleId="Nameditemlist">
    <w:name w:val="Named item list"/>
    <w:basedOn w:val="BodyText"/>
    <w:qFormat/>
    <w:rsid w:val="004B5F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1357</Words>
  <Characters>8309</Characters>
  <Application>Microsoft Office Word</Application>
  <DocSecurity>0</DocSecurity>
  <Lines>364</Lines>
  <Paragraphs>203</Paragraphs>
  <ScaleCrop>false</ScaleCrop>
  <Company>Author-it Software Corporation Ltd.</Company>
  <LinksUpToDate>false</LinksUpToDate>
  <CharactersWithSpaces>9553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PMAOPS261A Operate bulk solids loading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2013-06-23T08:58:00Z</dcterms:created>
  <dcterms:modified xsi:type="dcterms:W3CDTF">2013-06-23T08:58:00Z</dcterms:modified>
</cp:coreProperties>
</file>