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7F6" w:rsidP="00AC67F6">
      <w:pPr>
        <w:pStyle w:val="Title"/>
      </w:pPr>
      <w:r>
        <w:fldChar w:fldCharType="begin"/>
      </w:r>
      <w:r>
        <w:instrText xml:space="preserve"> TITLE   \* MERGEFORMAT </w:instrText>
      </w:r>
      <w:r>
        <w:fldChar w:fldCharType="separate"/>
      </w:r>
      <w:r>
        <w:t>PMAOPS260A Conduct screening operations</w:t>
      </w:r>
      <w:r>
        <w:fldChar w:fldCharType="end"/>
      </w:r>
    </w:p>
    <w:p w:rsidR="00AC67F6" w:rsidP="00AC67F6">
      <w:pPr>
        <w:pStyle w:val="Version"/>
        <w:sectPr w:rsidSect="00A37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374" w:rsidP="00A37374">
      <w:pPr>
        <w:pStyle w:val="SuperHeading"/>
      </w:pPr>
      <w:r w:rsidRPr="00A37374">
        <w:t>PMAOPS260A Conduct screening operations</w:t>
      </w:r>
    </w:p>
    <w:p w:rsidR="00000000" w:rsidRPr="00A37374" w:rsidP="00A37374">
      <w:pPr>
        <w:pStyle w:val="Heading1"/>
      </w:pPr>
      <w:bookmarkStart w:id="1" w:name="O_569047"/>
      <w:bookmarkEnd w:id="1"/>
      <w:r w:rsidRPr="00A37374">
        <w:t>Modification History</w:t>
      </w:r>
    </w:p>
    <w:p w:rsidR="00000000" w:rsidRPr="00A37374" w:rsidP="00A37374">
      <w:pPr>
        <w:pStyle w:val="BodyText"/>
      </w:pPr>
      <w:r w:rsidRPr="00A37374">
        <w:t>Release 1 – New unit</w:t>
      </w:r>
    </w:p>
    <w:p w:rsidR="00000000" w:rsidRPr="00A37374" w:rsidP="00A37374">
      <w:pPr>
        <w:pStyle w:val="AllowPageBreak"/>
      </w:pPr>
    </w:p>
    <w:p w:rsidR="00000000" w:rsidRPr="00A37374" w:rsidP="00A37374">
      <w:pPr>
        <w:pStyle w:val="Heading1"/>
      </w:pPr>
      <w:bookmarkStart w:id="2" w:name="O_569059"/>
      <w:bookmarkEnd w:id="2"/>
      <w:r w:rsidRPr="00A37374">
        <w:t>Unit Descriptor</w:t>
      </w:r>
    </w:p>
    <w:p w:rsidR="00000000" w:rsidRPr="00A37374" w:rsidP="00A37374">
      <w:pPr>
        <w:pStyle w:val="BodyText"/>
      </w:pPr>
      <w:r w:rsidRPr="00A37374">
        <w:t>This unit of competency covers the skills and knowledge needed to conduct screening operations in metalliferous processing, extractive and other industries using screens to separate</w:t>
      </w:r>
      <w:r w:rsidRPr="00A37374">
        <w:t xml:space="preserve"> coarser from finer solids. It includes the planning and preparing for operations, conducting screening plant operations and carrying out post-operational procedures.</w:t>
      </w:r>
    </w:p>
    <w:p w:rsidR="00000000" w:rsidRPr="00A37374" w:rsidP="00A37374">
      <w:pPr>
        <w:pStyle w:val="AllowPageBreak"/>
      </w:pPr>
    </w:p>
    <w:p w:rsidR="00000000" w:rsidRPr="00A37374" w:rsidP="00A37374">
      <w:pPr>
        <w:pStyle w:val="Heading1"/>
      </w:pPr>
      <w:bookmarkStart w:id="3" w:name="O_569058"/>
      <w:bookmarkEnd w:id="3"/>
      <w:r w:rsidRPr="00A37374">
        <w:t>Application of the Unit</w:t>
      </w:r>
    </w:p>
    <w:p w:rsidR="00000000" w:rsidRPr="00A37374" w:rsidP="00A37374">
      <w:pPr>
        <w:pStyle w:val="BodyText"/>
      </w:pPr>
      <w:r w:rsidRPr="00A37374">
        <w:t>This unit applies to a person who has the respon</w:t>
      </w:r>
      <w:r w:rsidRPr="00A37374">
        <w:t xml:space="preserve">sibility for starting, stopping and monitoring screening operations and covers a variety of screen types. </w:t>
      </w:r>
    </w:p>
    <w:p w:rsidR="00000000" w:rsidRPr="00A37374" w:rsidP="00A37374">
      <w:pPr>
        <w:pStyle w:val="BodyText"/>
      </w:pPr>
    </w:p>
    <w:p w:rsidR="00000000" w:rsidRPr="00A37374" w:rsidP="00A37374">
      <w:pPr>
        <w:pStyle w:val="BodyText"/>
      </w:pPr>
      <w:r w:rsidRPr="00A37374">
        <w:t xml:space="preserve">This unit applies to an individual working alone or as part of a team or group and working in liaison with other shift team members and the control </w:t>
      </w:r>
      <w:r w:rsidRPr="00A37374">
        <w:t>room operator, as appropriate.</w:t>
      </w:r>
    </w:p>
    <w:p w:rsidR="00000000" w:rsidRPr="00A37374" w:rsidP="00A37374">
      <w:pPr>
        <w:pStyle w:val="BodyText"/>
      </w:pPr>
    </w:p>
    <w:p w:rsidR="00000000" w:rsidRPr="00A37374" w:rsidP="00A37374">
      <w:pPr>
        <w:pStyle w:val="BodyText"/>
      </w:pPr>
      <w:r w:rsidRPr="00A37374">
        <w:t xml:space="preserve">This unit has a relationship with other materials handling competencies, such as </w:t>
      </w:r>
      <w:r w:rsidRPr="00A37374">
        <w:rPr>
          <w:rStyle w:val="Emphasis"/>
        </w:rPr>
        <w:t>PMC552008B Operate crushing equipment, PMC562070B Move materials and PMAOPS210B Operate particulates handling equipment,</w:t>
      </w:r>
      <w:r w:rsidRPr="00A37374">
        <w:t xml:space="preserve"> which may apply as par</w:t>
      </w:r>
      <w:r w:rsidRPr="00A37374">
        <w:t>t of the processing operation.</w:t>
      </w:r>
    </w:p>
    <w:p w:rsidR="00000000" w:rsidRPr="00A37374" w:rsidP="00A37374">
      <w:pPr>
        <w:pStyle w:val="BodyText"/>
      </w:pPr>
    </w:p>
    <w:p w:rsidR="00000000" w:rsidRPr="00A37374" w:rsidP="00A37374">
      <w:pPr>
        <w:pStyle w:val="BodyText"/>
      </w:pPr>
      <w:r w:rsidRPr="00A37374">
        <w:t>This unit requires a detailed knowledge of screening operations, screen types and operating principles.</w:t>
      </w:r>
    </w:p>
    <w:p w:rsidR="00000000" w:rsidRPr="00A37374" w:rsidP="00A37374">
      <w:pPr>
        <w:pStyle w:val="BodyText"/>
      </w:pPr>
    </w:p>
    <w:p w:rsidR="00AC67F6" w:rsidP="00A37374">
      <w:pPr>
        <w:pStyle w:val="BodyText"/>
      </w:pPr>
      <w:r w:rsidRPr="00A37374">
        <w:t>This unit has been written to apply to screening/sizing operations as they occur with crushed/ground solid material. Ho</w:t>
      </w:r>
      <w:r w:rsidRPr="00A37374">
        <w:t>wever, it should also be applicable to applications wherever particulates of different sizes need to be separated/classified, such as plastic pellets, and where solids feed to a process, with appropriate contextualisation.</w:t>
      </w:r>
    </w:p>
    <w:p w:rsidR="00AC67F6" w:rsidP="00A37374">
      <w:pPr>
        <w:pStyle w:val="BodyText"/>
      </w:pPr>
    </w:p>
    <w:p w:rsidR="00000000" w:rsidRPr="00A37374" w:rsidP="00A37374">
      <w:pPr>
        <w:pStyle w:val="Heading1"/>
      </w:pPr>
      <w:bookmarkStart w:id="4" w:name="O_569057"/>
      <w:bookmarkEnd w:id="4"/>
      <w:r w:rsidRPr="00A37374">
        <w:t>Licensing/Regul</w:t>
      </w:r>
      <w:r w:rsidRPr="00A37374">
        <w:t>atory Information</w:t>
      </w:r>
    </w:p>
    <w:p w:rsidR="00000000" w:rsidRPr="00A37374" w:rsidP="00A37374">
      <w:pPr>
        <w:pStyle w:val="BodyText"/>
      </w:pPr>
      <w:r w:rsidRPr="00A37374">
        <w:t>Not applicable.</w:t>
      </w:r>
    </w:p>
    <w:p w:rsidR="00000000" w:rsidRPr="00A37374" w:rsidP="00A37374">
      <w:pPr>
        <w:pStyle w:val="AllowPageBreak"/>
      </w:pPr>
    </w:p>
    <w:p w:rsidR="00000000" w:rsidRPr="00A37374" w:rsidP="00A37374">
      <w:pPr>
        <w:pStyle w:val="Heading1"/>
      </w:pPr>
      <w:bookmarkStart w:id="5" w:name="O_569056"/>
      <w:bookmarkEnd w:id="5"/>
      <w:r w:rsidRPr="00A37374">
        <w:t>Pre-Requisites</w:t>
      </w:r>
    </w:p>
    <w:p w:rsidR="00000000" w:rsidRPr="00A37374" w:rsidP="00A37374">
      <w:pPr>
        <w:pStyle w:val="BodyText"/>
      </w:pPr>
      <w:r w:rsidRPr="00A37374">
        <w:t>Not applicable.</w:t>
      </w:r>
    </w:p>
    <w:p w:rsidR="00000000" w:rsidRPr="00A37374" w:rsidP="00A37374">
      <w:pPr>
        <w:pStyle w:val="AllowPageBreak"/>
      </w:pPr>
    </w:p>
    <w:p w:rsidR="00000000" w:rsidRPr="00A37374" w:rsidP="00A37374">
      <w:pPr>
        <w:pStyle w:val="Heading1"/>
      </w:pPr>
      <w:bookmarkStart w:id="6" w:name="O_569055"/>
      <w:bookmarkEnd w:id="6"/>
      <w:r w:rsidRPr="00A37374">
        <w:t>Employability Skills Information</w:t>
      </w:r>
    </w:p>
    <w:p w:rsidR="00AC67F6" w:rsidP="00A37374">
      <w:pPr>
        <w:pStyle w:val="BodyText"/>
      </w:pPr>
      <w:r w:rsidRPr="00A37374">
        <w:t>This unit contains employability skills.</w:t>
      </w:r>
    </w:p>
    <w:p w:rsidR="00AC67F6" w:rsidP="00A37374">
      <w:pPr>
        <w:pStyle w:val="BodyText"/>
      </w:pPr>
    </w:p>
    <w:p w:rsidR="00000000" w:rsidRPr="00A37374" w:rsidP="00A37374">
      <w:pPr>
        <w:pStyle w:val="Heading1"/>
      </w:pPr>
      <w:bookmarkStart w:id="7" w:name="O_569054"/>
      <w:bookmarkEnd w:id="7"/>
      <w:r w:rsidRPr="00A37374">
        <w:t>Elements and Performance Criteria Pre-Content</w:t>
      </w:r>
    </w:p>
    <w:tbl>
      <w:tblPr>
        <w:tblW w:w="0" w:type="auto"/>
        <w:tblCellMar>
          <w:left w:w="62" w:type="dxa"/>
          <w:right w:w="62" w:type="dxa"/>
        </w:tblCellMar>
        <w:tblLook w:val="0000"/>
      </w:tblPr>
      <w:tblGrid>
        <w:gridCol w:w="2576"/>
        <w:gridCol w:w="6620"/>
      </w:tblGrid>
      <w:tr w:rsidTr="00AC67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Performance criteria describe the performance needed to demonstrate achievement of the element. Where bold italicised text is used, further information is detailed in the required skills and</w:t>
            </w:r>
            <w:r w:rsidRPr="00A37374">
              <w:t xml:space="preserve"> knowledge section and the range statement. Assessment of performance is to be consistent with the evidence guide.</w:t>
            </w:r>
          </w:p>
        </w:tc>
      </w:tr>
    </w:tbl>
    <w:p w:rsidR="00AC67F6" w:rsidP="00A37374">
      <w:pPr>
        <w:pStyle w:val="BodyText"/>
      </w:pPr>
    </w:p>
    <w:p w:rsidR="00AC67F6" w:rsidP="00A37374">
      <w:pPr>
        <w:pStyle w:val="BodyText"/>
      </w:pPr>
    </w:p>
    <w:p w:rsidR="00000000" w:rsidRPr="00A37374" w:rsidP="00A37374">
      <w:pPr>
        <w:pStyle w:val="Heading1"/>
      </w:pPr>
      <w:bookmarkStart w:id="8" w:name="O_569053"/>
      <w:bookmarkEnd w:id="8"/>
      <w:r w:rsidRPr="00A37374">
        <w:t>Elements and Performance Criteria</w:t>
      </w:r>
    </w:p>
    <w:p w:rsidR="00000000" w:rsidRPr="00A37374" w:rsidP="00A37374">
      <w:pPr>
        <w:pStyle w:val="BodyText"/>
      </w:pPr>
    </w:p>
    <w:tbl>
      <w:tblPr>
        <w:tblW w:w="0" w:type="auto"/>
        <w:tblLayout w:type="fixed"/>
        <w:tblCellMar>
          <w:left w:w="62" w:type="dxa"/>
          <w:right w:w="62" w:type="dxa"/>
        </w:tblCellMar>
        <w:tblLook w:val="0000"/>
      </w:tblPr>
      <w:tblGrid>
        <w:gridCol w:w="678"/>
        <w:gridCol w:w="1962"/>
        <w:gridCol w:w="770"/>
        <w:gridCol w:w="5610"/>
      </w:tblGrid>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1</w:t>
            </w:r>
          </w:p>
        </w:tc>
        <w:tc>
          <w:tcPr>
            <w:tcW w:w="1962" w:type="dxa"/>
            <w:vMerge w:val="restart"/>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1.1</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Identify work requirements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1.2</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Coordinate with appropriate personnel</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1.3</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Check screen feed and discharge areas for obstructions and hazards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1.4</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Check operational status of equipment</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1.5</w:t>
            </w:r>
          </w:p>
        </w:tc>
        <w:tc>
          <w:tcPr>
            <w:tcW w:w="5610"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Complete any required pre-start checks</w:t>
            </w:r>
          </w:p>
        </w:tc>
      </w:tr>
    </w:tbl>
    <w:p w:rsidR="00000000" w:rsidRPr="00A37374" w:rsidP="00A37374">
      <w:pPr>
        <w:pStyle w:val="BodyText"/>
      </w:pPr>
    </w:p>
    <w:tbl>
      <w:tblPr>
        <w:tblW w:w="0" w:type="auto"/>
        <w:tblLayout w:type="fixed"/>
        <w:tblCellMar>
          <w:left w:w="62" w:type="dxa"/>
          <w:right w:w="62" w:type="dxa"/>
        </w:tblCellMar>
        <w:tblLook w:val="0000"/>
      </w:tblPr>
      <w:tblGrid>
        <w:gridCol w:w="678"/>
        <w:gridCol w:w="1962"/>
        <w:gridCol w:w="770"/>
        <w:gridCol w:w="5610"/>
      </w:tblGrid>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2</w:t>
            </w:r>
          </w:p>
        </w:tc>
        <w:tc>
          <w:tcPr>
            <w:tcW w:w="1962" w:type="dxa"/>
            <w:vMerge w:val="restart"/>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Operate screening plant</w:t>
            </w: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2.1</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Ensure start-up sequence for screen and ancillary equipment follows workplace requirements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2.2</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Start up and shut down screening equipment according to standard operating procedures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2.3</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Monitor feed and discharge rates to ensure efficient and safe screen operation</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2.4</w:t>
            </w:r>
          </w:p>
        </w:tc>
        <w:tc>
          <w:tcPr>
            <w:tcW w:w="5610"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Complete routine checks, taking appropriate action on unexpected operating conditions</w:t>
            </w:r>
          </w:p>
        </w:tc>
      </w:tr>
    </w:tbl>
    <w:p w:rsidR="00000000" w:rsidRPr="00A37374" w:rsidP="00A37374">
      <w:pPr>
        <w:pStyle w:val="BodyText"/>
      </w:pPr>
    </w:p>
    <w:tbl>
      <w:tblPr>
        <w:tblW w:w="0" w:type="auto"/>
        <w:tblLayout w:type="fixed"/>
        <w:tblCellMar>
          <w:left w:w="62" w:type="dxa"/>
          <w:right w:w="62" w:type="dxa"/>
        </w:tblCellMar>
        <w:tblLook w:val="0000"/>
      </w:tblPr>
      <w:tblGrid>
        <w:gridCol w:w="678"/>
        <w:gridCol w:w="1962"/>
        <w:gridCol w:w="770"/>
        <w:gridCol w:w="5610"/>
      </w:tblGrid>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3</w:t>
            </w:r>
          </w:p>
        </w:tc>
        <w:tc>
          <w:tcPr>
            <w:tcW w:w="1962" w:type="dxa"/>
            <w:vMerge w:val="restart"/>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Rectify routine problems</w:t>
            </w: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3.1</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 xml:space="preserve">Identify the range of faults that can occur during </w:t>
            </w:r>
            <w:r w:rsidRPr="00A37374">
              <w:t>the operation</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3.2</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 xml:space="preserve">Determine and rectify fault causes by procedures/work </w:t>
            </w:r>
            <w:r w:rsidRPr="00A37374">
              <w:t>instructions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3.3</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Identify and rectify equipment failure causes in accordance with procedures/work instructions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3.4</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Ensure appropriate records and log books of equipment operations are maintained to meet procedures/work instructions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3.5</w:t>
            </w:r>
          </w:p>
        </w:tc>
        <w:tc>
          <w:tcPr>
            <w:tcW w:w="5610"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Identify non-routine problems and report to designated person</w:t>
            </w:r>
          </w:p>
        </w:tc>
      </w:tr>
    </w:tbl>
    <w:p w:rsidR="00000000" w:rsidRPr="00A37374" w:rsidP="00A37374">
      <w:pPr>
        <w:pStyle w:val="BodyText"/>
      </w:pPr>
    </w:p>
    <w:tbl>
      <w:tblPr>
        <w:tblW w:w="0" w:type="auto"/>
        <w:tblLayout w:type="fixed"/>
        <w:tblCellMar>
          <w:left w:w="62" w:type="dxa"/>
          <w:right w:w="62" w:type="dxa"/>
        </w:tblCellMar>
        <w:tblLook w:val="0000"/>
      </w:tblPr>
      <w:tblGrid>
        <w:gridCol w:w="678"/>
        <w:gridCol w:w="1962"/>
        <w:gridCol w:w="770"/>
        <w:gridCol w:w="5610"/>
      </w:tblGrid>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4</w:t>
            </w:r>
          </w:p>
        </w:tc>
        <w:tc>
          <w:tcPr>
            <w:tcW w:w="1962" w:type="dxa"/>
            <w:vMerge w:val="restart"/>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Control hazards</w:t>
            </w: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4.1</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Identify hazards in the screening area</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4.2</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Assess the risks arising from those hazards</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4.3</w:t>
            </w:r>
          </w:p>
        </w:tc>
        <w:tc>
          <w:tcPr>
            <w:tcW w:w="561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Implement measures to control those risks in line with procedures and duty of care</w:t>
            </w:r>
          </w:p>
        </w:tc>
      </w:tr>
      <w:tr w:rsidTr="00A373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4.4</w:t>
            </w:r>
          </w:p>
        </w:tc>
        <w:tc>
          <w:tcPr>
            <w:tcW w:w="5610"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Carry out basic maintenance and inspection practices</w:t>
            </w:r>
          </w:p>
        </w:tc>
      </w:tr>
    </w:tbl>
    <w:p w:rsidR="00AC67F6" w:rsidP="00A37374">
      <w:pPr>
        <w:pStyle w:val="BodyText"/>
      </w:pPr>
    </w:p>
    <w:p w:rsidR="00AC67F6" w:rsidP="00A37374">
      <w:pPr>
        <w:pStyle w:val="BodyText"/>
      </w:pPr>
    </w:p>
    <w:p w:rsidR="00000000" w:rsidRPr="00A37374" w:rsidP="00A37374">
      <w:pPr>
        <w:pStyle w:val="Heading1"/>
      </w:pPr>
      <w:bookmarkStart w:id="9" w:name="O_569052"/>
      <w:bookmarkEnd w:id="9"/>
      <w:r w:rsidRPr="00A37374">
        <w:t>Required Skills and Knowledge</w:t>
      </w:r>
    </w:p>
    <w:tbl>
      <w:tblPr>
        <w:tblW w:w="0" w:type="auto"/>
        <w:tblLayout w:type="fixed"/>
        <w:tblCellMar>
          <w:left w:w="62" w:type="dxa"/>
          <w:right w:w="62" w:type="dxa"/>
        </w:tblCellMar>
        <w:tblLook w:val="0000"/>
      </w:tblPr>
      <w:tblGrid>
        <w:gridCol w:w="9072"/>
      </w:tblGrid>
      <w:tr w:rsidTr="00A37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This section describes the skills and knowledge required for this unit.</w:t>
            </w:r>
          </w:p>
        </w:tc>
      </w:tr>
      <w:tr w:rsidTr="00A37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p>
        </w:tc>
      </w:tr>
      <w:tr w:rsidTr="00A37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Required skills</w:t>
            </w:r>
          </w:p>
        </w:tc>
      </w:tr>
      <w:tr w:rsidTr="00A37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Required skills include:</w:t>
            </w:r>
          </w:p>
          <w:p w:rsidR="00000000" w:rsidRPr="00A37374" w:rsidP="00A37374">
            <w:pPr>
              <w:pStyle w:val="ListBullet"/>
            </w:pPr>
            <w:r w:rsidRPr="00A37374">
              <w:t>recognising conditions which will lead to out of specification operation</w:t>
            </w:r>
          </w:p>
          <w:p w:rsidR="00000000" w:rsidRPr="00A37374" w:rsidP="00A37374">
            <w:pPr>
              <w:pStyle w:val="ListBullet"/>
            </w:pPr>
            <w:r w:rsidRPr="00A37374">
              <w:t>implementing enterprise procedures within time constraints and in a manner relevant to the correct use of the equipment</w:t>
            </w:r>
          </w:p>
          <w:p w:rsidR="00000000" w:rsidRPr="00A37374" w:rsidP="00A37374">
            <w:pPr>
              <w:pStyle w:val="ListBullet"/>
            </w:pPr>
            <w:r w:rsidRPr="00A37374">
              <w:t>conveying information relevant to the operation clearly and effectively</w:t>
            </w:r>
          </w:p>
          <w:p w:rsidR="00000000" w:rsidRPr="00A37374" w:rsidP="00A37374">
            <w:pPr>
              <w:pStyle w:val="ListBullet"/>
            </w:pPr>
            <w:r w:rsidRPr="00A37374">
              <w:t>maintaining appropriate levels of quality assurance</w:t>
            </w:r>
          </w:p>
          <w:p w:rsidR="00000000" w:rsidRPr="00A37374" w:rsidP="00A37374">
            <w:pPr>
              <w:pStyle w:val="ListBullet"/>
            </w:pPr>
            <w:r w:rsidRPr="00A37374">
              <w:t xml:space="preserve">reading and </w:t>
            </w:r>
            <w:r w:rsidRPr="00A37374">
              <w:t>numeracy to interpret workplace documents and technical information</w:t>
            </w:r>
          </w:p>
          <w:p w:rsidR="00000000" w:rsidP="00A37374">
            <w:pPr>
              <w:pStyle w:val="BodyText"/>
              <w:rPr>
                <w:lang w:val="en-NZ"/>
              </w:rPr>
            </w:pPr>
          </w:p>
        </w:tc>
      </w:tr>
      <w:tr w:rsidTr="00A37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Required knowledge</w:t>
            </w:r>
          </w:p>
        </w:tc>
      </w:tr>
      <w:tr w:rsidTr="00A37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Required knowledge includes:</w:t>
            </w:r>
          </w:p>
          <w:p w:rsidR="00000000" w:rsidRPr="00A37374" w:rsidP="00A37374">
            <w:pPr>
              <w:pStyle w:val="ListBullet"/>
            </w:pPr>
            <w:r w:rsidRPr="00A37374">
              <w:t>principles of operation of screening equipment</w:t>
            </w:r>
          </w:p>
          <w:p w:rsidR="00000000" w:rsidRPr="00A37374" w:rsidP="00A37374">
            <w:pPr>
              <w:pStyle w:val="ListBullet"/>
            </w:pPr>
            <w:r w:rsidRPr="00A37374">
              <w:t>process parameters and limits</w:t>
            </w:r>
          </w:p>
          <w:p w:rsidR="00000000" w:rsidRPr="00A37374" w:rsidP="00A37374">
            <w:pPr>
              <w:pStyle w:val="ListBullet"/>
            </w:pPr>
            <w:r w:rsidRPr="00A37374">
              <w:t>types of screen cloths</w:t>
            </w:r>
          </w:p>
          <w:p w:rsidR="00000000" w:rsidRPr="00A37374" w:rsidP="00A37374">
            <w:pPr>
              <w:pStyle w:val="ListBullet"/>
            </w:pPr>
            <w:r w:rsidRPr="00A37374">
              <w:t>effects of bed density</w:t>
            </w:r>
          </w:p>
          <w:p w:rsidR="00000000" w:rsidRPr="00A37374" w:rsidP="00A37374">
            <w:pPr>
              <w:pStyle w:val="ListBullet"/>
            </w:pPr>
            <w:r w:rsidRPr="00A37374">
              <w:t>causes of contamination</w:t>
            </w:r>
          </w:p>
          <w:p w:rsidR="00000000" w:rsidRPr="00A37374" w:rsidP="00A37374">
            <w:pPr>
              <w:pStyle w:val="ListBullet"/>
            </w:pPr>
            <w:r w:rsidRPr="00A37374">
              <w:t>routine problems, faults and their symptoms and the corrective action to be taken</w:t>
            </w:r>
          </w:p>
          <w:p w:rsidR="00000000" w:rsidRPr="00A37374" w:rsidP="00A37374">
            <w:pPr>
              <w:pStyle w:val="ListBullet"/>
            </w:pPr>
            <w:r w:rsidRPr="00A37374">
              <w:t>relevant alarms and actions</w:t>
            </w:r>
          </w:p>
          <w:p w:rsidR="00000000" w:rsidRPr="00A37374" w:rsidP="00A37374">
            <w:pPr>
              <w:pStyle w:val="ListBullet"/>
            </w:pPr>
            <w:r w:rsidRPr="00A37374">
              <w:t>plant process idiosyncrasies</w:t>
            </w:r>
          </w:p>
          <w:p w:rsidR="00000000" w:rsidRPr="00A37374" w:rsidP="00A37374">
            <w:pPr>
              <w:pStyle w:val="ListBullet"/>
            </w:pPr>
            <w:r w:rsidRPr="00A37374">
              <w:t>physical principles, including:</w:t>
            </w:r>
          </w:p>
          <w:p w:rsidR="00000000" w:rsidRPr="00A37374" w:rsidP="00A37374">
            <w:pPr>
              <w:pStyle w:val="ListBullet2"/>
            </w:pPr>
            <w:r w:rsidRPr="00A37374">
              <w:t>sinusoidal vibration or gyratory vibration</w:t>
            </w:r>
          </w:p>
          <w:p w:rsidR="00000000" w:rsidRPr="00A37374" w:rsidP="00A37374">
            <w:pPr>
              <w:pStyle w:val="ListBullet2"/>
            </w:pPr>
            <w:r w:rsidRPr="00A37374">
              <w:t>gravity</w:t>
            </w:r>
          </w:p>
          <w:p w:rsidR="00000000" w:rsidRPr="00A37374" w:rsidP="00A37374">
            <w:pPr>
              <w:pStyle w:val="ListBullet2"/>
            </w:pPr>
            <w:r w:rsidRPr="00A37374">
              <w:t>density o</w:t>
            </w:r>
            <w:r w:rsidRPr="00A37374">
              <w:t>f materials</w:t>
            </w:r>
          </w:p>
          <w:p w:rsidR="00000000" w:rsidRPr="00A37374" w:rsidP="00A37374">
            <w:pPr>
              <w:pStyle w:val="ListBullet2"/>
            </w:pPr>
            <w:r w:rsidRPr="00A37374">
              <w:t>electrostatic force</w:t>
            </w:r>
          </w:p>
          <w:p w:rsidR="00000000" w:rsidRPr="00A37374" w:rsidP="00A37374">
            <w:pPr>
              <w:pStyle w:val="ListBullet2"/>
            </w:pPr>
            <w:r w:rsidRPr="00A37374">
              <w:t>stratification</w:t>
            </w:r>
          </w:p>
          <w:p w:rsidR="00000000" w:rsidRPr="00A37374" w:rsidP="00A37374">
            <w:pPr>
              <w:pStyle w:val="ListBullet"/>
            </w:pPr>
            <w:r w:rsidRPr="00A37374">
              <w:t>screening terminology, including:</w:t>
            </w:r>
          </w:p>
          <w:p w:rsidR="00000000" w:rsidRPr="00A37374" w:rsidP="00A37374">
            <w:pPr>
              <w:pStyle w:val="ListBullet2"/>
            </w:pPr>
            <w:r w:rsidRPr="00A37374">
              <w:t>amplitude</w:t>
            </w:r>
          </w:p>
          <w:p w:rsidR="00000000" w:rsidRPr="00A37374" w:rsidP="00A37374">
            <w:pPr>
              <w:pStyle w:val="ListBullet2"/>
            </w:pPr>
            <w:r w:rsidRPr="00A37374">
              <w:t>acceleration</w:t>
            </w:r>
          </w:p>
          <w:p w:rsidR="00000000" w:rsidRPr="00A37374" w:rsidP="00A37374">
            <w:pPr>
              <w:pStyle w:val="ListBullet2"/>
            </w:pPr>
            <w:r w:rsidRPr="00A37374">
              <w:t>blinding</w:t>
            </w:r>
          </w:p>
          <w:p w:rsidR="00000000" w:rsidRPr="00A37374" w:rsidP="00A37374">
            <w:pPr>
              <w:pStyle w:val="ListBullet2"/>
            </w:pPr>
            <w:r w:rsidRPr="00A37374">
              <w:t>brushing</w:t>
            </w:r>
          </w:p>
          <w:p w:rsidR="00000000" w:rsidRPr="00A37374" w:rsidP="00A37374">
            <w:pPr>
              <w:pStyle w:val="ListBullet2"/>
            </w:pPr>
            <w:r w:rsidRPr="00A37374">
              <w:t>contamination</w:t>
            </w:r>
          </w:p>
          <w:p w:rsidR="00000000" w:rsidRPr="00A37374" w:rsidP="00A37374">
            <w:pPr>
              <w:pStyle w:val="ListBullet2"/>
            </w:pPr>
            <w:r w:rsidRPr="00A37374">
              <w:t>deck</w:t>
            </w:r>
          </w:p>
          <w:p w:rsidR="00000000" w:rsidRPr="00A37374" w:rsidP="00A37374">
            <w:pPr>
              <w:pStyle w:val="ListBullet2"/>
            </w:pPr>
            <w:r w:rsidRPr="00A37374">
              <w:t>frequency</w:t>
            </w:r>
          </w:p>
        </w:tc>
      </w:tr>
    </w:tbl>
    <w:p w:rsidR="00000000" w:rsidRPr="00A37374" w:rsidP="00A37374">
      <w:pPr>
        <w:pStyle w:val="BodyText"/>
      </w:pPr>
    </w:p>
    <w:p w:rsidR="00000000" w:rsidRPr="00A37374" w:rsidP="00A37374">
      <w:pPr>
        <w:pStyle w:val="AllowPageBreak"/>
      </w:pPr>
    </w:p>
    <w:p w:rsidR="00000000" w:rsidRPr="00A37374" w:rsidP="00A37374">
      <w:pPr>
        <w:pStyle w:val="Heading1"/>
      </w:pPr>
      <w:bookmarkStart w:id="10" w:name="O_569051"/>
      <w:bookmarkEnd w:id="10"/>
      <w:r w:rsidRPr="00A37374">
        <w:t>Evidence Guide</w:t>
      </w:r>
    </w:p>
    <w:tbl>
      <w:tblPr>
        <w:tblW w:w="0" w:type="auto"/>
        <w:tblLayout w:type="fixed"/>
        <w:tblCellMar>
          <w:left w:w="62" w:type="dxa"/>
          <w:right w:w="62" w:type="dxa"/>
        </w:tblCellMar>
        <w:tblLook w:val="0000"/>
      </w:tblPr>
      <w:tblGrid>
        <w:gridCol w:w="3648"/>
        <w:gridCol w:w="5352"/>
      </w:tblGrid>
      <w:tr w:rsidTr="00A3737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The evidence guide provides advice on assessment and must be read in conjunction with the performance criteria required skills and knowledge range statement and the Assessment Guidelines for the Training Package.</w:t>
            </w:r>
          </w:p>
        </w:tc>
      </w:tr>
      <w:tr w:rsidTr="00A3737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Critical aspects for assessment and evide</w:t>
            </w:r>
            <w:r w:rsidRPr="00A37374">
              <w:rPr>
                <w:rStyle w:val="SpecialBold"/>
              </w:rPr>
              <w:t>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Critical aspects for assessment and evidence are:</w:t>
            </w:r>
          </w:p>
          <w:p w:rsidR="00000000" w:rsidRPr="00A37374" w:rsidP="00A37374">
            <w:pPr>
              <w:pStyle w:val="ListBullet"/>
            </w:pPr>
            <w:r w:rsidRPr="00A37374">
              <w:t>early warning signs of equipment/processes needing attention or with potential problems are recognised</w:t>
            </w:r>
          </w:p>
          <w:p w:rsidR="00000000" w:rsidRPr="00A37374" w:rsidP="00A37374">
            <w:pPr>
              <w:pStyle w:val="ListBullet"/>
            </w:pPr>
            <w:r w:rsidRPr="00A37374">
              <w:t>the range of possible causes can be identified and analysed and the most likely cause determined</w:t>
            </w:r>
          </w:p>
          <w:p w:rsidR="00000000" w:rsidRPr="00A37374" w:rsidP="00A37374">
            <w:pPr>
              <w:pStyle w:val="ListBullet"/>
            </w:pPr>
            <w:r w:rsidRPr="00A37374">
              <w:t>appropriate action is taken to ensure a timely return to full performance</w:t>
            </w:r>
          </w:p>
          <w:p w:rsidR="00000000" w:rsidP="00A37374">
            <w:pPr>
              <w:pStyle w:val="ListBullet"/>
              <w:rPr>
                <w:lang w:val="en-NZ"/>
              </w:rPr>
            </w:pPr>
            <w:r w:rsidRPr="00A37374">
              <w:t>obvious problems in related plant areas are recognised and an appropriate contributio</w:t>
            </w:r>
            <w:r w:rsidRPr="00A37374">
              <w:t>n made to their solution.</w:t>
            </w:r>
          </w:p>
        </w:tc>
      </w:tr>
      <w:tr w:rsidTr="00A3737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Assessment of this competency will occur over a range of situations which will include typical disruptions to normal, smooth operation. This will require access to an operating pla</w:t>
            </w:r>
            <w:r w:rsidRPr="00A37374">
              <w:t>nt over an extended period of time, or a suitable method of gathering evidence of operating ability. Where safety, lack of opportunity or significant cost is an issue an industry-based simulation may be employed to assist the process. It may be appropriate</w:t>
            </w:r>
            <w:r w:rsidRPr="00A37374">
              <w:t xml:space="preserve"> to consider assessment concurrently with the following units:</w:t>
            </w:r>
          </w:p>
          <w:p w:rsidR="00000000" w:rsidRPr="00A37374" w:rsidP="00A37374">
            <w:pPr>
              <w:pStyle w:val="ListBullet"/>
            </w:pPr>
            <w:r w:rsidRPr="00A37374">
              <w:rPr>
                <w:rStyle w:val="Emphasis"/>
              </w:rPr>
              <w:t>PMC552008B Operate crushing equipment</w:t>
            </w:r>
          </w:p>
          <w:p w:rsidR="00000000" w:rsidRPr="00A37374" w:rsidP="00A37374">
            <w:pPr>
              <w:pStyle w:val="ListBullet"/>
            </w:pPr>
            <w:r w:rsidRPr="00A37374">
              <w:rPr>
                <w:rStyle w:val="Emphasis"/>
              </w:rPr>
              <w:t xml:space="preserve">PMC562070B Move materials </w:t>
            </w:r>
          </w:p>
          <w:p w:rsidR="00000000" w:rsidP="00A37374">
            <w:pPr>
              <w:pStyle w:val="ListBullet"/>
              <w:rPr>
                <w:lang w:val="en-NZ"/>
              </w:rPr>
            </w:pPr>
            <w:r w:rsidRPr="00A37374">
              <w:rPr>
                <w:rStyle w:val="Emphasis"/>
              </w:rPr>
              <w:t>PMAOPS210B Operate particulates handling equipment.</w:t>
            </w:r>
          </w:p>
        </w:tc>
      </w:tr>
      <w:tr w:rsidTr="00A3737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Assessment pro</w:t>
            </w:r>
            <w:r w:rsidRPr="00A37374">
              <w:t>cesses and techniques must be appropriate to the language, competency and safety requirements of the site and consistent with workplace systems or procedures.</w:t>
            </w:r>
          </w:p>
        </w:tc>
      </w:tr>
    </w:tbl>
    <w:p w:rsidR="00000000" w:rsidRPr="00A37374" w:rsidP="00A37374">
      <w:pPr>
        <w:pStyle w:val="BodyText"/>
      </w:pPr>
    </w:p>
    <w:p w:rsidR="00000000" w:rsidRPr="00A37374" w:rsidP="00A37374">
      <w:pPr>
        <w:pStyle w:val="AllowPageBreak"/>
      </w:pPr>
    </w:p>
    <w:p w:rsidR="00000000" w:rsidRPr="00A37374" w:rsidP="00A37374">
      <w:pPr>
        <w:pStyle w:val="Heading1"/>
      </w:pPr>
      <w:bookmarkStart w:id="11" w:name="O_569050"/>
      <w:bookmarkEnd w:id="11"/>
      <w:r w:rsidRPr="00A37374">
        <w:t>Range Statement</w:t>
      </w:r>
    </w:p>
    <w:tbl>
      <w:tblPr>
        <w:tblW w:w="0" w:type="auto"/>
        <w:tblLayout w:type="fixed"/>
        <w:tblCellMar>
          <w:left w:w="62" w:type="dxa"/>
          <w:right w:w="62" w:type="dxa"/>
        </w:tblCellMar>
        <w:tblLook w:val="0000"/>
      </w:tblPr>
      <w:tblGrid>
        <w:gridCol w:w="3674"/>
        <w:gridCol w:w="5398"/>
      </w:tblGrid>
      <w:tr w:rsidTr="00A37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The range statement relates to the unit of competency as a whole. It allows for different work environments and situations that may affect performance. Bold italicised wording, if used in the performance criteria, is detailed below. Essential operating con</w:t>
            </w:r>
            <w:r w:rsidRPr="00A37374">
              <w:t>ditions that may be present with training and assessment (depending on the work situation, needs of the candidate, accessibility of the item, and local industry and regional contexts) may also be included.</w:t>
            </w:r>
          </w:p>
        </w:tc>
      </w:tr>
      <w:tr w:rsidTr="00A37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7374">
            <w:pPr>
              <w:pStyle w:val="BodyText"/>
              <w:rPr>
                <w:lang w:val="en-NZ"/>
              </w:rPr>
            </w:pPr>
          </w:p>
        </w:tc>
      </w:tr>
      <w:tr w:rsidTr="00A37374">
        <w:tblPrEx>
          <w:tblW w:w="0" w:type="auto"/>
          <w:tblLayout w:type="fixed"/>
          <w:tblCellMar>
            <w:left w:w="62" w:type="dxa"/>
            <w:right w:w="62" w:type="dxa"/>
          </w:tblCellMar>
          <w:tblLook w:val="0000"/>
        </w:tblPrEx>
        <w:trPr>
          <w:trHeight w:val="3088"/>
        </w:trPr>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Procedures may be written, verbal,</w:t>
            </w:r>
            <w:r w:rsidRPr="00A37374">
              <w:t xml:space="preserve"> computer-based or in some other form. They may include, but are not limited to:</w:t>
            </w:r>
          </w:p>
          <w:p w:rsidR="00000000" w:rsidRPr="00A37374" w:rsidP="00A37374">
            <w:pPr>
              <w:pStyle w:val="ListBullet"/>
            </w:pPr>
            <w:r w:rsidRPr="00A37374">
              <w:t>all work instructions</w:t>
            </w:r>
          </w:p>
          <w:p w:rsidR="00000000" w:rsidRPr="00A37374" w:rsidP="00A37374">
            <w:pPr>
              <w:pStyle w:val="ListBullet"/>
            </w:pPr>
            <w:r w:rsidRPr="00A37374">
              <w:t>standard operating procedures</w:t>
            </w:r>
          </w:p>
          <w:p w:rsidR="00000000" w:rsidRPr="00A37374" w:rsidP="00A37374">
            <w:pPr>
              <w:pStyle w:val="ListBullet"/>
            </w:pPr>
            <w:r w:rsidRPr="00A37374">
              <w:t>temporary instructions</w:t>
            </w:r>
          </w:p>
          <w:p w:rsidR="00000000" w:rsidRPr="00A37374" w:rsidP="00A37374">
            <w:pPr>
              <w:pStyle w:val="ListBullet"/>
            </w:pPr>
            <w:r w:rsidRPr="00A37374">
              <w:t>any similar instructions provided for the smooth running of the plant</w:t>
            </w:r>
          </w:p>
          <w:p w:rsidR="00000000" w:rsidRPr="00A37374" w:rsidP="00A37374">
            <w:pPr>
              <w:pStyle w:val="ListBullet"/>
            </w:pPr>
            <w:r w:rsidRPr="00A37374">
              <w:t>good operating practice as may be defined by industry codes of practice</w:t>
            </w:r>
          </w:p>
          <w:p w:rsidR="00000000" w:rsidP="00A37374">
            <w:pPr>
              <w:pStyle w:val="BodyText"/>
              <w:rPr>
                <w:lang w:val="en-NZ"/>
              </w:rPr>
            </w:pPr>
            <w:r w:rsidRPr="00A37374">
              <w:t>Procedures would be expected to comply with any relevant government regulations.</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Logs and reports may include:</w:t>
            </w:r>
          </w:p>
          <w:p w:rsidR="00000000" w:rsidRPr="00A37374" w:rsidP="00A37374">
            <w:pPr>
              <w:pStyle w:val="ListBullet"/>
            </w:pPr>
            <w:r w:rsidRPr="00A37374">
              <w:t>paper or electronic-based logs and reports</w:t>
            </w:r>
          </w:p>
          <w:p w:rsidR="00000000" w:rsidRPr="00A37374" w:rsidP="00A37374">
            <w:pPr>
              <w:pStyle w:val="ListBullet"/>
            </w:pPr>
            <w:r w:rsidRPr="00A37374">
              <w:t>verbal/radi</w:t>
            </w:r>
            <w:r w:rsidRPr="00A37374">
              <w:t>o reports</w:t>
            </w:r>
          </w:p>
          <w:p w:rsidR="00000000" w:rsidP="00A37374">
            <w:pPr>
              <w:pStyle w:val="ListBullet"/>
              <w:rPr>
                <w:lang w:val="en-NZ"/>
              </w:rPr>
            </w:pPr>
            <w:r w:rsidRPr="00A37374">
              <w:t>reporting items found which require action</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Appropriate action includes, but is not limited to:</w:t>
            </w:r>
          </w:p>
          <w:p w:rsidR="00000000" w:rsidRPr="00A37374" w:rsidP="00A37374">
            <w:pPr>
              <w:pStyle w:val="ListBullet"/>
            </w:pPr>
            <w:r w:rsidRPr="00A37374">
              <w:t>determining problems needing action</w:t>
            </w:r>
          </w:p>
          <w:p w:rsidR="00000000" w:rsidRPr="00A37374" w:rsidP="00A37374">
            <w:pPr>
              <w:pStyle w:val="ListBullet"/>
            </w:pPr>
            <w:r w:rsidRPr="00A37374">
              <w:t>determining possible fault causes</w:t>
            </w:r>
          </w:p>
          <w:p w:rsidR="00000000" w:rsidRPr="00A37374" w:rsidP="00A37374">
            <w:pPr>
              <w:pStyle w:val="ListBullet"/>
            </w:pPr>
            <w:r w:rsidRPr="00A37374">
              <w:t>rectifying predictable problems using appropriate solution from procedures</w:t>
            </w:r>
          </w:p>
          <w:p w:rsidR="00000000" w:rsidRPr="00A37374" w:rsidP="00A37374">
            <w:pPr>
              <w:pStyle w:val="ListBullet"/>
            </w:pPr>
            <w:r w:rsidRPr="00A37374">
              <w:t>following through items initiated until final resolution has occurred</w:t>
            </w:r>
          </w:p>
          <w:p w:rsidR="00000000" w:rsidP="00A37374">
            <w:pPr>
              <w:pStyle w:val="ListBullet"/>
              <w:rPr>
                <w:lang w:val="en-NZ"/>
              </w:rPr>
            </w:pPr>
            <w:r w:rsidRPr="00A37374">
              <w:t>reporting problems outside area of responsibility/scope of procedures to designated person</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Ty</w:t>
            </w:r>
            <w:r w:rsidRPr="00A37374">
              <w:t>pical problems may include, but are not limited to:</w:t>
            </w:r>
          </w:p>
          <w:p w:rsidR="00000000" w:rsidRPr="00A37374" w:rsidP="00A37374">
            <w:pPr>
              <w:pStyle w:val="ListBullet"/>
            </w:pPr>
            <w:r w:rsidRPr="00A37374">
              <w:t>feed or discharge blockages</w:t>
            </w:r>
          </w:p>
          <w:p w:rsidR="00000000" w:rsidRPr="00A37374" w:rsidP="00A37374">
            <w:pPr>
              <w:pStyle w:val="ListBullet"/>
            </w:pPr>
            <w:r w:rsidRPr="00A37374">
              <w:t>blinding</w:t>
            </w:r>
          </w:p>
          <w:p w:rsidR="00000000" w:rsidRPr="00A37374" w:rsidP="00A37374">
            <w:pPr>
              <w:pStyle w:val="ListBullet"/>
            </w:pPr>
            <w:r w:rsidRPr="00A37374">
              <w:t>screen cloth blockages</w:t>
            </w:r>
          </w:p>
          <w:p w:rsidR="00000000" w:rsidRPr="00A37374" w:rsidP="00A37374">
            <w:pPr>
              <w:pStyle w:val="ListBullet"/>
            </w:pPr>
            <w:r w:rsidRPr="00A37374">
              <w:t>electro-static build-up</w:t>
            </w:r>
          </w:p>
          <w:p w:rsidR="00000000" w:rsidP="00A37374">
            <w:pPr>
              <w:pStyle w:val="ListBullet"/>
              <w:rPr>
                <w:lang w:val="en-NZ"/>
              </w:rPr>
            </w:pPr>
            <w:r w:rsidRPr="00A37374">
              <w:t>aggregate size contamination</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Screening equipment types</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Screening applications include:</w:t>
            </w:r>
          </w:p>
          <w:p w:rsidR="00000000" w:rsidRPr="00A37374" w:rsidP="00A37374">
            <w:pPr>
              <w:pStyle w:val="ListBullet"/>
            </w:pPr>
            <w:r w:rsidRPr="00A37374">
              <w:t>wet screening</w:t>
            </w:r>
          </w:p>
          <w:p w:rsidR="00000000" w:rsidRPr="00A37374" w:rsidP="00A37374">
            <w:pPr>
              <w:pStyle w:val="ListBullet"/>
            </w:pPr>
            <w:r w:rsidRPr="00A37374">
              <w:t>dry screening</w:t>
            </w:r>
          </w:p>
          <w:p w:rsidR="00000000" w:rsidRPr="00A37374" w:rsidP="00A37374">
            <w:pPr>
              <w:pStyle w:val="BodyText"/>
            </w:pPr>
            <w:r w:rsidRPr="00A37374">
              <w:t>Screening equipment covered by this unit includes:</w:t>
            </w:r>
          </w:p>
          <w:p w:rsidR="00000000" w:rsidRPr="00A37374" w:rsidP="00A37374">
            <w:pPr>
              <w:pStyle w:val="ListBullet"/>
            </w:pPr>
            <w:r w:rsidRPr="00A37374">
              <w:t>moving screen</w:t>
            </w:r>
          </w:p>
          <w:p w:rsidR="00000000" w:rsidRPr="00A37374" w:rsidP="00A37374">
            <w:pPr>
              <w:pStyle w:val="ListBullet"/>
            </w:pPr>
            <w:r w:rsidRPr="00A37374">
              <w:t>static screen</w:t>
            </w:r>
          </w:p>
          <w:p w:rsidR="00000000" w:rsidRPr="00A37374" w:rsidP="00A37374">
            <w:pPr>
              <w:pStyle w:val="ListBullet"/>
            </w:pPr>
            <w:r w:rsidRPr="00A37374">
              <w:t xml:space="preserve">rotary screens </w:t>
            </w:r>
          </w:p>
          <w:p w:rsidR="00000000" w:rsidRPr="00A37374" w:rsidP="00A37374">
            <w:pPr>
              <w:pStyle w:val="ListBullet"/>
            </w:pPr>
            <w:r w:rsidRPr="00A37374">
              <w:t>circle-throw vibrating equipment</w:t>
            </w:r>
          </w:p>
          <w:p w:rsidR="00000000" w:rsidRPr="00A37374" w:rsidP="00A37374">
            <w:pPr>
              <w:pStyle w:val="ListBullet"/>
            </w:pPr>
            <w:r w:rsidRPr="00A37374">
              <w:t>high frequency vibrating equipment</w:t>
            </w:r>
          </w:p>
          <w:p w:rsidR="00000000" w:rsidP="00A37374">
            <w:pPr>
              <w:pStyle w:val="ListBullet"/>
              <w:rPr>
                <w:lang w:val="en-NZ"/>
              </w:rPr>
            </w:pPr>
            <w:r w:rsidRPr="00A37374">
              <w:t>gyratory equipment</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All operations to which this unit a</w:t>
            </w:r>
            <w:r w:rsidRPr="00A37374">
              <w:t>pplies are subject to stringent HSE requirements, which may be imposed through state or federal legislation, and these must not be compromised at any time. Where there is an apparent conflict between Performance Criteria and HSE requirements, the HSE requi</w:t>
            </w:r>
            <w:r w:rsidRPr="00A37374">
              <w:t>rements take precedence.</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 xml:space="preserve">Work requirements may come from briefings, handovers, and work orders and may include: </w:t>
            </w:r>
          </w:p>
          <w:p w:rsidR="00000000" w:rsidRPr="00A37374" w:rsidP="00A37374">
            <w:pPr>
              <w:pStyle w:val="ListBullet"/>
            </w:pPr>
            <w:r w:rsidRPr="00A37374">
              <w:t>compliance documentation</w:t>
            </w:r>
          </w:p>
          <w:p w:rsidR="00000000" w:rsidRPr="00A37374" w:rsidP="00A37374">
            <w:pPr>
              <w:pStyle w:val="ListBullet"/>
            </w:pPr>
            <w:r w:rsidRPr="00A37374">
              <w:t xml:space="preserve">product specifications </w:t>
            </w:r>
          </w:p>
          <w:p w:rsidR="00000000" w:rsidRPr="00A37374" w:rsidP="00A37374">
            <w:pPr>
              <w:pStyle w:val="ListBullet"/>
            </w:pPr>
            <w:r w:rsidRPr="00A37374">
              <w:t xml:space="preserve">nature and scope of tasks </w:t>
            </w:r>
          </w:p>
          <w:p w:rsidR="00000000" w:rsidRPr="00A37374" w:rsidP="00A37374">
            <w:pPr>
              <w:pStyle w:val="ListBullet"/>
            </w:pPr>
            <w:r w:rsidRPr="00A37374">
              <w:t xml:space="preserve">achievement targets </w:t>
            </w:r>
          </w:p>
          <w:p w:rsidR="00000000" w:rsidRPr="00A37374" w:rsidP="00A37374">
            <w:pPr>
              <w:pStyle w:val="ListBullet"/>
            </w:pPr>
            <w:r w:rsidRPr="00A37374">
              <w:t xml:space="preserve">operational conditions </w:t>
            </w:r>
          </w:p>
          <w:p w:rsidR="00000000" w:rsidRPr="00A37374" w:rsidP="00A37374">
            <w:pPr>
              <w:pStyle w:val="ListBullet"/>
            </w:pPr>
            <w:r w:rsidRPr="00A37374">
              <w:t xml:space="preserve">geological data </w:t>
            </w:r>
          </w:p>
          <w:p w:rsidR="00000000" w:rsidRPr="00A37374" w:rsidP="00A37374">
            <w:pPr>
              <w:pStyle w:val="ListBullet"/>
            </w:pPr>
            <w:r w:rsidRPr="00A37374">
              <w:t xml:space="preserve">site survey data </w:t>
            </w:r>
          </w:p>
          <w:p w:rsidR="00000000" w:rsidRPr="00A37374" w:rsidP="00A37374">
            <w:pPr>
              <w:pStyle w:val="ListBullet"/>
            </w:pPr>
            <w:r w:rsidRPr="00A37374">
              <w:t xml:space="preserve">site layout and out of bounds areas </w:t>
            </w:r>
          </w:p>
          <w:p w:rsidR="00000000" w:rsidRPr="00A37374" w:rsidP="00A37374">
            <w:pPr>
              <w:pStyle w:val="ListBullet"/>
            </w:pPr>
            <w:r w:rsidRPr="00A37374">
              <w:t xml:space="preserve">worksite inspection requirements </w:t>
            </w:r>
          </w:p>
          <w:p w:rsidR="00000000" w:rsidRPr="00A37374" w:rsidP="00A37374">
            <w:pPr>
              <w:pStyle w:val="ListBullet"/>
            </w:pPr>
            <w:r w:rsidRPr="00A37374">
              <w:t xml:space="preserve">lighting conditions </w:t>
            </w:r>
          </w:p>
          <w:p w:rsidR="00000000" w:rsidRPr="00A37374" w:rsidP="00A37374">
            <w:pPr>
              <w:pStyle w:val="ListBullet"/>
            </w:pPr>
            <w:r w:rsidRPr="00A37374">
              <w:t xml:space="preserve">plant or equipment defects </w:t>
            </w:r>
          </w:p>
          <w:p w:rsidR="00000000" w:rsidRPr="00A37374" w:rsidP="00A37374">
            <w:pPr>
              <w:pStyle w:val="ListBullet"/>
            </w:pPr>
            <w:r w:rsidRPr="00A37374">
              <w:t xml:space="preserve">hazards and potential hazards </w:t>
            </w:r>
          </w:p>
          <w:p w:rsidR="00000000" w:rsidP="00A37374">
            <w:pPr>
              <w:pStyle w:val="ListBullet"/>
              <w:rPr>
                <w:lang w:val="en-NZ"/>
              </w:rPr>
            </w:pPr>
            <w:r w:rsidRPr="00A37374">
              <w:t>coordination requirements or issues</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Appropriate personnel</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r w:rsidRPr="00A37374">
              <w:t>Appropriate personnel may include:</w:t>
            </w:r>
          </w:p>
          <w:p w:rsidR="00000000" w:rsidRPr="00A37374" w:rsidP="00A37374">
            <w:pPr>
              <w:pStyle w:val="ListBullet"/>
            </w:pPr>
            <w:r w:rsidRPr="00A37374">
              <w:t>other process operators</w:t>
            </w:r>
          </w:p>
          <w:p w:rsidR="00000000" w:rsidRPr="00A37374" w:rsidP="00A37374">
            <w:pPr>
              <w:pStyle w:val="ListBullet"/>
            </w:pPr>
            <w:r w:rsidRPr="00A37374">
              <w:t>contractors</w:t>
            </w:r>
          </w:p>
          <w:p w:rsidR="00000000" w:rsidRPr="00A37374" w:rsidP="00A37374">
            <w:pPr>
              <w:pStyle w:val="ListBullet"/>
            </w:pPr>
            <w:r w:rsidRPr="00A37374">
              <w:t>laboratory personnel</w:t>
            </w:r>
          </w:p>
          <w:p w:rsidR="00000000" w:rsidRPr="00A37374" w:rsidP="00A37374">
            <w:pPr>
              <w:pStyle w:val="ListBullet"/>
            </w:pPr>
            <w:r w:rsidRPr="00A37374">
              <w:t>mobile plant operators</w:t>
            </w:r>
          </w:p>
          <w:p w:rsidR="00000000" w:rsidRPr="00A37374" w:rsidP="00A37374">
            <w:pPr>
              <w:pStyle w:val="ListBullet"/>
            </w:pPr>
            <w:r w:rsidRPr="00A37374">
              <w:t>maintenance personnel</w:t>
            </w:r>
          </w:p>
        </w:tc>
      </w:tr>
    </w:tbl>
    <w:p w:rsidR="00000000" w:rsidRPr="00A37374" w:rsidP="00A37374">
      <w:pPr>
        <w:pStyle w:val="BodyText"/>
      </w:pPr>
    </w:p>
    <w:p w:rsidR="00000000" w:rsidRPr="00A37374" w:rsidP="00A37374">
      <w:pPr>
        <w:pStyle w:val="AllowPageBreak"/>
      </w:pPr>
    </w:p>
    <w:p w:rsidR="00000000" w:rsidRPr="00A37374" w:rsidP="00A37374">
      <w:pPr>
        <w:pStyle w:val="Heading1"/>
      </w:pPr>
      <w:bookmarkStart w:id="12" w:name="O_569049"/>
      <w:bookmarkEnd w:id="12"/>
      <w:r w:rsidRPr="00A37374">
        <w:t>Unit Sector(s)</w:t>
      </w:r>
    </w:p>
    <w:tbl>
      <w:tblPr>
        <w:tblW w:w="0" w:type="auto"/>
        <w:tblLayout w:type="fixed"/>
        <w:tblCellMar>
          <w:left w:w="62" w:type="dxa"/>
          <w:right w:w="62" w:type="dxa"/>
        </w:tblCellMar>
        <w:tblLook w:val="0000"/>
      </w:tblPr>
      <w:tblGrid>
        <w:gridCol w:w="3674"/>
        <w:gridCol w:w="5398"/>
      </w:tblGrid>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Unit Sector(s)</w:t>
            </w:r>
          </w:p>
        </w:tc>
        <w:tc>
          <w:tcPr>
            <w:tcW w:w="5398"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t>Operational/technical</w:t>
            </w:r>
          </w:p>
        </w:tc>
      </w:tr>
      <w:tr w:rsidTr="00A373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37374">
            <w:pPr>
              <w:pStyle w:val="BodyText"/>
              <w:rPr>
                <w:lang w:val="en-NZ"/>
              </w:rPr>
            </w:pPr>
            <w:r w:rsidRPr="00A37374">
              <w:rPr>
                <w:rStyle w:val="SpecialBold"/>
              </w:rPr>
              <w:t>Competency field</w:t>
            </w:r>
          </w:p>
        </w:tc>
        <w:tc>
          <w:tcPr>
            <w:tcW w:w="5398" w:type="dxa"/>
            <w:tcBorders>
              <w:top w:val="nil"/>
              <w:left w:val="nil"/>
              <w:bottom w:val="nil"/>
              <w:right w:val="nil"/>
            </w:tcBorders>
            <w:tcMar>
              <w:top w:w="0" w:type="dxa"/>
              <w:left w:w="62" w:type="dxa"/>
              <w:bottom w:w="0" w:type="dxa"/>
              <w:right w:w="62" w:type="dxa"/>
            </w:tcMar>
          </w:tcPr>
          <w:p w:rsidR="00000000" w:rsidRPr="00A37374" w:rsidP="00A37374">
            <w:pPr>
              <w:pStyle w:val="BodyText"/>
            </w:pPr>
          </w:p>
        </w:tc>
      </w:tr>
    </w:tbl>
    <w:p w:rsidR="00AC67F6" w:rsidP="00A37374">
      <w:pPr>
        <w:pStyle w:val="BodyText"/>
      </w:pPr>
    </w:p>
    <w:p w:rsidR="00AC67F6" w:rsidP="00A37374">
      <w:pPr>
        <w:pStyle w:val="BodyText"/>
      </w:pPr>
    </w:p>
    <w:p w:rsidR="00000000" w:rsidRPr="00A37374" w:rsidP="00A37374">
      <w:pPr>
        <w:pStyle w:val="Heading1"/>
      </w:pPr>
      <w:bookmarkStart w:id="13" w:name="O_569048"/>
      <w:bookmarkEnd w:id="13"/>
      <w:r w:rsidRPr="00A37374">
        <w:t>Custom Content Section</w:t>
      </w:r>
    </w:p>
    <w:p w:rsidR="00000000" w:rsidRPr="00A37374" w:rsidP="00A37374">
      <w:pPr>
        <w:pStyle w:val="BodyText"/>
      </w:pPr>
      <w:r w:rsidRPr="00A37374">
        <w:t>Not applicable.</w:t>
      </w:r>
    </w:p>
    <w:p w:rsidR="00000000" w:rsidRPr="00A37374" w:rsidP="00A37374"/>
    <w:sectPr w:rsidSect="00A37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74" w:rsidRPr="00AC67F6" w:rsidP="00AC6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F6" w:rsidP="00A37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67F6" w:rsidP="00A373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67F6" w:rsidP="00A37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74" w:rsidRPr="00AC67F6" w:rsidP="00AC67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F6" w:rsidRPr="002D2AF8" w:rsidP="00A37374">
    <w:pPr>
      <w:pStyle w:val="Header"/>
      <w:framePr w:wrap="around"/>
    </w:pPr>
    <w:r>
      <w:fldChar w:fldCharType="begin"/>
    </w:r>
    <w:r>
      <w:instrText xml:space="preserve"> TITLE   \* MERGEFORMAT </w:instrText>
    </w:r>
    <w:r>
      <w:fldChar w:fldCharType="separate"/>
    </w:r>
    <w:r>
      <w:t>PMAOPS260A Conduct screening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AC67F6" w:rsidP="00A37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FEE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B68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69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374"/>
    <w:pPr>
      <w:spacing w:before="360" w:after="60"/>
      <w:outlineLvl w:val="0"/>
    </w:pPr>
    <w:rPr>
      <w:sz w:val="32"/>
    </w:rPr>
  </w:style>
  <w:style w:type="paragraph" w:styleId="Heading2">
    <w:name w:val="heading 2"/>
    <w:basedOn w:val="HeadingBase"/>
    <w:next w:val="BodyText"/>
    <w:link w:val="Heading2Char"/>
    <w:qFormat/>
    <w:rsid w:val="00A37374"/>
    <w:pPr>
      <w:keepLines/>
      <w:spacing w:before="240" w:after="120"/>
      <w:outlineLvl w:val="1"/>
    </w:pPr>
    <w:rPr>
      <w:sz w:val="28"/>
      <w:szCs w:val="40"/>
    </w:rPr>
  </w:style>
  <w:style w:type="paragraph" w:styleId="Heading3">
    <w:name w:val="heading 3"/>
    <w:basedOn w:val="HeadingBase"/>
    <w:next w:val="BodyText"/>
    <w:link w:val="Heading3Char"/>
    <w:qFormat/>
    <w:rsid w:val="00A37374"/>
    <w:pPr>
      <w:spacing w:before="180" w:after="120"/>
      <w:outlineLvl w:val="2"/>
    </w:pPr>
    <w:rPr>
      <w:spacing w:val="-10"/>
      <w:kern w:val="32"/>
    </w:rPr>
  </w:style>
  <w:style w:type="paragraph" w:styleId="Heading4">
    <w:name w:val="heading 4"/>
    <w:basedOn w:val="HeadingBase"/>
    <w:next w:val="BodyText"/>
    <w:link w:val="Heading4Char"/>
    <w:qFormat/>
    <w:rsid w:val="00A37374"/>
    <w:pPr>
      <w:spacing w:before="160" w:after="120"/>
      <w:outlineLvl w:val="3"/>
    </w:pPr>
    <w:rPr>
      <w:sz w:val="22"/>
    </w:rPr>
  </w:style>
  <w:style w:type="paragraph" w:styleId="Heading5">
    <w:name w:val="heading 5"/>
    <w:basedOn w:val="HeadingBase"/>
    <w:next w:val="Normal"/>
    <w:link w:val="Heading5Char"/>
    <w:qFormat/>
    <w:rsid w:val="00A37374"/>
    <w:pPr>
      <w:spacing w:before="80"/>
      <w:outlineLvl w:val="4"/>
    </w:pPr>
    <w:rPr>
      <w:color w:val="918585"/>
      <w:sz w:val="20"/>
    </w:rPr>
  </w:style>
  <w:style w:type="paragraph" w:styleId="Heading6">
    <w:name w:val="heading 6"/>
    <w:basedOn w:val="HeadingBase"/>
    <w:next w:val="Normal"/>
    <w:link w:val="Heading6Char"/>
    <w:qFormat/>
    <w:rsid w:val="00A37374"/>
    <w:pPr>
      <w:spacing w:before="60"/>
      <w:outlineLvl w:val="5"/>
    </w:pPr>
    <w:rPr>
      <w:color w:val="918585"/>
      <w:sz w:val="20"/>
    </w:rPr>
  </w:style>
  <w:style w:type="paragraph" w:styleId="Heading7">
    <w:name w:val="heading 7"/>
    <w:basedOn w:val="Normal"/>
    <w:next w:val="Normal"/>
    <w:link w:val="Heading7Char"/>
    <w:qFormat/>
    <w:rsid w:val="00A37374"/>
    <w:pPr>
      <w:ind w:left="720"/>
      <w:outlineLvl w:val="6"/>
    </w:pPr>
    <w:rPr>
      <w:i/>
    </w:rPr>
  </w:style>
  <w:style w:type="paragraph" w:styleId="Heading8">
    <w:name w:val="heading 8"/>
    <w:basedOn w:val="Normal"/>
    <w:next w:val="Normal"/>
    <w:link w:val="Heading8Char"/>
    <w:qFormat/>
    <w:rsid w:val="00A37374"/>
    <w:pPr>
      <w:ind w:left="720"/>
      <w:outlineLvl w:val="7"/>
    </w:pPr>
    <w:rPr>
      <w:i/>
    </w:rPr>
  </w:style>
  <w:style w:type="paragraph" w:styleId="Heading9">
    <w:name w:val="heading 9"/>
    <w:basedOn w:val="Normal"/>
    <w:next w:val="Normal"/>
    <w:link w:val="Heading9Char"/>
    <w:qFormat/>
    <w:rsid w:val="00A37374"/>
    <w:pPr>
      <w:ind w:left="720"/>
      <w:outlineLvl w:val="8"/>
    </w:pPr>
    <w:rPr>
      <w:i/>
    </w:rPr>
  </w:style>
  <w:style w:type="character" w:default="1" w:styleId="DefaultParagraphFont">
    <w:name w:val="Default Paragraph Font"/>
    <w:uiPriority w:val="1"/>
    <w:unhideWhenUsed/>
    <w:rsid w:val="00A37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374"/>
  </w:style>
  <w:style w:type="character" w:customStyle="1" w:styleId="Heading1Char">
    <w:name w:val="Heading 1 Char"/>
    <w:basedOn w:val="DefaultParagraphFont"/>
    <w:link w:val="Heading1"/>
    <w:rsid w:val="00A37374"/>
    <w:rPr>
      <w:rFonts w:ascii="Times New Roman" w:eastAsia="Times New Roman" w:hAnsi="Times New Roman" w:cs="Times New Roman"/>
      <w:b/>
      <w:sz w:val="32"/>
      <w:szCs w:val="20"/>
      <w:lang w:eastAsia="en-US"/>
    </w:rPr>
  </w:style>
  <w:style w:type="paragraph" w:styleId="BodyText">
    <w:name w:val="Body Text"/>
    <w:basedOn w:val="Normal"/>
    <w:link w:val="BodyTextChar"/>
    <w:rsid w:val="00A37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7374"/>
    <w:rPr>
      <w:rFonts w:ascii="Times New Roman" w:eastAsia="Times New Roman" w:hAnsi="Times New Roman" w:cs="Times New Roman"/>
      <w:sz w:val="24"/>
      <w:lang w:eastAsia="en-US"/>
    </w:rPr>
  </w:style>
  <w:style w:type="paragraph" w:styleId="ListBullet">
    <w:name w:val="List Bullet"/>
    <w:basedOn w:val="List"/>
    <w:rsid w:val="00A37374"/>
    <w:pPr>
      <w:numPr>
        <w:numId w:val="13"/>
      </w:numPr>
      <w:tabs>
        <w:tab w:val="clear" w:pos="340"/>
      </w:tabs>
      <w:spacing w:before="40" w:after="40"/>
    </w:pPr>
  </w:style>
  <w:style w:type="character" w:customStyle="1" w:styleId="SpecialBold">
    <w:name w:val="Special Bold"/>
    <w:basedOn w:val="DefaultParagraphFont"/>
    <w:rsid w:val="00A37374"/>
    <w:rPr>
      <w:b/>
      <w:spacing w:val="0"/>
    </w:rPr>
  </w:style>
  <w:style w:type="paragraph" w:styleId="ListBullet2">
    <w:name w:val="List Bullet 2"/>
    <w:basedOn w:val="List2"/>
    <w:rsid w:val="00A37374"/>
    <w:pPr>
      <w:numPr>
        <w:numId w:val="14"/>
      </w:numPr>
      <w:tabs>
        <w:tab w:val="clear" w:pos="680"/>
      </w:tabs>
    </w:pPr>
  </w:style>
  <w:style w:type="character" w:styleId="Emphasis">
    <w:name w:val="Emphasis"/>
    <w:basedOn w:val="DefaultParagraphFont"/>
    <w:qFormat/>
    <w:rsid w:val="00A37374"/>
    <w:rPr>
      <w:i/>
    </w:rPr>
  </w:style>
  <w:style w:type="paragraph" w:customStyle="1" w:styleId="SuperHeading">
    <w:name w:val="SuperHeading"/>
    <w:basedOn w:val="Normal"/>
    <w:rsid w:val="00A37374"/>
    <w:pPr>
      <w:spacing w:before="240" w:after="120"/>
      <w:outlineLvl w:val="0"/>
    </w:pPr>
    <w:rPr>
      <w:rFonts w:ascii="Times New Roman" w:hAnsi="Times New Roman"/>
      <w:b/>
      <w:sz w:val="32"/>
    </w:rPr>
  </w:style>
  <w:style w:type="paragraph" w:customStyle="1" w:styleId="AllowPageBreak">
    <w:name w:val="AllowPageBreak"/>
    <w:rsid w:val="00A37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374"/>
    <w:rPr>
      <w:rFonts w:ascii="Courier New" w:eastAsia="Times New Roman" w:hAnsi="Courier New" w:cs="Times New Roman"/>
      <w:i/>
      <w:szCs w:val="20"/>
      <w:lang w:eastAsia="en-US"/>
    </w:rPr>
  </w:style>
  <w:style w:type="paragraph" w:customStyle="1" w:styleId="HeadingBase">
    <w:name w:val="Heading Base"/>
    <w:rsid w:val="00A37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374"/>
    <w:pPr>
      <w:tabs>
        <w:tab w:val="right" w:leader="dot" w:pos="9072"/>
      </w:tabs>
      <w:ind w:left="567"/>
    </w:pPr>
    <w:rPr>
      <w:szCs w:val="22"/>
    </w:rPr>
  </w:style>
  <w:style w:type="paragraph" w:customStyle="1" w:styleId="TOCBase">
    <w:name w:val="TOC Base"/>
    <w:rsid w:val="00A37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374"/>
    <w:pPr>
      <w:tabs>
        <w:tab w:val="right" w:leader="dot" w:pos="9072"/>
      </w:tabs>
      <w:spacing w:before="40" w:after="40"/>
      <w:ind w:left="284"/>
    </w:pPr>
    <w:rPr>
      <w:rFonts w:ascii="Times New Roman" w:hAnsi="Times New Roman"/>
    </w:rPr>
  </w:style>
  <w:style w:type="paragraph" w:styleId="TOC1">
    <w:name w:val="toc 1"/>
    <w:basedOn w:val="TOCBase"/>
    <w:next w:val="Normal"/>
    <w:rsid w:val="00A37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374"/>
    <w:rPr>
      <w:rFonts w:ascii="Times New Roman" w:eastAsia="Times New Roman" w:hAnsi="Times New Roman" w:cs="Times New Roman"/>
      <w:sz w:val="16"/>
      <w:lang w:eastAsia="en-US"/>
    </w:rPr>
  </w:style>
  <w:style w:type="paragraph" w:styleId="Title">
    <w:name w:val="Title"/>
    <w:basedOn w:val="HeadingBase"/>
    <w:link w:val="TitleChar"/>
    <w:qFormat/>
    <w:rsid w:val="00A37374"/>
    <w:pPr>
      <w:spacing w:before="5040"/>
      <w:jc w:val="center"/>
    </w:pPr>
    <w:rPr>
      <w:sz w:val="48"/>
      <w:szCs w:val="72"/>
      <w:lang w:val="en-US"/>
    </w:rPr>
  </w:style>
  <w:style w:type="character" w:customStyle="1" w:styleId="TitleChar">
    <w:name w:val="Title Char"/>
    <w:basedOn w:val="DefaultParagraphFont"/>
    <w:link w:val="Title"/>
    <w:rsid w:val="00A37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374"/>
    <w:pPr>
      <w:tabs>
        <w:tab w:val="left" w:pos="3600"/>
        <w:tab w:val="left" w:pos="3958"/>
      </w:tabs>
    </w:pPr>
  </w:style>
  <w:style w:type="paragraph" w:styleId="List">
    <w:name w:val="List"/>
    <w:basedOn w:val="BodyText"/>
    <w:next w:val="BodyText"/>
    <w:rsid w:val="00A37374"/>
    <w:pPr>
      <w:tabs>
        <w:tab w:val="left" w:pos="340"/>
      </w:tabs>
      <w:spacing w:before="60" w:after="60"/>
      <w:ind w:left="340" w:hanging="340"/>
    </w:pPr>
  </w:style>
  <w:style w:type="paragraph" w:customStyle="1" w:styleId="Note">
    <w:name w:val="Note"/>
    <w:basedOn w:val="BodyText"/>
    <w:rsid w:val="00A37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374"/>
    <w:pPr>
      <w:framePr w:wrap="auto" w:hAnchor="text" w:y="6049"/>
    </w:pPr>
    <w:rPr>
      <w:color w:val="000000"/>
      <w:sz w:val="40"/>
    </w:rPr>
  </w:style>
  <w:style w:type="paragraph" w:customStyle="1" w:styleId="TOCTitle">
    <w:name w:val="TOCTitle"/>
    <w:basedOn w:val="Heading1"/>
    <w:rsid w:val="00A37374"/>
    <w:pPr>
      <w:spacing w:after="240"/>
      <w:jc w:val="center"/>
      <w:outlineLvl w:val="9"/>
    </w:pPr>
    <w:rPr>
      <w:caps/>
    </w:rPr>
  </w:style>
  <w:style w:type="paragraph" w:customStyle="1" w:styleId="Version">
    <w:name w:val="Version"/>
    <w:rsid w:val="00A37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374"/>
    <w:pPr>
      <w:keepNext w:val="0"/>
      <w:tabs>
        <w:tab w:val="right" w:pos="4176"/>
      </w:tabs>
      <w:ind w:left="198" w:hanging="198"/>
    </w:pPr>
    <w:rPr>
      <w:rFonts w:ascii="Garamond" w:hAnsi="Garamond"/>
    </w:rPr>
  </w:style>
  <w:style w:type="paragraph" w:styleId="IndexHeading">
    <w:name w:val="index heading"/>
    <w:basedOn w:val="Normal"/>
    <w:next w:val="Index1"/>
    <w:semiHidden/>
    <w:rsid w:val="00A37374"/>
    <w:pPr>
      <w:spacing w:before="120" w:after="120"/>
    </w:pPr>
    <w:rPr>
      <w:rFonts w:ascii="Arial" w:hAnsi="Arial"/>
      <w:b/>
      <w:color w:val="918585"/>
      <w:sz w:val="24"/>
    </w:rPr>
  </w:style>
  <w:style w:type="paragraph" w:styleId="Header">
    <w:name w:val="header"/>
    <w:basedOn w:val="Normal"/>
    <w:link w:val="HeaderChar"/>
    <w:rsid w:val="00A37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374"/>
    <w:rPr>
      <w:rFonts w:ascii="Times New Roman" w:eastAsia="Times New Roman" w:hAnsi="Times New Roman" w:cs="Times New Roman"/>
      <w:sz w:val="16"/>
      <w:szCs w:val="20"/>
      <w:lang w:val="en-GB" w:eastAsia="en-US"/>
    </w:rPr>
  </w:style>
  <w:style w:type="paragraph" w:customStyle="1" w:styleId="Chapter">
    <w:name w:val="Chapter"/>
    <w:basedOn w:val="Normal"/>
    <w:rsid w:val="00A37374"/>
    <w:pPr>
      <w:spacing w:before="240"/>
    </w:pPr>
    <w:rPr>
      <w:rFonts w:ascii="Times New Roman" w:hAnsi="Times New Roman"/>
      <w:smallCaps/>
      <w:spacing w:val="80"/>
      <w:sz w:val="28"/>
    </w:rPr>
  </w:style>
  <w:style w:type="paragraph" w:customStyle="1" w:styleId="InChapter">
    <w:name w:val="InChapter"/>
    <w:basedOn w:val="Heading3"/>
    <w:rsid w:val="00A37374"/>
    <w:pPr>
      <w:spacing w:after="240"/>
      <w:outlineLvl w:val="9"/>
    </w:pPr>
    <w:rPr>
      <w:noProof/>
    </w:rPr>
  </w:style>
  <w:style w:type="paragraph" w:styleId="Index2">
    <w:name w:val="index 2"/>
    <w:basedOn w:val="Normal"/>
    <w:next w:val="Normal"/>
    <w:semiHidden/>
    <w:rsid w:val="00A37374"/>
    <w:pPr>
      <w:tabs>
        <w:tab w:val="right" w:pos="4176"/>
      </w:tabs>
      <w:ind w:left="568" w:hanging="284"/>
    </w:pPr>
    <w:rPr>
      <w:rFonts w:ascii="Garamond" w:hAnsi="Garamond"/>
    </w:rPr>
  </w:style>
  <w:style w:type="paragraph" w:customStyle="1" w:styleId="Byline">
    <w:name w:val="Byline"/>
    <w:rsid w:val="00A37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374"/>
    <w:pPr>
      <w:tabs>
        <w:tab w:val="clear" w:pos="3600"/>
        <w:tab w:val="clear" w:pos="3958"/>
      </w:tabs>
      <w:jc w:val="right"/>
    </w:pPr>
  </w:style>
  <w:style w:type="paragraph" w:styleId="Caption">
    <w:name w:val="caption"/>
    <w:basedOn w:val="BodyText"/>
    <w:next w:val="Normal"/>
    <w:qFormat/>
    <w:rsid w:val="00A37374"/>
    <w:pPr>
      <w:framePr w:w="2268" w:hSpace="181" w:vSpace="181" w:wrap="around" w:vAnchor="text" w:hAnchor="page" w:x="1135" w:y="285" w:anchorLock="1"/>
    </w:pPr>
    <w:rPr>
      <w:i/>
    </w:rPr>
  </w:style>
  <w:style w:type="paragraph" w:customStyle="1" w:styleId="MiniTOCTitle">
    <w:name w:val="MiniTOCTitle"/>
    <w:basedOn w:val="Heading4"/>
    <w:rsid w:val="00A37374"/>
    <w:pPr>
      <w:spacing w:before="240"/>
      <w:outlineLvl w:val="9"/>
    </w:pPr>
    <w:rPr>
      <w:noProof/>
      <w:sz w:val="24"/>
    </w:rPr>
  </w:style>
  <w:style w:type="paragraph" w:customStyle="1" w:styleId="MiniTOCItem">
    <w:name w:val="MiniTOCItem"/>
    <w:basedOn w:val="ListBullet"/>
    <w:rsid w:val="00A37374"/>
    <w:pPr>
      <w:numPr>
        <w:numId w:val="0"/>
      </w:numPr>
      <w:tabs>
        <w:tab w:val="right" w:leader="dot" w:pos="6521"/>
      </w:tabs>
      <w:spacing w:before="0" w:after="0"/>
    </w:pPr>
  </w:style>
  <w:style w:type="paragraph" w:customStyle="1" w:styleId="TOFTitle">
    <w:name w:val="TOFTitle"/>
    <w:basedOn w:val="TOCTitle"/>
    <w:rsid w:val="00A37374"/>
  </w:style>
  <w:style w:type="paragraph" w:styleId="TableofFigures">
    <w:name w:val="table of figures"/>
    <w:basedOn w:val="Normal"/>
    <w:next w:val="Normal"/>
    <w:semiHidden/>
    <w:rsid w:val="00A37374"/>
    <w:pPr>
      <w:tabs>
        <w:tab w:val="right" w:leader="dot" w:pos="9072"/>
      </w:tabs>
      <w:ind w:left="970" w:hanging="403"/>
    </w:pPr>
    <w:rPr>
      <w:rFonts w:ascii="Times New Roman" w:hAnsi="Times New Roman"/>
      <w:b/>
    </w:rPr>
  </w:style>
  <w:style w:type="paragraph" w:styleId="ListNumber">
    <w:name w:val="List Number"/>
    <w:basedOn w:val="List"/>
    <w:rsid w:val="00A37374"/>
    <w:pPr>
      <w:numPr>
        <w:numId w:val="11"/>
      </w:numPr>
    </w:pPr>
  </w:style>
  <w:style w:type="character" w:customStyle="1" w:styleId="WingdingSymbols">
    <w:name w:val="Wingding Symbols"/>
    <w:rsid w:val="00A37374"/>
    <w:rPr>
      <w:rFonts w:ascii="Wingdings" w:hAnsi="Wingdings"/>
    </w:rPr>
  </w:style>
  <w:style w:type="paragraph" w:customStyle="1" w:styleId="TableHeading">
    <w:name w:val="Table Heading"/>
    <w:basedOn w:val="HeadingBase"/>
    <w:rsid w:val="00A37374"/>
    <w:pPr>
      <w:keepLines/>
      <w:pBdr>
        <w:bottom w:val="single" w:sz="6" w:space="1" w:color="918585"/>
      </w:pBdr>
      <w:spacing w:before="240"/>
    </w:pPr>
  </w:style>
  <w:style w:type="character" w:customStyle="1" w:styleId="HotSpot">
    <w:name w:val="HotSpot"/>
    <w:rsid w:val="00A37374"/>
    <w:rPr>
      <w:color w:val="0033CC"/>
      <w:u w:val="none"/>
    </w:rPr>
  </w:style>
  <w:style w:type="paragraph" w:customStyle="1" w:styleId="BodyTextRight">
    <w:name w:val="Body Text Right"/>
    <w:basedOn w:val="BodyText"/>
    <w:rsid w:val="00A37374"/>
    <w:pPr>
      <w:spacing w:before="0" w:after="0"/>
      <w:jc w:val="right"/>
    </w:pPr>
  </w:style>
  <w:style w:type="paragraph" w:styleId="Index3">
    <w:name w:val="index 3"/>
    <w:basedOn w:val="ListNumber2"/>
    <w:next w:val="Normal"/>
    <w:semiHidden/>
    <w:rsid w:val="00A37374"/>
    <w:pPr>
      <w:numPr>
        <w:numId w:val="0"/>
      </w:numPr>
      <w:tabs>
        <w:tab w:val="right" w:leader="dot" w:pos="4176"/>
      </w:tabs>
    </w:pPr>
  </w:style>
  <w:style w:type="paragraph" w:styleId="ListNumber2">
    <w:name w:val="List Number 2"/>
    <w:basedOn w:val="List2"/>
    <w:rsid w:val="00A37374"/>
    <w:pPr>
      <w:numPr>
        <w:numId w:val="10"/>
      </w:numPr>
      <w:tabs>
        <w:tab w:val="clear" w:pos="1060"/>
      </w:tabs>
    </w:pPr>
  </w:style>
  <w:style w:type="paragraph" w:customStyle="1" w:styleId="MarginNote">
    <w:name w:val="Margin Note"/>
    <w:basedOn w:val="BodyText"/>
    <w:rsid w:val="00A37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374"/>
    <w:rPr>
      <w:sz w:val="32"/>
    </w:rPr>
  </w:style>
  <w:style w:type="paragraph" w:customStyle="1" w:styleId="HeadingProcedure">
    <w:name w:val="Heading Procedure"/>
    <w:basedOn w:val="HeadingBase"/>
    <w:next w:val="Normal"/>
    <w:rsid w:val="00A37374"/>
    <w:pPr>
      <w:tabs>
        <w:tab w:val="left" w:pos="0"/>
      </w:tabs>
      <w:spacing w:before="120" w:after="60"/>
    </w:pPr>
    <w:rPr>
      <w:i/>
      <w:color w:val="918585"/>
      <w:sz w:val="22"/>
    </w:rPr>
  </w:style>
  <w:style w:type="paragraph" w:customStyle="1" w:styleId="TableBodyText">
    <w:name w:val="Table Body Text"/>
    <w:basedOn w:val="BodyText"/>
    <w:rsid w:val="00A37374"/>
    <w:pPr>
      <w:spacing w:before="60" w:after="60"/>
    </w:pPr>
  </w:style>
  <w:style w:type="paragraph" w:styleId="ListContinue">
    <w:name w:val="List Continue"/>
    <w:basedOn w:val="List"/>
    <w:rsid w:val="00A37374"/>
    <w:pPr>
      <w:ind w:firstLine="0"/>
    </w:pPr>
  </w:style>
  <w:style w:type="paragraph" w:customStyle="1" w:styleId="ListNote">
    <w:name w:val="List Note"/>
    <w:basedOn w:val="List"/>
    <w:rsid w:val="00A37374"/>
    <w:pPr>
      <w:pBdr>
        <w:top w:val="single" w:sz="6" w:space="2" w:color="918585"/>
        <w:bottom w:val="single" w:sz="6" w:space="2" w:color="918585"/>
      </w:pBdr>
      <w:tabs>
        <w:tab w:val="left" w:pos="1021"/>
      </w:tabs>
      <w:ind w:firstLine="0"/>
    </w:pPr>
  </w:style>
  <w:style w:type="paragraph" w:customStyle="1" w:styleId="Warning">
    <w:name w:val="Warning"/>
    <w:basedOn w:val="BodyText"/>
    <w:rsid w:val="00A37374"/>
    <w:pPr>
      <w:shd w:val="clear" w:color="auto" w:fill="D9D9D9"/>
      <w:tabs>
        <w:tab w:val="left" w:pos="992"/>
      </w:tabs>
      <w:ind w:left="119" w:right="119"/>
    </w:pPr>
    <w:rPr>
      <w:sz w:val="20"/>
    </w:rPr>
  </w:style>
  <w:style w:type="paragraph" w:customStyle="1" w:styleId="MarginIcons">
    <w:name w:val="Margin Icons"/>
    <w:basedOn w:val="BodyText"/>
    <w:rsid w:val="00A37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374"/>
    <w:rPr>
      <w:rFonts w:ascii="Courier New" w:hAnsi="Courier New"/>
    </w:rPr>
  </w:style>
  <w:style w:type="paragraph" w:customStyle="1" w:styleId="NoteBullet">
    <w:name w:val="Note Bullet"/>
    <w:basedOn w:val="Note"/>
    <w:rsid w:val="00A37374"/>
    <w:pPr>
      <w:tabs>
        <w:tab w:val="clear" w:pos="680"/>
      </w:tabs>
      <w:spacing w:before="60" w:after="60"/>
    </w:pPr>
  </w:style>
  <w:style w:type="paragraph" w:customStyle="1" w:styleId="SubHeading2">
    <w:name w:val="SubHeading2"/>
    <w:basedOn w:val="HeadingBase"/>
    <w:rsid w:val="00A37374"/>
    <w:pPr>
      <w:spacing w:before="240" w:after="60"/>
    </w:pPr>
    <w:rPr>
      <w:sz w:val="20"/>
    </w:rPr>
  </w:style>
  <w:style w:type="paragraph" w:customStyle="1" w:styleId="SubHeading1">
    <w:name w:val="SubHeading1"/>
    <w:basedOn w:val="HeadingBase"/>
    <w:rsid w:val="00A37374"/>
    <w:pPr>
      <w:spacing w:before="240" w:after="60"/>
    </w:pPr>
    <w:rPr>
      <w:color w:val="918585"/>
      <w:sz w:val="22"/>
    </w:rPr>
  </w:style>
  <w:style w:type="paragraph" w:customStyle="1" w:styleId="SideHeading">
    <w:name w:val="Side Heading"/>
    <w:basedOn w:val="HeadingBase"/>
    <w:rsid w:val="00A37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374"/>
    <w:pPr>
      <w:numPr>
        <w:numId w:val="12"/>
      </w:numPr>
    </w:pPr>
  </w:style>
  <w:style w:type="paragraph" w:styleId="PlainText">
    <w:name w:val="Plain Text"/>
    <w:basedOn w:val="Normal"/>
    <w:link w:val="PlainTextChar"/>
    <w:rsid w:val="00A37374"/>
    <w:rPr>
      <w:sz w:val="20"/>
    </w:rPr>
  </w:style>
  <w:style w:type="character" w:customStyle="1" w:styleId="PlainTextChar">
    <w:name w:val="Plain Text Char"/>
    <w:basedOn w:val="DefaultParagraphFont"/>
    <w:link w:val="PlainText"/>
    <w:rsid w:val="00A37374"/>
    <w:rPr>
      <w:rFonts w:ascii="Courier New" w:eastAsia="Times New Roman" w:hAnsi="Courier New" w:cs="Times New Roman"/>
      <w:sz w:val="20"/>
      <w:szCs w:val="20"/>
      <w:lang w:eastAsia="en-US"/>
    </w:rPr>
  </w:style>
  <w:style w:type="character" w:customStyle="1" w:styleId="MenuOption">
    <w:name w:val="Menu Option"/>
    <w:basedOn w:val="DefaultParagraphFont"/>
    <w:rsid w:val="00A37374"/>
    <w:rPr>
      <w:b/>
      <w:smallCaps/>
    </w:rPr>
  </w:style>
  <w:style w:type="paragraph" w:customStyle="1" w:styleId="TableListNumber">
    <w:name w:val="Table List Number"/>
    <w:basedOn w:val="ListNumber"/>
    <w:rsid w:val="00A37374"/>
    <w:pPr>
      <w:numPr>
        <w:numId w:val="0"/>
      </w:numPr>
    </w:pPr>
  </w:style>
  <w:style w:type="paragraph" w:styleId="TOC4">
    <w:name w:val="toc 4"/>
    <w:basedOn w:val="TOCBase"/>
    <w:next w:val="Normal"/>
    <w:semiHidden/>
    <w:rsid w:val="00A37374"/>
    <w:pPr>
      <w:tabs>
        <w:tab w:val="right" w:leader="dot" w:pos="9071"/>
      </w:tabs>
      <w:ind w:left="1701"/>
    </w:pPr>
  </w:style>
  <w:style w:type="paragraph" w:customStyle="1" w:styleId="ListAlpha">
    <w:name w:val="List Alpha"/>
    <w:basedOn w:val="List"/>
    <w:rsid w:val="00A37374"/>
    <w:pPr>
      <w:numPr>
        <w:numId w:val="9"/>
      </w:numPr>
    </w:pPr>
  </w:style>
  <w:style w:type="paragraph" w:customStyle="1" w:styleId="ListAlpha2">
    <w:name w:val="List Alpha 2"/>
    <w:basedOn w:val="List2"/>
    <w:rsid w:val="00A37374"/>
    <w:pPr>
      <w:numPr>
        <w:numId w:val="8"/>
      </w:numPr>
    </w:pPr>
  </w:style>
  <w:style w:type="paragraph" w:styleId="List2">
    <w:name w:val="List 2"/>
    <w:basedOn w:val="BodyText"/>
    <w:rsid w:val="00A37374"/>
    <w:pPr>
      <w:tabs>
        <w:tab w:val="left" w:pos="680"/>
      </w:tabs>
      <w:spacing w:before="60" w:after="60"/>
      <w:ind w:left="680" w:hanging="340"/>
    </w:pPr>
  </w:style>
  <w:style w:type="paragraph" w:styleId="List3">
    <w:name w:val="List 3"/>
    <w:basedOn w:val="BodyText"/>
    <w:rsid w:val="00A37374"/>
    <w:pPr>
      <w:tabs>
        <w:tab w:val="left" w:pos="1021"/>
      </w:tabs>
      <w:spacing w:before="60" w:after="60"/>
      <w:ind w:left="1020" w:hanging="340"/>
    </w:pPr>
  </w:style>
  <w:style w:type="paragraph" w:styleId="List4">
    <w:name w:val="List 4"/>
    <w:basedOn w:val="BodyText"/>
    <w:rsid w:val="00A37374"/>
    <w:pPr>
      <w:tabs>
        <w:tab w:val="left" w:pos="1361"/>
      </w:tabs>
      <w:spacing w:before="60" w:after="60"/>
      <w:ind w:left="1361" w:hanging="340"/>
    </w:pPr>
  </w:style>
  <w:style w:type="paragraph" w:styleId="List5">
    <w:name w:val="List 5"/>
    <w:basedOn w:val="BodyText"/>
    <w:rsid w:val="00A37374"/>
    <w:pPr>
      <w:tabs>
        <w:tab w:val="left" w:pos="1701"/>
      </w:tabs>
      <w:spacing w:before="60" w:after="60"/>
      <w:ind w:left="1701" w:hanging="340"/>
    </w:pPr>
  </w:style>
  <w:style w:type="paragraph" w:styleId="ListBullet3">
    <w:name w:val="List Bullet 3"/>
    <w:basedOn w:val="List3"/>
    <w:rsid w:val="00A37374"/>
    <w:pPr>
      <w:numPr>
        <w:numId w:val="15"/>
      </w:numPr>
      <w:tabs>
        <w:tab w:val="clear" w:pos="1021"/>
      </w:tabs>
      <w:ind w:left="1037" w:hanging="357"/>
    </w:pPr>
  </w:style>
  <w:style w:type="paragraph" w:styleId="ListBullet4">
    <w:name w:val="List Bullet 4"/>
    <w:basedOn w:val="List4"/>
    <w:rsid w:val="00A37374"/>
    <w:pPr>
      <w:numPr>
        <w:numId w:val="3"/>
      </w:numPr>
    </w:pPr>
  </w:style>
  <w:style w:type="paragraph" w:styleId="ListBullet5">
    <w:name w:val="List Bullet 5"/>
    <w:basedOn w:val="List5"/>
    <w:rsid w:val="00A37374"/>
    <w:pPr>
      <w:numPr>
        <w:numId w:val="4"/>
      </w:numPr>
    </w:pPr>
  </w:style>
  <w:style w:type="paragraph" w:styleId="ListContinue2">
    <w:name w:val="List Continue 2"/>
    <w:basedOn w:val="List2"/>
    <w:rsid w:val="00A37374"/>
    <w:pPr>
      <w:ind w:firstLine="0"/>
    </w:pPr>
  </w:style>
  <w:style w:type="paragraph" w:styleId="ListContinue3">
    <w:name w:val="List Continue 3"/>
    <w:basedOn w:val="List3"/>
    <w:rsid w:val="00A37374"/>
    <w:pPr>
      <w:ind w:left="1021" w:firstLine="0"/>
    </w:pPr>
  </w:style>
  <w:style w:type="paragraph" w:styleId="ListContinue4">
    <w:name w:val="List Continue 4"/>
    <w:basedOn w:val="List4"/>
    <w:rsid w:val="00A37374"/>
    <w:pPr>
      <w:ind w:firstLine="0"/>
    </w:pPr>
  </w:style>
  <w:style w:type="paragraph" w:styleId="ListContinue5">
    <w:name w:val="List Continue 5"/>
    <w:basedOn w:val="List5"/>
    <w:rsid w:val="00A37374"/>
    <w:pPr>
      <w:ind w:firstLine="0"/>
    </w:pPr>
  </w:style>
  <w:style w:type="paragraph" w:styleId="ListNumber3">
    <w:name w:val="List Number 3"/>
    <w:basedOn w:val="List3"/>
    <w:rsid w:val="00A37374"/>
    <w:pPr>
      <w:numPr>
        <w:numId w:val="5"/>
      </w:numPr>
    </w:pPr>
  </w:style>
  <w:style w:type="paragraph" w:styleId="ListNumber4">
    <w:name w:val="List Number 4"/>
    <w:basedOn w:val="List4"/>
    <w:rsid w:val="00A37374"/>
    <w:pPr>
      <w:numPr>
        <w:numId w:val="6"/>
      </w:numPr>
    </w:pPr>
  </w:style>
  <w:style w:type="paragraph" w:styleId="ListNumber5">
    <w:name w:val="List Number 5"/>
    <w:basedOn w:val="List5"/>
    <w:rsid w:val="00A37374"/>
    <w:pPr>
      <w:numPr>
        <w:numId w:val="7"/>
      </w:numPr>
    </w:pPr>
  </w:style>
  <w:style w:type="paragraph" w:styleId="BlockText">
    <w:name w:val="Block Text"/>
    <w:basedOn w:val="Normal"/>
    <w:rsid w:val="00A37374"/>
    <w:pPr>
      <w:spacing w:after="120"/>
      <w:ind w:left="1440" w:right="1440"/>
    </w:pPr>
  </w:style>
  <w:style w:type="character" w:customStyle="1" w:styleId="Subscript">
    <w:name w:val="Subscript"/>
    <w:basedOn w:val="DefaultParagraphFont"/>
    <w:rsid w:val="00A37374"/>
    <w:rPr>
      <w:sz w:val="16"/>
      <w:vertAlign w:val="subscript"/>
    </w:rPr>
  </w:style>
  <w:style w:type="character" w:customStyle="1" w:styleId="Superscript">
    <w:name w:val="Superscript"/>
    <w:basedOn w:val="DefaultParagraphFont"/>
    <w:rsid w:val="00A37374"/>
    <w:rPr>
      <w:sz w:val="16"/>
      <w:vertAlign w:val="superscript"/>
    </w:rPr>
  </w:style>
  <w:style w:type="character" w:customStyle="1" w:styleId="Symbols">
    <w:name w:val="Symbols"/>
    <w:basedOn w:val="DefaultParagraphFont"/>
    <w:rsid w:val="00A37374"/>
    <w:rPr>
      <w:rFonts w:ascii="Symbol" w:hAnsi="Symbol"/>
    </w:rPr>
  </w:style>
  <w:style w:type="character" w:customStyle="1" w:styleId="MenuOptions">
    <w:name w:val="Menu Options"/>
    <w:basedOn w:val="DefaultParagraphFont"/>
    <w:rsid w:val="00A37374"/>
    <w:rPr>
      <w:rFonts w:ascii="Arial Narrow" w:hAnsi="Arial Narrow"/>
      <w:smallCaps/>
    </w:rPr>
  </w:style>
  <w:style w:type="character" w:customStyle="1" w:styleId="Buttons">
    <w:name w:val="Buttons"/>
    <w:basedOn w:val="DefaultParagraphFont"/>
    <w:rsid w:val="00A37374"/>
    <w:rPr>
      <w:b/>
    </w:rPr>
  </w:style>
  <w:style w:type="character" w:customStyle="1" w:styleId="Underlined">
    <w:name w:val="Underlined"/>
    <w:basedOn w:val="DefaultParagraphFont"/>
    <w:rsid w:val="00A37374"/>
    <w:rPr>
      <w:u w:val="single"/>
    </w:rPr>
  </w:style>
  <w:style w:type="paragraph" w:customStyle="1" w:styleId="TableBodyTextRight">
    <w:name w:val="Table Body Text Right"/>
    <w:basedOn w:val="TableBodyText"/>
    <w:rsid w:val="00A37374"/>
    <w:pPr>
      <w:widowControl w:val="0"/>
      <w:autoSpaceDE w:val="0"/>
      <w:autoSpaceDN w:val="0"/>
      <w:adjustRightInd w:val="0"/>
      <w:jc w:val="right"/>
    </w:pPr>
    <w:rPr>
      <w:rFonts w:cs="Arial"/>
      <w:szCs w:val="18"/>
    </w:rPr>
  </w:style>
  <w:style w:type="paragraph" w:customStyle="1" w:styleId="CopyrightText">
    <w:name w:val="Copyright Text"/>
    <w:basedOn w:val="BodyText"/>
    <w:rsid w:val="00A37374"/>
    <w:rPr>
      <w:sz w:val="18"/>
    </w:rPr>
  </w:style>
  <w:style w:type="paragraph" w:customStyle="1" w:styleId="BodySmallRight">
    <w:name w:val="Body Small Right"/>
    <w:basedOn w:val="BodyTextRight"/>
    <w:rsid w:val="00A37374"/>
    <w:rPr>
      <w:sz w:val="18"/>
      <w:szCs w:val="18"/>
    </w:rPr>
  </w:style>
  <w:style w:type="paragraph" w:customStyle="1" w:styleId="MarginEdition">
    <w:name w:val="Margin Edition"/>
    <w:basedOn w:val="MarginNote"/>
    <w:rsid w:val="00A37374"/>
    <w:pPr>
      <w:spacing w:before="0" w:after="0"/>
    </w:pPr>
    <w:rPr>
      <w:rFonts w:ascii="Times New Roman" w:hAnsi="Times New Roman"/>
      <w:color w:val="999999"/>
    </w:rPr>
  </w:style>
  <w:style w:type="paragraph" w:customStyle="1" w:styleId="Spacer">
    <w:name w:val="Spacer"/>
    <w:basedOn w:val="Normal"/>
    <w:rsid w:val="00A37374"/>
    <w:rPr>
      <w:sz w:val="2"/>
      <w:szCs w:val="2"/>
    </w:rPr>
  </w:style>
  <w:style w:type="character" w:customStyle="1" w:styleId="Small">
    <w:name w:val="Small"/>
    <w:basedOn w:val="DefaultParagraphFont"/>
    <w:rsid w:val="00A37374"/>
    <w:rPr>
      <w:sz w:val="16"/>
    </w:rPr>
  </w:style>
  <w:style w:type="paragraph" w:customStyle="1" w:styleId="WideTable">
    <w:name w:val="Wide Table"/>
    <w:basedOn w:val="Normal"/>
    <w:rsid w:val="00A37374"/>
    <w:pPr>
      <w:ind w:left="-1418"/>
    </w:pPr>
    <w:rPr>
      <w:sz w:val="2"/>
      <w:szCs w:val="2"/>
    </w:rPr>
  </w:style>
  <w:style w:type="character" w:styleId="PageNumber">
    <w:name w:val="page number"/>
    <w:basedOn w:val="DefaultParagraphFont"/>
    <w:rsid w:val="00A37374"/>
  </w:style>
  <w:style w:type="paragraph" w:styleId="Quote">
    <w:name w:val="Quote"/>
    <w:basedOn w:val="Heading1"/>
    <w:link w:val="QuoteChar"/>
    <w:qFormat/>
    <w:rsid w:val="00A37374"/>
    <w:rPr>
      <w:b w:val="0"/>
      <w:sz w:val="72"/>
      <w:szCs w:val="72"/>
      <w:lang w:val="en-NZ"/>
    </w:rPr>
  </w:style>
  <w:style w:type="character" w:customStyle="1" w:styleId="QuoteChar">
    <w:name w:val="Quote Char"/>
    <w:basedOn w:val="DefaultParagraphFont"/>
    <w:link w:val="Quote"/>
    <w:rsid w:val="00A37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374"/>
    <w:pPr>
      <w:pageBreakBefore/>
    </w:pPr>
  </w:style>
  <w:style w:type="paragraph" w:customStyle="1" w:styleId="Border">
    <w:name w:val="Border"/>
    <w:basedOn w:val="Normal"/>
    <w:qFormat/>
    <w:rsid w:val="00A37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374"/>
    <w:rPr>
      <w:b/>
      <w:bCs/>
      <w:i/>
      <w:iCs/>
      <w:color w:val="auto"/>
    </w:rPr>
  </w:style>
  <w:style w:type="paragraph" w:styleId="IntenseQuote">
    <w:name w:val="Intense Quote"/>
    <w:basedOn w:val="Normal"/>
    <w:next w:val="Normal"/>
    <w:link w:val="IntenseQuoteChar"/>
    <w:uiPriority w:val="30"/>
    <w:qFormat/>
    <w:rsid w:val="00A37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374"/>
    <w:rPr>
      <w:smallCaps/>
      <w:color w:val="auto"/>
      <w:u w:val="single"/>
    </w:rPr>
  </w:style>
  <w:style w:type="character" w:styleId="IntenseReference">
    <w:name w:val="Intense Reference"/>
    <w:basedOn w:val="DefaultParagraphFont"/>
    <w:uiPriority w:val="32"/>
    <w:qFormat/>
    <w:rsid w:val="00A37374"/>
    <w:rPr>
      <w:b/>
      <w:bCs/>
      <w:smallCaps/>
      <w:color w:val="auto"/>
      <w:spacing w:val="5"/>
      <w:u w:val="single"/>
    </w:rPr>
  </w:style>
  <w:style w:type="paragraph" w:customStyle="1" w:styleId="2ColumnHeading">
    <w:name w:val="2Column Heading"/>
    <w:basedOn w:val="BodyText"/>
    <w:qFormat/>
    <w:rsid w:val="00A37374"/>
    <w:pPr>
      <w:spacing w:after="60"/>
      <w:ind w:left="-2268"/>
    </w:pPr>
    <w:rPr>
      <w:b/>
    </w:rPr>
  </w:style>
  <w:style w:type="paragraph" w:customStyle="1" w:styleId="Heading1TOC">
    <w:name w:val="Heading1 TOC"/>
    <w:basedOn w:val="Normal"/>
    <w:qFormat/>
    <w:rsid w:val="00A37374"/>
    <w:pPr>
      <w:spacing w:before="240" w:after="120"/>
    </w:pPr>
    <w:rPr>
      <w:rFonts w:ascii="Times New Roman" w:hAnsi="Times New Roman"/>
      <w:b/>
      <w:sz w:val="32"/>
    </w:rPr>
  </w:style>
  <w:style w:type="paragraph" w:customStyle="1" w:styleId="Heading2TOC">
    <w:name w:val="Heading2 TOC"/>
    <w:basedOn w:val="Normal"/>
    <w:qFormat/>
    <w:rsid w:val="00A37374"/>
    <w:pPr>
      <w:spacing w:before="240" w:after="60"/>
    </w:pPr>
    <w:rPr>
      <w:rFonts w:ascii="Times New Roman" w:hAnsi="Times New Roman"/>
      <w:b/>
      <w:sz w:val="28"/>
    </w:rPr>
  </w:style>
  <w:style w:type="character" w:customStyle="1" w:styleId="Underline">
    <w:name w:val="Underline"/>
    <w:basedOn w:val="DefaultParagraphFont"/>
    <w:qFormat/>
    <w:rsid w:val="00A37374"/>
    <w:rPr>
      <w:u w:val="single"/>
    </w:rPr>
  </w:style>
  <w:style w:type="character" w:customStyle="1" w:styleId="BoldandItalics">
    <w:name w:val="Bold and Italics"/>
    <w:qFormat/>
    <w:rsid w:val="00A37374"/>
    <w:rPr>
      <w:b/>
      <w:i/>
      <w:u w:val="none"/>
    </w:rPr>
  </w:style>
  <w:style w:type="paragraph" w:styleId="BalloonText">
    <w:name w:val="Balloon Text"/>
    <w:basedOn w:val="Normal"/>
    <w:link w:val="BalloonTextChar"/>
    <w:rsid w:val="00A37374"/>
    <w:rPr>
      <w:rFonts w:ascii="Tahoma" w:hAnsi="Tahoma" w:cs="Tahoma"/>
      <w:sz w:val="16"/>
      <w:szCs w:val="16"/>
    </w:rPr>
  </w:style>
  <w:style w:type="character" w:customStyle="1" w:styleId="BalloonTextChar">
    <w:name w:val="Balloon Text Char"/>
    <w:basedOn w:val="DefaultParagraphFont"/>
    <w:link w:val="BalloonText"/>
    <w:rsid w:val="00A37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7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374"/>
    <w:rPr>
      <w:b/>
      <w:color w:val="660033"/>
      <w:spacing w:val="0"/>
    </w:rPr>
  </w:style>
  <w:style w:type="paragraph" w:customStyle="1" w:styleId="Nameditemlist">
    <w:name w:val="Named item list"/>
    <w:basedOn w:val="BodyText"/>
    <w:qFormat/>
    <w:rsid w:val="00A373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1266</Words>
  <Characters>8008</Characters>
  <Application>Microsoft Office Word</Application>
  <DocSecurity>0</DocSecurity>
  <Lines>327</Lines>
  <Paragraphs>185</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PMAOPS260A Conduct screening operations</dc:title>
  <dc:subject>Approved</dc:subject>
  <dc:creator>Manufacturing Skills Australia</dc:creator>
  <cp:keywords>Release 1</cp:keywords>
  <dc:description>Review Date: 12 April 2008</dc:description>
  <cp:lastModifiedBy>TPCMS</cp:lastModifiedBy>
  <cp:revision>3</cp:revision>
  <dcterms:created xsi:type="dcterms:W3CDTF">2013-06-23T08:54:00Z</dcterms:created>
  <dcterms:modified xsi:type="dcterms:W3CDTF">2013-06-23T08:54:00Z</dcterms:modified>
</cp:coreProperties>
</file>