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B2A" w:rsidP="000F5B2A">
      <w:pPr>
        <w:pStyle w:val="Title"/>
      </w:pPr>
      <w:r>
        <w:fldChar w:fldCharType="begin"/>
      </w:r>
      <w:r>
        <w:instrText xml:space="preserve"> TITLE   \* MERGEFORMAT </w:instrText>
      </w:r>
      <w:r>
        <w:fldChar w:fldCharType="separate"/>
      </w:r>
      <w:r>
        <w:t>PMAOPS226A Monitor and operate flare systems</w:t>
      </w:r>
      <w:r>
        <w:fldChar w:fldCharType="end"/>
      </w:r>
    </w:p>
    <w:p w:rsidR="000F5B2A" w:rsidP="000F5B2A">
      <w:pPr>
        <w:pStyle w:val="Version"/>
        <w:sectPr w:rsidSect="00CB1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1CC" w:rsidP="00CB11CC">
      <w:pPr>
        <w:pStyle w:val="SuperHeading"/>
      </w:pPr>
      <w:r w:rsidRPr="00CB11CC">
        <w:t>PMAOPS226A Monitor and operate flare systems</w:t>
      </w:r>
    </w:p>
    <w:p w:rsidR="00000000" w:rsidRPr="00CB11CC" w:rsidP="00CB11CC">
      <w:pPr>
        <w:pStyle w:val="Heading1"/>
      </w:pPr>
      <w:bookmarkStart w:id="1" w:name="O_637348"/>
      <w:bookmarkEnd w:id="1"/>
      <w:r w:rsidRPr="00CB11CC">
        <w:t>Modification History</w:t>
      </w:r>
    </w:p>
    <w:p w:rsidR="00000000" w:rsidRPr="00CB11CC" w:rsidP="00CB11CC">
      <w:pPr>
        <w:pStyle w:val="BodyText"/>
      </w:pPr>
      <w:r w:rsidRPr="00CB11CC">
        <w:t>New unit - Release 1</w:t>
      </w:r>
    </w:p>
    <w:p w:rsidR="00000000" w:rsidRPr="00CB11CC" w:rsidP="00CB11CC">
      <w:pPr>
        <w:pStyle w:val="AllowPageBreak"/>
      </w:pPr>
    </w:p>
    <w:p w:rsidR="00000000" w:rsidRPr="00CB11CC" w:rsidP="00CB11CC">
      <w:pPr>
        <w:pStyle w:val="Heading1"/>
      </w:pPr>
      <w:bookmarkStart w:id="2" w:name="O_637349"/>
      <w:bookmarkEnd w:id="2"/>
      <w:r w:rsidRPr="00CB11CC">
        <w:t>Unit Descriptor</w:t>
      </w:r>
    </w:p>
    <w:p w:rsidR="00000000" w:rsidRPr="00CB11CC" w:rsidP="00CB11CC">
      <w:pPr>
        <w:pStyle w:val="BodyText"/>
      </w:pPr>
      <w:r w:rsidRPr="00CB11CC">
        <w:t>This unit of competency covers the skills and knowledge needed to monitor flare systems. It also includes solving problems with flare systems and equipment.</w:t>
      </w:r>
    </w:p>
    <w:p w:rsidR="00000000" w:rsidRPr="00CB11CC" w:rsidP="00CB11CC">
      <w:pPr>
        <w:pStyle w:val="AllowPageBreak"/>
      </w:pPr>
    </w:p>
    <w:p w:rsidR="00000000" w:rsidRPr="00CB11CC" w:rsidP="00CB11CC">
      <w:pPr>
        <w:pStyle w:val="Heading1"/>
      </w:pPr>
      <w:bookmarkStart w:id="3" w:name="O_637350"/>
      <w:bookmarkEnd w:id="3"/>
      <w:r w:rsidRPr="00CB11CC">
        <w:t>Applica</w:t>
      </w:r>
      <w:r w:rsidRPr="00CB11CC">
        <w:t>tion of the Unit</w:t>
      </w:r>
    </w:p>
    <w:p w:rsidR="00000000" w:rsidRPr="00CB11CC" w:rsidP="00CB11CC">
      <w:pPr>
        <w:pStyle w:val="BodyText"/>
      </w:pPr>
      <w:r w:rsidRPr="00CB11CC">
        <w:t>This unit applies to an operator who monitors flare systems as part of their duties. The flare system includes all items from the safety relief device through to the flare inclusive. It includes:</w:t>
      </w:r>
    </w:p>
    <w:p w:rsidR="00000000" w:rsidRPr="00CB11CC" w:rsidP="00CB11CC">
      <w:pPr>
        <w:pStyle w:val="ListBullet"/>
      </w:pPr>
      <w:r w:rsidRPr="00CB11CC">
        <w:t>elevated flares</w:t>
      </w:r>
    </w:p>
    <w:p w:rsidR="00000000" w:rsidRPr="00CB11CC" w:rsidP="00CB11CC">
      <w:pPr>
        <w:pStyle w:val="ListBullet"/>
      </w:pPr>
      <w:r w:rsidRPr="00CB11CC">
        <w:t>ground flares</w:t>
      </w:r>
    </w:p>
    <w:p w:rsidR="00000000" w:rsidRPr="00CB11CC" w:rsidP="00CB11CC">
      <w:pPr>
        <w:pStyle w:val="ListBullet"/>
      </w:pPr>
      <w:r w:rsidRPr="00CB11CC">
        <w:t>high level v</w:t>
      </w:r>
      <w:r w:rsidRPr="00CB11CC">
        <w:t>ents (with no flame).</w:t>
      </w:r>
    </w:p>
    <w:p w:rsidR="00000000" w:rsidRPr="00CB11CC" w:rsidP="00CB11CC">
      <w:pPr>
        <w:pStyle w:val="BodyText"/>
      </w:pPr>
    </w:p>
    <w:p w:rsidR="00000000" w:rsidRPr="00CB11CC" w:rsidP="00CB11CC">
      <w:pPr>
        <w:pStyle w:val="BodyText"/>
      </w:pPr>
      <w:r w:rsidRPr="00CB11CC">
        <w:t>This unit applies to an individual working alone or as part of a team or group and working in liaison with other shift team members and the control room operator as appropriate.</w:t>
      </w:r>
    </w:p>
    <w:p w:rsidR="00000000" w:rsidRPr="00CB11CC" w:rsidP="00CB11CC">
      <w:pPr>
        <w:pStyle w:val="AllowPageBreak"/>
      </w:pPr>
    </w:p>
    <w:p w:rsidR="00000000" w:rsidRPr="00CB11CC" w:rsidP="00CB11CC">
      <w:pPr>
        <w:pStyle w:val="Heading1"/>
      </w:pPr>
      <w:bookmarkStart w:id="4" w:name="O_637351"/>
      <w:bookmarkEnd w:id="4"/>
      <w:r w:rsidRPr="00CB11CC">
        <w:t>Licensing/Regulatory Information</w:t>
      </w:r>
    </w:p>
    <w:p w:rsidR="00000000" w:rsidRPr="00CB11CC" w:rsidP="00CB11CC">
      <w:pPr>
        <w:pStyle w:val="BodyText"/>
      </w:pPr>
      <w:r w:rsidRPr="00CB11CC">
        <w:t>Not a</w:t>
      </w:r>
      <w:r w:rsidRPr="00CB11CC">
        <w:t>pplicable.</w:t>
      </w:r>
    </w:p>
    <w:p w:rsidR="00000000" w:rsidRPr="00CB11CC" w:rsidP="00CB11CC">
      <w:pPr>
        <w:pStyle w:val="AllowPageBreak"/>
      </w:pPr>
    </w:p>
    <w:p w:rsidR="00000000" w:rsidRPr="00CB11CC" w:rsidP="00CB11CC">
      <w:pPr>
        <w:pStyle w:val="Heading1"/>
      </w:pPr>
      <w:bookmarkStart w:id="5" w:name="O_637352"/>
      <w:bookmarkEnd w:id="5"/>
      <w:r w:rsidRPr="00CB11CC">
        <w:t>Pre-Requisites</w:t>
      </w:r>
    </w:p>
    <w:p w:rsidR="00000000" w:rsidRPr="00CB11CC" w:rsidP="00CB11CC">
      <w:pPr>
        <w:pStyle w:val="BodyText"/>
      </w:pPr>
      <w:r w:rsidRPr="00CB11CC">
        <w:t>Not applicable.</w:t>
      </w:r>
    </w:p>
    <w:p w:rsidR="00000000" w:rsidRPr="00CB11CC" w:rsidP="00CB11CC">
      <w:pPr>
        <w:pStyle w:val="AllowPageBreak"/>
      </w:pPr>
    </w:p>
    <w:p w:rsidR="00000000" w:rsidRPr="00CB11CC" w:rsidP="00CB11CC">
      <w:pPr>
        <w:pStyle w:val="Heading1"/>
      </w:pPr>
      <w:bookmarkStart w:id="6" w:name="O_637353"/>
      <w:bookmarkEnd w:id="6"/>
      <w:r w:rsidRPr="00CB11CC">
        <w:t>Employability Skills Information</w:t>
      </w:r>
    </w:p>
    <w:p w:rsidR="000F5B2A" w:rsidP="00CB11CC">
      <w:pPr>
        <w:pStyle w:val="BodyText"/>
      </w:pPr>
      <w:r w:rsidRPr="00CB11CC">
        <w:t>This unit contains employability skills.</w:t>
      </w:r>
    </w:p>
    <w:p w:rsidR="000F5B2A" w:rsidP="00CB11CC">
      <w:pPr>
        <w:pStyle w:val="BodyText"/>
      </w:pPr>
    </w:p>
    <w:p w:rsidR="00000000" w:rsidRPr="00CB11CC" w:rsidP="00CB11CC">
      <w:pPr>
        <w:pStyle w:val="Heading1"/>
      </w:pPr>
      <w:bookmarkStart w:id="7" w:name="O_637354"/>
      <w:bookmarkEnd w:id="7"/>
      <w:r w:rsidRPr="00CB11CC">
        <w:t>Elements and Performance Criteria Pre-Content</w:t>
      </w:r>
    </w:p>
    <w:tbl>
      <w:tblPr>
        <w:tblW w:w="0" w:type="auto"/>
        <w:tblCellMar>
          <w:left w:w="62" w:type="dxa"/>
          <w:right w:w="62" w:type="dxa"/>
        </w:tblCellMar>
        <w:tblLook w:val="0000"/>
      </w:tblPr>
      <w:tblGrid>
        <w:gridCol w:w="2576"/>
        <w:gridCol w:w="6620"/>
      </w:tblGrid>
      <w:tr w:rsidTr="000F5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Performance criteria describe the performance needed to demonstrate achievement of the element. Assessment of performance is to be consistent with the evidence guide.</w:t>
            </w:r>
          </w:p>
        </w:tc>
      </w:tr>
    </w:tbl>
    <w:p w:rsidR="000F5B2A" w:rsidP="00CB11CC">
      <w:pPr>
        <w:pStyle w:val="BodyText"/>
      </w:pPr>
    </w:p>
    <w:p w:rsidR="000F5B2A" w:rsidP="00CB11CC">
      <w:pPr>
        <w:pStyle w:val="BodyText"/>
      </w:pPr>
    </w:p>
    <w:p w:rsidR="00000000" w:rsidRPr="00CB11CC" w:rsidP="00CB11CC">
      <w:pPr>
        <w:pStyle w:val="Heading1"/>
      </w:pPr>
      <w:bookmarkStart w:id="8" w:name="O_637355"/>
      <w:bookmarkEnd w:id="8"/>
      <w:r w:rsidRPr="00CB11CC">
        <w:t>Elements and Performance Criteria</w:t>
      </w:r>
    </w:p>
    <w:p w:rsidR="00000000" w:rsidRPr="00CB11CC" w:rsidP="00CB11CC">
      <w:pPr>
        <w:pStyle w:val="BodyText"/>
      </w:pPr>
    </w:p>
    <w:tbl>
      <w:tblPr>
        <w:tblW w:w="0" w:type="auto"/>
        <w:tblLayout w:type="fixed"/>
        <w:tblCellMar>
          <w:left w:w="62" w:type="dxa"/>
          <w:right w:w="62" w:type="dxa"/>
        </w:tblCellMar>
        <w:tblLook w:val="0000"/>
      </w:tblPr>
      <w:tblGrid>
        <w:gridCol w:w="678"/>
        <w:gridCol w:w="1962"/>
        <w:gridCol w:w="770"/>
        <w:gridCol w:w="5610"/>
      </w:tblGrid>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w:t>
            </w:r>
          </w:p>
        </w:tc>
        <w:tc>
          <w:tcPr>
            <w:tcW w:w="1962" w:type="dxa"/>
            <w:vMerge w:val="restart"/>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Monitor flare system</w:t>
            </w: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1.1</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Identify and control flare system hazards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1.2</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Visually inspect flare system components for compliance to requirements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1.3</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 xml:space="preserve">Take relevant readings </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1.4</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Take required actions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1.5</w:t>
            </w:r>
          </w:p>
        </w:tc>
        <w:tc>
          <w:tcPr>
            <w:tcW w:w="5610"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Complete logs as required</w:t>
            </w:r>
          </w:p>
        </w:tc>
      </w:tr>
    </w:tbl>
    <w:p w:rsidR="00000000" w:rsidRPr="00CB11CC" w:rsidP="00CB11CC">
      <w:pPr>
        <w:pStyle w:val="BodyText"/>
      </w:pPr>
    </w:p>
    <w:tbl>
      <w:tblPr>
        <w:tblW w:w="0" w:type="auto"/>
        <w:tblLayout w:type="fixed"/>
        <w:tblCellMar>
          <w:left w:w="62" w:type="dxa"/>
          <w:right w:w="62" w:type="dxa"/>
        </w:tblCellMar>
        <w:tblLook w:val="0000"/>
      </w:tblPr>
      <w:tblGrid>
        <w:gridCol w:w="678"/>
        <w:gridCol w:w="1962"/>
        <w:gridCol w:w="770"/>
        <w:gridCol w:w="5610"/>
      </w:tblGrid>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2</w:t>
            </w:r>
          </w:p>
        </w:tc>
        <w:tc>
          <w:tcPr>
            <w:tcW w:w="1962" w:type="dxa"/>
            <w:vMerge w:val="restart"/>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Shut down flare system as required</w:t>
            </w: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2.1</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Obtain required authorisations for a flare shutdown</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2.2</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Identify and control flare shutdown hazards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2.3</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Prepare for flare shutdown according to procedures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2.4</w:t>
            </w:r>
          </w:p>
        </w:tc>
        <w:tc>
          <w:tcPr>
            <w:tcW w:w="5610"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Shut down according to procedures</w:t>
            </w:r>
          </w:p>
        </w:tc>
      </w:tr>
    </w:tbl>
    <w:p w:rsidR="00000000" w:rsidRPr="00CB11CC" w:rsidP="00CB11CC">
      <w:pPr>
        <w:pStyle w:val="BodyText"/>
      </w:pPr>
    </w:p>
    <w:tbl>
      <w:tblPr>
        <w:tblW w:w="0" w:type="auto"/>
        <w:tblLayout w:type="fixed"/>
        <w:tblCellMar>
          <w:left w:w="62" w:type="dxa"/>
          <w:right w:w="62" w:type="dxa"/>
        </w:tblCellMar>
        <w:tblLook w:val="0000"/>
      </w:tblPr>
      <w:tblGrid>
        <w:gridCol w:w="678"/>
        <w:gridCol w:w="1962"/>
        <w:gridCol w:w="770"/>
        <w:gridCol w:w="5610"/>
      </w:tblGrid>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3</w:t>
            </w:r>
          </w:p>
        </w:tc>
        <w:tc>
          <w:tcPr>
            <w:tcW w:w="1962" w:type="dxa"/>
            <w:vMerge w:val="restart"/>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Start up flare system as required</w:t>
            </w: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3.1</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Check all required work has been completed</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3.2</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Identify and control flare start-up hazards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3.3</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Prepare for flare start-up according to procedures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3.4</w:t>
            </w:r>
          </w:p>
        </w:tc>
        <w:tc>
          <w:tcPr>
            <w:tcW w:w="5610"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Start up flare system according to procedures</w:t>
            </w:r>
          </w:p>
        </w:tc>
      </w:tr>
    </w:tbl>
    <w:p w:rsidR="00000000" w:rsidRPr="00CB11CC" w:rsidP="00CB11CC">
      <w:pPr>
        <w:pStyle w:val="BodyText"/>
      </w:pPr>
    </w:p>
    <w:tbl>
      <w:tblPr>
        <w:tblW w:w="0" w:type="auto"/>
        <w:tblLayout w:type="fixed"/>
        <w:tblCellMar>
          <w:left w:w="62" w:type="dxa"/>
          <w:right w:w="62" w:type="dxa"/>
        </w:tblCellMar>
        <w:tblLook w:val="0000"/>
      </w:tblPr>
      <w:tblGrid>
        <w:gridCol w:w="678"/>
        <w:gridCol w:w="1962"/>
        <w:gridCol w:w="770"/>
        <w:gridCol w:w="5610"/>
      </w:tblGrid>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w:t>
            </w:r>
          </w:p>
        </w:tc>
        <w:tc>
          <w:tcPr>
            <w:tcW w:w="1962" w:type="dxa"/>
            <w:vMerge w:val="restart"/>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Solve flare system problems</w:t>
            </w: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4.1</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Respond to abnormal conditions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4.2</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Identify other problems in flare system</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4.3</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Take appropriate action to remedy flare problems</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4.4</w:t>
            </w:r>
          </w:p>
        </w:tc>
        <w:tc>
          <w:tcPr>
            <w:tcW w:w="561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Communicate relevant information</w:t>
            </w:r>
          </w:p>
        </w:tc>
      </w:tr>
      <w:tr w:rsidTr="00CB11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4.5</w:t>
            </w:r>
          </w:p>
        </w:tc>
        <w:tc>
          <w:tcPr>
            <w:tcW w:w="5610"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Complete required documentation</w:t>
            </w:r>
          </w:p>
        </w:tc>
      </w:tr>
    </w:tbl>
    <w:p w:rsidR="00000000" w:rsidRPr="00CB11CC" w:rsidP="00CB11CC">
      <w:pPr>
        <w:pStyle w:val="BodyText"/>
      </w:pPr>
    </w:p>
    <w:p w:rsidR="00000000" w:rsidRPr="00CB11CC" w:rsidP="00CB11CC">
      <w:pPr>
        <w:pStyle w:val="AllowPageBreak"/>
      </w:pPr>
    </w:p>
    <w:p w:rsidR="00000000" w:rsidRPr="00CB11CC" w:rsidP="00CB11CC">
      <w:pPr>
        <w:pStyle w:val="Heading1"/>
      </w:pPr>
      <w:bookmarkStart w:id="9" w:name="O_637356"/>
      <w:bookmarkEnd w:id="9"/>
      <w:r w:rsidRPr="00CB11CC">
        <w:t>Required Skills and Knowledge</w:t>
      </w:r>
    </w:p>
    <w:tbl>
      <w:tblPr>
        <w:tblW w:w="0" w:type="auto"/>
        <w:tblLayout w:type="fixed"/>
        <w:tblCellMar>
          <w:left w:w="62" w:type="dxa"/>
          <w:right w:w="62" w:type="dxa"/>
        </w:tblCellMar>
        <w:tblLook w:val="0000"/>
      </w:tblPr>
      <w:tblGrid>
        <w:gridCol w:w="9072"/>
      </w:tblGrid>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This section describes the skills and knowledge required for this unit.</w:t>
            </w:r>
          </w:p>
        </w:tc>
      </w:tr>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p>
        </w:tc>
      </w:tr>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 xml:space="preserve">Required skills </w:t>
            </w:r>
          </w:p>
        </w:tc>
      </w:tr>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Required skills include:</w:t>
            </w:r>
          </w:p>
          <w:p w:rsidR="00000000" w:rsidRPr="00CB11CC" w:rsidP="00CB11CC">
            <w:pPr>
              <w:pStyle w:val="ListBullet"/>
            </w:pPr>
            <w:r w:rsidRPr="00CB11CC">
              <w:t>observing</w:t>
            </w:r>
          </w:p>
          <w:p w:rsidR="00000000" w:rsidRPr="00CB11CC" w:rsidP="00CB11CC">
            <w:pPr>
              <w:pStyle w:val="ListBullet"/>
            </w:pPr>
            <w:r w:rsidRPr="00CB11CC">
              <w:t>recognising conditions which indicate a problem</w:t>
            </w:r>
          </w:p>
          <w:p w:rsidR="00000000" w:rsidRPr="00CB11CC" w:rsidP="00CB11CC">
            <w:pPr>
              <w:pStyle w:val="ListBullet"/>
            </w:pPr>
            <w:r w:rsidRPr="00CB11CC">
              <w:t>implementing enterprise procedures within time constraints and in a manner relevant to the correct use of the equipment</w:t>
            </w:r>
          </w:p>
          <w:p w:rsidR="00000000" w:rsidRPr="00CB11CC" w:rsidP="00CB11CC">
            <w:pPr>
              <w:pStyle w:val="ListBullet"/>
            </w:pPr>
            <w:r w:rsidRPr="00CB11CC">
              <w:t>conveying information relevant to the operation clearly and effectively</w:t>
            </w:r>
          </w:p>
          <w:p w:rsidR="00000000" w:rsidRPr="00CB11CC" w:rsidP="00CB11CC">
            <w:pPr>
              <w:pStyle w:val="ListBullet"/>
            </w:pPr>
            <w:r w:rsidRPr="00CB11CC">
              <w:t>maintaining appr</w:t>
            </w:r>
            <w:r w:rsidRPr="00CB11CC">
              <w:t>opriate levels of quality assurance</w:t>
            </w:r>
          </w:p>
          <w:p w:rsidR="00000000" w:rsidP="00CB11CC">
            <w:pPr>
              <w:pStyle w:val="ListBullet"/>
              <w:rPr>
                <w:lang w:val="en-NZ"/>
              </w:rPr>
            </w:pPr>
            <w:r w:rsidRPr="00CB11CC">
              <w:t>reading and numeracy to interpret/complete workplace documents and technical information</w:t>
            </w:r>
          </w:p>
        </w:tc>
      </w:tr>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1CC" w:rsidP="00CB11CC">
            <w:pPr>
              <w:pStyle w:val="BodyText"/>
            </w:pPr>
          </w:p>
          <w:p w:rsidR="00000000" w:rsidP="00CB11CC">
            <w:pPr>
              <w:pStyle w:val="BodyText"/>
              <w:rPr>
                <w:lang w:val="en-NZ"/>
              </w:rPr>
            </w:pPr>
            <w:r w:rsidRPr="00CB11CC">
              <w:rPr>
                <w:rStyle w:val="SpecialBold"/>
              </w:rPr>
              <w:t xml:space="preserve">Required knowledge </w:t>
            </w:r>
          </w:p>
        </w:tc>
      </w:tr>
      <w:tr w:rsidTr="00CB11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Required knowledge of flare system principles and typical problems to a level needed to monitor and operate flare systems, includes:</w:t>
            </w:r>
          </w:p>
          <w:p w:rsidR="00000000" w:rsidRPr="00CB11CC" w:rsidP="00CB11CC">
            <w:pPr>
              <w:pStyle w:val="ListBullet"/>
            </w:pPr>
            <w:r w:rsidRPr="00CB11CC">
              <w:t>organisation’s procedures</w:t>
            </w:r>
          </w:p>
          <w:p w:rsidR="00000000" w:rsidRPr="00CB11CC" w:rsidP="00CB11CC">
            <w:pPr>
              <w:pStyle w:val="ListBullet"/>
            </w:pPr>
            <w:r w:rsidRPr="00CB11CC">
              <w:t>duty of care obligations</w:t>
            </w:r>
          </w:p>
          <w:p w:rsidR="00000000" w:rsidRPr="00CB11CC" w:rsidP="00CB11CC">
            <w:pPr>
              <w:pStyle w:val="ListBullet"/>
            </w:pPr>
            <w:r w:rsidRPr="00CB11CC">
              <w:t>hierarchy of control</w:t>
            </w:r>
          </w:p>
          <w:p w:rsidR="00000000" w:rsidRPr="00CB11CC" w:rsidP="00CB11CC">
            <w:pPr>
              <w:pStyle w:val="ListBullet"/>
            </w:pPr>
            <w:r w:rsidRPr="00CB11CC">
              <w:t>communication protocols, e.g. radio, phone, comput</w:t>
            </w:r>
            <w:r w:rsidRPr="00CB11CC">
              <w:t>er, paper and permissions/ authorities</w:t>
            </w:r>
          </w:p>
          <w:p w:rsidR="00000000" w:rsidRPr="00CB11CC" w:rsidP="00CB11CC">
            <w:pPr>
              <w:pStyle w:val="ListBullet"/>
            </w:pPr>
            <w:r w:rsidRPr="00CB11CC">
              <w:t>typical issues causing problems and the resolution of those problems</w:t>
            </w:r>
          </w:p>
          <w:p w:rsidR="00000000" w:rsidRPr="00CB11CC" w:rsidP="00CB11CC">
            <w:pPr>
              <w:pStyle w:val="ListBullet"/>
            </w:pPr>
            <w:r w:rsidRPr="00CB11CC">
              <w:t>routine problems, faults and their symptoms and the corrective action to be taken</w:t>
            </w:r>
          </w:p>
          <w:p w:rsidR="00000000" w:rsidRPr="00CB11CC" w:rsidP="00CB11CC">
            <w:pPr>
              <w:pStyle w:val="ListBullet"/>
            </w:pPr>
            <w:r w:rsidRPr="00CB11CC">
              <w:t>knock on/escalation potential</w:t>
            </w:r>
          </w:p>
          <w:p w:rsidR="00000000" w:rsidRPr="00CB11CC" w:rsidP="00CB11CC">
            <w:pPr>
              <w:pStyle w:val="ListBullet"/>
            </w:pPr>
            <w:r w:rsidRPr="00CB11CC">
              <w:t>process materials likely to be flare</w:t>
            </w:r>
            <w:r w:rsidRPr="00CB11CC">
              <w:t>d and the conditions which will lead to flaring</w:t>
            </w:r>
          </w:p>
          <w:p w:rsidR="00000000" w:rsidRPr="00CB11CC" w:rsidP="00CB11CC">
            <w:pPr>
              <w:pStyle w:val="ListBullet"/>
            </w:pPr>
            <w:r w:rsidRPr="00CB11CC">
              <w:t>function and troubleshooting for flare system</w:t>
            </w:r>
          </w:p>
          <w:p w:rsidR="00000000" w:rsidRPr="00CB11CC" w:rsidP="00CB11CC">
            <w:pPr>
              <w:pStyle w:val="ListBullet"/>
            </w:pPr>
            <w:r w:rsidRPr="00CB11CC">
              <w:t>relevant environmental requirements</w:t>
            </w:r>
          </w:p>
          <w:p w:rsidR="00000000" w:rsidRPr="00CB11CC" w:rsidP="00CB11CC">
            <w:pPr>
              <w:pStyle w:val="ListBullet"/>
            </w:pPr>
            <w:r w:rsidRPr="00CB11CC">
              <w:t>types of flare system equipment and their principles of operation and start-up/shutdown, and reasons for the different types</w:t>
            </w:r>
          </w:p>
          <w:p w:rsidR="00000000" w:rsidRPr="00CB11CC" w:rsidP="00CB11CC">
            <w:pPr>
              <w:pStyle w:val="ListBullet"/>
            </w:pPr>
            <w:r w:rsidRPr="00CB11CC">
              <w:t>f</w:t>
            </w:r>
            <w:r w:rsidRPr="00CB11CC">
              <w:t>lare system hazards</w:t>
            </w:r>
          </w:p>
          <w:p w:rsidR="00000000" w:rsidRPr="00CB11CC" w:rsidP="00CB11CC">
            <w:pPr>
              <w:pStyle w:val="ListBullet"/>
            </w:pPr>
            <w:r w:rsidRPr="00CB11CC">
              <w:t>inert gas purging and flame out potential</w:t>
            </w:r>
          </w:p>
          <w:p w:rsidR="00000000" w:rsidRPr="00CB11CC" w:rsidP="00CB11CC">
            <w:pPr>
              <w:pStyle w:val="ListBullet"/>
            </w:pPr>
            <w:r w:rsidRPr="00CB11CC">
              <w:t>relevant alarms, causes and responses</w:t>
            </w:r>
          </w:p>
          <w:p w:rsidR="00000000" w:rsidRPr="00CB11CC" w:rsidP="00CB11CC">
            <w:pPr>
              <w:pStyle w:val="ListBullet"/>
            </w:pPr>
            <w:r w:rsidRPr="00CB11CC">
              <w:t>significance of the exclusion zone</w:t>
            </w:r>
          </w:p>
          <w:p w:rsidR="00000000" w:rsidRPr="00CB11CC" w:rsidP="00CB11CC">
            <w:pPr>
              <w:pStyle w:val="ListBullet"/>
            </w:pPr>
            <w:r w:rsidRPr="00CB11CC">
              <w:t>how the flare system is integrated into the operation of the plant</w:t>
            </w:r>
          </w:p>
          <w:p w:rsidR="00000000" w:rsidRPr="00CB11CC" w:rsidP="00CB11CC">
            <w:pPr>
              <w:pStyle w:val="ListBullet"/>
            </w:pPr>
            <w:r w:rsidRPr="00CB11CC">
              <w:t>flare system purging requirements and methods</w:t>
            </w:r>
          </w:p>
          <w:p w:rsidR="00000000" w:rsidRPr="00CB11CC" w:rsidP="00CB11CC">
            <w:pPr>
              <w:pStyle w:val="ListBullet"/>
            </w:pPr>
            <w:r w:rsidRPr="00CB11CC">
              <w:t>indicators and consequences of poor combustion (as relevant)</w:t>
            </w:r>
          </w:p>
          <w:p w:rsidR="00000000" w:rsidRPr="00CB11CC" w:rsidP="00CB11CC">
            <w:pPr>
              <w:pStyle w:val="ListBullet"/>
            </w:pPr>
            <w:r w:rsidRPr="00CB11CC">
              <w:t>operations in abnormal conditions</w:t>
            </w:r>
          </w:p>
          <w:p w:rsidR="00000000" w:rsidRPr="00CB11CC" w:rsidP="00CB11CC">
            <w:pPr>
              <w:pStyle w:val="ListBullet"/>
            </w:pPr>
            <w:r w:rsidRPr="00CB11CC">
              <w:t>environmental licence exceedance reporting</w:t>
            </w:r>
          </w:p>
          <w:p w:rsidR="00000000" w:rsidRPr="00CB11CC" w:rsidP="00CB11CC">
            <w:pPr>
              <w:pStyle w:val="ListBullet"/>
            </w:pPr>
            <w:r w:rsidRPr="00CB11CC">
              <w:t>use of logs and routine reading</w:t>
            </w:r>
          </w:p>
          <w:p w:rsidR="00000000" w:rsidRPr="00CB11CC" w:rsidP="00CB11CC">
            <w:pPr>
              <w:pStyle w:val="ListBullet"/>
            </w:pPr>
            <w:r w:rsidRPr="00CB11CC">
              <w:t>trip/emergency system actions</w:t>
            </w:r>
          </w:p>
          <w:p w:rsidR="00000000" w:rsidRPr="00CB11CC" w:rsidP="00CB11CC">
            <w:pPr>
              <w:pStyle w:val="ListBullet"/>
            </w:pPr>
            <w:r w:rsidRPr="00CB11CC">
              <w:t>pilot/flare ignition systems</w:t>
            </w:r>
          </w:p>
        </w:tc>
      </w:tr>
    </w:tbl>
    <w:p w:rsidR="00000000" w:rsidRPr="00CB11CC" w:rsidP="00CB11CC">
      <w:pPr>
        <w:pStyle w:val="BodyText"/>
      </w:pPr>
    </w:p>
    <w:p w:rsidR="00000000" w:rsidRPr="00CB11CC" w:rsidP="00CB11CC">
      <w:pPr>
        <w:pStyle w:val="AllowPageBreak"/>
      </w:pPr>
    </w:p>
    <w:p w:rsidR="00000000" w:rsidRPr="00CB11CC" w:rsidP="00CB11CC">
      <w:pPr>
        <w:pStyle w:val="Heading1"/>
      </w:pPr>
      <w:bookmarkStart w:id="10" w:name="O_637357"/>
      <w:bookmarkEnd w:id="10"/>
      <w:r w:rsidRPr="00CB11CC">
        <w:t>Evidence</w:t>
      </w:r>
      <w:r w:rsidRPr="00CB11CC">
        <w:t xml:space="preserve"> Guide</w:t>
      </w:r>
    </w:p>
    <w:tbl>
      <w:tblPr>
        <w:tblW w:w="0" w:type="auto"/>
        <w:tblLayout w:type="fixed"/>
        <w:tblCellMar>
          <w:left w:w="62" w:type="dxa"/>
          <w:right w:w="62" w:type="dxa"/>
        </w:tblCellMar>
        <w:tblLook w:val="0000"/>
      </w:tblPr>
      <w:tblGrid>
        <w:gridCol w:w="3648"/>
        <w:gridCol w:w="5352"/>
      </w:tblGrid>
      <w:tr w:rsidTr="00CB11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The evidence guide provides advice on assessment and must be read in conjunction with the performance criteria required skills and knowledge range statement and the Assessment Guidelines for the Training Package.</w:t>
            </w:r>
          </w:p>
        </w:tc>
      </w:tr>
      <w:tr w:rsidTr="00CB11C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Critical aspects for assessment and evidence include:</w:t>
            </w:r>
          </w:p>
          <w:p w:rsidR="00000000" w:rsidRPr="00CB11CC" w:rsidP="00CB11CC">
            <w:pPr>
              <w:pStyle w:val="ListBullet"/>
            </w:pPr>
            <w:r w:rsidRPr="00CB11CC">
              <w:t>monitoring flare systems</w:t>
            </w:r>
          </w:p>
          <w:p w:rsidR="00000000" w:rsidRPr="00CB11CC" w:rsidP="00CB11CC">
            <w:pPr>
              <w:pStyle w:val="ListBullet"/>
            </w:pPr>
            <w:r w:rsidRPr="00CB11CC">
              <w:t>shutting down/starting up flare systems</w:t>
            </w:r>
          </w:p>
          <w:p w:rsidR="00000000" w:rsidP="00CB11CC">
            <w:pPr>
              <w:pStyle w:val="ListBullet"/>
              <w:rPr>
                <w:lang w:val="en-NZ"/>
              </w:rPr>
            </w:pPr>
            <w:r w:rsidRPr="00CB11CC">
              <w:t>recognising and solving flare system proble</w:t>
            </w:r>
            <w:r w:rsidRPr="00CB11CC">
              <w:t>ms.</w:t>
            </w:r>
          </w:p>
        </w:tc>
      </w:tr>
      <w:tr w:rsidTr="00CB11C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Assessment of this competency will occur over a range of situations which will include typical disruptions to normal, smooth operation. This will require access to a plant over a period of time, or a su</w:t>
            </w:r>
            <w:r w:rsidRPr="00CB11CC">
              <w:t>itable method of gathering evidence of operating ability. Where safety, lack of opportunity or significant cost is an issue, an industry-based simulation may be employed to assist the process.</w:t>
            </w:r>
          </w:p>
        </w:tc>
      </w:tr>
      <w:tr w:rsidTr="00CB11C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Assessment processes and techniques must be appropriate to the language, competency and safety requirements of the site and consistent with workplace systems or procedures.</w:t>
            </w:r>
          </w:p>
        </w:tc>
      </w:tr>
    </w:tbl>
    <w:p w:rsidR="000F5B2A" w:rsidP="00CB11CC">
      <w:pPr>
        <w:pStyle w:val="BodyText"/>
      </w:pPr>
    </w:p>
    <w:p w:rsidR="000F5B2A" w:rsidP="00CB11CC">
      <w:pPr>
        <w:pStyle w:val="BodyText"/>
      </w:pPr>
    </w:p>
    <w:p w:rsidR="00000000" w:rsidRPr="00CB11CC" w:rsidP="00CB11CC">
      <w:pPr>
        <w:pStyle w:val="Heading1"/>
      </w:pPr>
      <w:bookmarkStart w:id="11" w:name="O_637358"/>
      <w:bookmarkEnd w:id="11"/>
      <w:r w:rsidRPr="00CB11CC">
        <w:t>Range Statement</w:t>
      </w:r>
    </w:p>
    <w:tbl>
      <w:tblPr>
        <w:tblW w:w="0" w:type="auto"/>
        <w:tblLayout w:type="fixed"/>
        <w:tblCellMar>
          <w:left w:w="62" w:type="dxa"/>
          <w:right w:w="62" w:type="dxa"/>
        </w:tblCellMar>
        <w:tblLook w:val="0000"/>
      </w:tblPr>
      <w:tblGrid>
        <w:gridCol w:w="3674"/>
        <w:gridCol w:w="5398"/>
      </w:tblGrid>
      <w:tr w:rsidTr="00CB11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t>The range statement relates to the unit of comp</w:t>
            </w:r>
            <w:r w:rsidRPr="00CB11CC">
              <w:t>etency as a whole. It allows for different work environments and situations that may affect performance. Essential operating conditions that may be present with training and assessment (depending on the work situation, needs of the candidate, accessibility</w:t>
            </w:r>
            <w:r w:rsidRPr="00CB11CC">
              <w:t xml:space="preserve"> of the item, and local industry and regional contexts) may also be included.</w:t>
            </w:r>
          </w:p>
        </w:tc>
      </w:tr>
      <w:tr w:rsidTr="00CB11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11CC">
            <w:pPr>
              <w:pStyle w:val="BodyText"/>
              <w:rPr>
                <w:lang w:val="en-NZ"/>
              </w:rPr>
            </w:pP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This competency includes all flare system components from the safety relief valve to the flare inclusive. It may include but is not limited to:</w:t>
            </w:r>
          </w:p>
          <w:p w:rsidR="00000000" w:rsidRPr="00CB11CC" w:rsidP="00CB11CC">
            <w:pPr>
              <w:pStyle w:val="ListBullet"/>
            </w:pPr>
            <w:r w:rsidRPr="00CB11CC">
              <w:t>elevated flare</w:t>
            </w:r>
          </w:p>
          <w:p w:rsidR="00000000" w:rsidRPr="00CB11CC" w:rsidP="00CB11CC">
            <w:pPr>
              <w:pStyle w:val="ListBullet"/>
            </w:pPr>
            <w:r w:rsidRPr="00CB11CC">
              <w:t>ground flare</w:t>
            </w:r>
          </w:p>
          <w:p w:rsidR="00000000" w:rsidP="00CB11CC">
            <w:pPr>
              <w:pStyle w:val="ListBullet"/>
              <w:rPr>
                <w:lang w:val="en-NZ"/>
              </w:rPr>
            </w:pPr>
            <w:r w:rsidRPr="00CB11CC">
              <w:t>vents (sometimes called ‘cold flare’)</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Flare system components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Flare system components may include but are not limited to:</w:t>
            </w:r>
          </w:p>
          <w:p w:rsidR="00000000" w:rsidRPr="00CB11CC" w:rsidP="00CB11CC">
            <w:pPr>
              <w:pStyle w:val="ListBullet"/>
            </w:pPr>
            <w:r w:rsidRPr="00CB11CC">
              <w:t>safety relief devices</w:t>
            </w:r>
          </w:p>
          <w:p w:rsidR="00000000" w:rsidRPr="00CB11CC" w:rsidP="00CB11CC">
            <w:pPr>
              <w:pStyle w:val="ListBullet"/>
            </w:pPr>
            <w:r w:rsidRPr="00CB11CC">
              <w:t>headers (warm/cold, high pressure/low pressure (HP/LP) and wet/dry)</w:t>
            </w:r>
          </w:p>
          <w:p w:rsidR="00000000" w:rsidRPr="00CB11CC" w:rsidP="00CB11CC">
            <w:pPr>
              <w:pStyle w:val="ListBullet"/>
            </w:pPr>
            <w:r w:rsidRPr="00CB11CC">
              <w:t>knock out drum</w:t>
            </w:r>
          </w:p>
          <w:p w:rsidR="00000000" w:rsidRPr="00CB11CC" w:rsidP="00CB11CC">
            <w:pPr>
              <w:pStyle w:val="ListBullet"/>
            </w:pPr>
            <w:r w:rsidRPr="00CB11CC">
              <w:t>flare tip (sin</w:t>
            </w:r>
            <w:r w:rsidRPr="00CB11CC">
              <w:t>gle point, multipoint and enclosed)</w:t>
            </w:r>
          </w:p>
          <w:p w:rsidR="00000000" w:rsidRPr="00CB11CC" w:rsidP="00CB11CC">
            <w:pPr>
              <w:pStyle w:val="ListBullet"/>
            </w:pPr>
            <w:r w:rsidRPr="00CB11CC">
              <w:t>stack seals</w:t>
            </w:r>
          </w:p>
          <w:p w:rsidR="00000000" w:rsidRPr="00CB11CC" w:rsidP="00CB11CC">
            <w:pPr>
              <w:pStyle w:val="ListBullet"/>
            </w:pPr>
            <w:r w:rsidRPr="00CB11CC">
              <w:t>pilot system</w:t>
            </w:r>
          </w:p>
          <w:p w:rsidR="00000000" w:rsidRPr="00CB11CC" w:rsidP="00CB11CC">
            <w:pPr>
              <w:pStyle w:val="ListBullet"/>
            </w:pPr>
            <w:r w:rsidRPr="00CB11CC">
              <w:t>blowers</w:t>
            </w:r>
          </w:p>
          <w:p w:rsidR="00000000" w:rsidRPr="00CB11CC" w:rsidP="00CB11CC">
            <w:pPr>
              <w:pStyle w:val="ListBullet"/>
            </w:pPr>
            <w:r w:rsidRPr="00CB11CC">
              <w:t>steam systems</w:t>
            </w:r>
          </w:p>
          <w:p w:rsidR="00000000" w:rsidRPr="00CB11CC" w:rsidP="00CB11CC">
            <w:pPr>
              <w:pStyle w:val="ListBullet"/>
            </w:pPr>
            <w:r w:rsidRPr="00CB11CC">
              <w:t>monitoring instrumentation</w:t>
            </w:r>
          </w:p>
          <w:p w:rsidR="00000000" w:rsidRPr="00CB11CC" w:rsidP="00CB11CC">
            <w:pPr>
              <w:pStyle w:val="ListBullet"/>
            </w:pPr>
            <w:r w:rsidRPr="00CB11CC">
              <w:t>recovery systems</w:t>
            </w:r>
          </w:p>
          <w:p w:rsidR="00000000" w:rsidRPr="00CB11CC" w:rsidP="00CB11CC">
            <w:pPr>
              <w:pStyle w:val="ListBullet"/>
            </w:pPr>
            <w:r w:rsidRPr="00CB11CC">
              <w:t>drains</w:t>
            </w:r>
          </w:p>
          <w:p w:rsidR="00000000" w:rsidRPr="00CB11CC" w:rsidP="00CB11CC">
            <w:pPr>
              <w:pStyle w:val="ListBullet"/>
            </w:pPr>
            <w:r w:rsidRPr="00CB11CC">
              <w:t>pumps</w:t>
            </w:r>
          </w:p>
          <w:p w:rsidR="00000000" w:rsidRPr="00CB11CC" w:rsidP="00CB11CC">
            <w:pPr>
              <w:pStyle w:val="ListBullet"/>
            </w:pPr>
            <w:r w:rsidRPr="00CB11CC">
              <w:t>pilot fuel/emergency fuel systems</w:t>
            </w:r>
          </w:p>
          <w:p w:rsidR="00000000" w:rsidRPr="00CB11CC" w:rsidP="00CB11CC">
            <w:pPr>
              <w:pStyle w:val="ListBullet"/>
            </w:pPr>
            <w:r w:rsidRPr="00CB11CC">
              <w:t>purge systems</w:t>
            </w:r>
          </w:p>
          <w:p w:rsidR="00000000" w:rsidRPr="00CB11CC" w:rsidP="00CB11CC">
            <w:pPr>
              <w:pStyle w:val="ListBullet"/>
            </w:pPr>
            <w:r w:rsidRPr="00CB11CC">
              <w:t>interlocks and other safety systems</w:t>
            </w:r>
          </w:p>
          <w:p w:rsidR="00000000" w:rsidRPr="00CB11CC" w:rsidP="00CB11CC">
            <w:pPr>
              <w:pStyle w:val="ListBullet"/>
            </w:pPr>
            <w:r w:rsidRPr="00CB11CC">
              <w:t>ignition systems</w:t>
            </w:r>
          </w:p>
          <w:p w:rsidR="00000000" w:rsidP="00CB11CC">
            <w:pPr>
              <w:pStyle w:val="ListBullet"/>
              <w:rPr>
                <w:lang w:val="en-NZ"/>
              </w:rPr>
            </w:pPr>
            <w:r w:rsidRPr="00CB11CC">
              <w:t>liquid burners/systems, as relevant</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Hazards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Flare system hazards may include but are not limited to:</w:t>
            </w:r>
          </w:p>
          <w:p w:rsidR="00000000" w:rsidRPr="00CB11CC" w:rsidP="00CB11CC">
            <w:pPr>
              <w:pStyle w:val="ListBullet"/>
            </w:pPr>
            <w:r w:rsidRPr="00CB11CC">
              <w:t>access and exclusion zone</w:t>
            </w:r>
          </w:p>
          <w:p w:rsidR="00000000" w:rsidRPr="00CB11CC" w:rsidP="00CB11CC">
            <w:pPr>
              <w:pStyle w:val="ListBullet"/>
            </w:pPr>
            <w:r w:rsidRPr="00CB11CC">
              <w:t>heat</w:t>
            </w:r>
          </w:p>
          <w:p w:rsidR="00000000" w:rsidRPr="00CB11CC" w:rsidP="00CB11CC">
            <w:pPr>
              <w:pStyle w:val="ListBullet"/>
            </w:pPr>
            <w:r w:rsidRPr="00CB11CC">
              <w:t>blow backs</w:t>
            </w:r>
          </w:p>
          <w:p w:rsidR="00000000" w:rsidRPr="00CB11CC" w:rsidP="00CB11CC">
            <w:pPr>
              <w:pStyle w:val="ListBullet"/>
            </w:pPr>
            <w:r w:rsidRPr="00CB11CC">
              <w:t>leaks/loss of containment (LOC)</w:t>
            </w:r>
          </w:p>
          <w:p w:rsidR="00000000" w:rsidRPr="00CB11CC" w:rsidP="00CB11CC">
            <w:pPr>
              <w:pStyle w:val="ListBullet"/>
            </w:pPr>
            <w:r w:rsidRPr="00CB11CC">
              <w:t>ineffective isolations</w:t>
            </w:r>
          </w:p>
          <w:p w:rsidR="00000000" w:rsidRPr="00CB11CC" w:rsidP="00CB11CC">
            <w:pPr>
              <w:pStyle w:val="ListBullet"/>
            </w:pPr>
            <w:r w:rsidRPr="00CB11CC">
              <w:t>inadequate ventilation</w:t>
            </w:r>
          </w:p>
          <w:p w:rsidR="00000000" w:rsidRPr="00CB11CC" w:rsidP="00CB11CC">
            <w:pPr>
              <w:pStyle w:val="ListBullet"/>
            </w:pPr>
            <w:r w:rsidRPr="00CB11CC">
              <w:t>air ingress</w:t>
            </w:r>
          </w:p>
          <w:p w:rsidR="00000000" w:rsidRPr="00CB11CC" w:rsidP="00CB11CC">
            <w:pPr>
              <w:pStyle w:val="ListBullet"/>
            </w:pPr>
            <w:r w:rsidRPr="00CB11CC">
              <w:t>liquid carryover</w:t>
            </w:r>
          </w:p>
          <w:p w:rsidR="00000000" w:rsidRPr="00CB11CC" w:rsidP="00CB11CC">
            <w:pPr>
              <w:pStyle w:val="ListBullet"/>
            </w:pPr>
            <w:r w:rsidRPr="00CB11CC">
              <w:t>high liquid levels in knock out pots/separation vessels</w:t>
            </w:r>
          </w:p>
          <w:p w:rsidR="00000000" w:rsidRPr="00CB11CC" w:rsidP="00CB11CC">
            <w:pPr>
              <w:pStyle w:val="ListBullet"/>
            </w:pPr>
            <w:r w:rsidRPr="00CB11CC">
              <w:t>contraction and expansion (cold vapours)</w:t>
            </w:r>
          </w:p>
          <w:p w:rsidR="00000000" w:rsidRPr="00CB11CC" w:rsidP="00CB11CC">
            <w:pPr>
              <w:pStyle w:val="ListBullet"/>
            </w:pPr>
            <w:r w:rsidRPr="00CB11CC">
              <w:t>dislodgement of burning coke</w:t>
            </w:r>
          </w:p>
          <w:p w:rsidR="00000000" w:rsidRPr="00CB11CC" w:rsidP="00CB11CC">
            <w:pPr>
              <w:pStyle w:val="ListBullet"/>
            </w:pPr>
            <w:r w:rsidRPr="00CB11CC">
              <w:t>noise</w:t>
            </w:r>
          </w:p>
          <w:p w:rsidR="00000000" w:rsidRPr="00CB11CC" w:rsidP="00CB11CC">
            <w:pPr>
              <w:pStyle w:val="ListBullet"/>
            </w:pPr>
            <w:r w:rsidRPr="00CB11CC">
              <w:t>cryogenic temperatures</w:t>
            </w:r>
          </w:p>
          <w:p w:rsidR="00000000" w:rsidRPr="00CB11CC" w:rsidP="00CB11CC">
            <w:pPr>
              <w:pStyle w:val="ListBullet"/>
            </w:pPr>
            <w:r w:rsidRPr="00CB11CC">
              <w:t>radiation</w:t>
            </w:r>
          </w:p>
          <w:p w:rsidR="00000000" w:rsidP="00CB11CC">
            <w:pPr>
              <w:pStyle w:val="ListBullet"/>
              <w:rPr>
                <w:lang w:val="en-NZ"/>
              </w:rPr>
            </w:pPr>
            <w:r w:rsidRPr="00CB11CC">
              <w:t>liquid hammer</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Visual inspection</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Visual inspection may include but is not limited to:</w:t>
            </w:r>
          </w:p>
          <w:p w:rsidR="00000000" w:rsidRPr="00CB11CC" w:rsidP="00CB11CC">
            <w:pPr>
              <w:pStyle w:val="ListBullet"/>
            </w:pPr>
            <w:r w:rsidRPr="00CB11CC">
              <w:t>pilo</w:t>
            </w:r>
            <w:r w:rsidRPr="00CB11CC">
              <w:t>t flame condition</w:t>
            </w:r>
          </w:p>
          <w:p w:rsidR="00000000" w:rsidRPr="00CB11CC" w:rsidP="00CB11CC">
            <w:pPr>
              <w:pStyle w:val="ListBullet"/>
            </w:pPr>
            <w:r w:rsidRPr="00CB11CC">
              <w:t>burn pattern</w:t>
            </w:r>
          </w:p>
          <w:p w:rsidR="00000000" w:rsidRPr="00CB11CC" w:rsidP="00CB11CC">
            <w:pPr>
              <w:pStyle w:val="ListBullet"/>
            </w:pPr>
            <w:r w:rsidRPr="00CB11CC">
              <w:t>ice on header lines</w:t>
            </w:r>
          </w:p>
          <w:p w:rsidR="00000000" w:rsidRPr="00CB11CC" w:rsidP="00CB11CC">
            <w:pPr>
              <w:pStyle w:val="ListBullet"/>
            </w:pPr>
            <w:r w:rsidRPr="00CB11CC">
              <w:t>vessel levels</w:t>
            </w:r>
          </w:p>
          <w:p w:rsidR="00000000" w:rsidRPr="00CB11CC" w:rsidP="00CB11CC">
            <w:pPr>
              <w:pStyle w:val="ListBullet"/>
            </w:pPr>
            <w:r w:rsidRPr="00CB11CC">
              <w:t>damage or deterioration</w:t>
            </w:r>
          </w:p>
          <w:p w:rsidR="00000000" w:rsidP="00CB11CC">
            <w:pPr>
              <w:pStyle w:val="ListBullet"/>
              <w:rPr>
                <w:lang w:val="en-NZ"/>
              </w:rPr>
            </w:pPr>
            <w:r w:rsidRPr="00CB11CC">
              <w:t>smoke density</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Required actions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Required actions arising from an inspection may include but are not limited to:</w:t>
            </w:r>
          </w:p>
          <w:p w:rsidR="00000000" w:rsidRPr="00CB11CC" w:rsidP="00CB11CC">
            <w:pPr>
              <w:pStyle w:val="ListBullet"/>
            </w:pPr>
            <w:r w:rsidRPr="00CB11CC">
              <w:t>checking and adjusting pilot fuel/air ratio</w:t>
            </w:r>
          </w:p>
          <w:p w:rsidR="00000000" w:rsidRPr="00CB11CC" w:rsidP="00CB11CC">
            <w:pPr>
              <w:pStyle w:val="ListBullet"/>
            </w:pPr>
            <w:r w:rsidRPr="00CB11CC">
              <w:t>ensuring complete combustion</w:t>
            </w:r>
          </w:p>
          <w:p w:rsidR="00000000" w:rsidRPr="00CB11CC" w:rsidP="00CB11CC">
            <w:pPr>
              <w:pStyle w:val="ListBullet"/>
            </w:pPr>
            <w:r w:rsidRPr="00CB11CC">
              <w:t>finding and rectifying sources of liquid in header line</w:t>
            </w:r>
          </w:p>
          <w:p w:rsidR="00000000" w:rsidRPr="00CB11CC" w:rsidP="00CB11CC">
            <w:pPr>
              <w:pStyle w:val="ListBullet"/>
            </w:pPr>
            <w:r w:rsidRPr="00CB11CC">
              <w:t>draining/pumping out pots</w:t>
            </w:r>
          </w:p>
          <w:p w:rsidR="00000000" w:rsidRPr="00CB11CC" w:rsidP="00CB11CC">
            <w:pPr>
              <w:pStyle w:val="ListBullet"/>
            </w:pPr>
            <w:r w:rsidRPr="00CB11CC">
              <w:t>making a maintenance request</w:t>
            </w:r>
          </w:p>
          <w:p w:rsidR="00000000" w:rsidP="00CB11CC">
            <w:pPr>
              <w:pStyle w:val="ListBullet"/>
              <w:rPr>
                <w:lang w:val="en-NZ"/>
              </w:rPr>
            </w:pPr>
            <w:r w:rsidRPr="00CB11CC">
              <w:t>environmental reporting</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Prepare for shutdown</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Prepare for shutdown may include but is not limited to:</w:t>
            </w:r>
          </w:p>
          <w:p w:rsidR="00000000" w:rsidRPr="00CB11CC" w:rsidP="00CB11CC">
            <w:pPr>
              <w:pStyle w:val="ListBullet"/>
            </w:pPr>
            <w:r w:rsidRPr="00CB11CC">
              <w:t>notification to other relevant plants/units of planned shutdown</w:t>
            </w:r>
          </w:p>
          <w:p w:rsidR="00000000" w:rsidRPr="00CB11CC" w:rsidP="00CB11CC">
            <w:pPr>
              <w:pStyle w:val="ListBullet"/>
            </w:pPr>
            <w:r w:rsidRPr="00CB11CC">
              <w:t>bringing standby flare on line</w:t>
            </w:r>
          </w:p>
          <w:p w:rsidR="00000000" w:rsidRPr="00CB11CC" w:rsidP="00CB11CC">
            <w:pPr>
              <w:pStyle w:val="ListBullet"/>
            </w:pPr>
            <w:r w:rsidRPr="00CB11CC">
              <w:t>isolation of system at appropriate points</w:t>
            </w:r>
          </w:p>
          <w:p w:rsidR="00000000" w:rsidRPr="00CB11CC" w:rsidP="00CB11CC">
            <w:pPr>
              <w:pStyle w:val="ListBullet"/>
            </w:pPr>
            <w:r w:rsidRPr="00CB11CC">
              <w:t>purging of systems</w:t>
            </w:r>
          </w:p>
          <w:p w:rsidR="00000000" w:rsidP="00CB11CC">
            <w:pPr>
              <w:pStyle w:val="ListBullet"/>
              <w:rPr>
                <w:lang w:val="en-NZ"/>
              </w:rPr>
            </w:pPr>
            <w:r w:rsidRPr="00CB11CC">
              <w:t>shutting down relevant components</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Prepare for start-up</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Preparing for start-up may include but is not limited to:</w:t>
            </w:r>
          </w:p>
          <w:p w:rsidR="00000000" w:rsidRPr="00CB11CC" w:rsidP="00CB11CC">
            <w:pPr>
              <w:pStyle w:val="ListBullet"/>
            </w:pPr>
            <w:r w:rsidRPr="00CB11CC">
              <w:t>notification to other relevant plants/units of planned start-up</w:t>
            </w:r>
          </w:p>
          <w:p w:rsidR="00000000" w:rsidRPr="00CB11CC" w:rsidP="00CB11CC">
            <w:pPr>
              <w:pStyle w:val="ListBullet"/>
            </w:pPr>
            <w:r w:rsidRPr="00CB11CC">
              <w:t>checking integrity of components</w:t>
            </w:r>
          </w:p>
          <w:p w:rsidR="00000000" w:rsidRPr="00CB11CC" w:rsidP="00CB11CC">
            <w:pPr>
              <w:pStyle w:val="ListBullet"/>
            </w:pPr>
            <w:r w:rsidRPr="00CB11CC">
              <w:t>valves correctly lined up</w:t>
            </w:r>
          </w:p>
          <w:p w:rsidR="00000000" w:rsidRPr="00CB11CC" w:rsidP="00CB11CC">
            <w:pPr>
              <w:pStyle w:val="ListBullet"/>
            </w:pPr>
            <w:r w:rsidRPr="00CB11CC">
              <w:t>deisolating of system</w:t>
            </w:r>
          </w:p>
          <w:p w:rsidR="00000000" w:rsidRPr="00CB11CC" w:rsidP="00CB11CC">
            <w:pPr>
              <w:pStyle w:val="ListBullet"/>
            </w:pPr>
            <w:r w:rsidRPr="00CB11CC">
              <w:t>purging of system</w:t>
            </w:r>
          </w:p>
          <w:p w:rsidR="00000000" w:rsidP="00CB11CC">
            <w:pPr>
              <w:pStyle w:val="ListBullet"/>
              <w:rPr>
                <w:lang w:val="en-NZ"/>
              </w:rPr>
            </w:pPr>
            <w:r w:rsidRPr="00CB11CC">
              <w:t>pilot fuel system ready</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Abnormal conditions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Abnormal conditions may include but are not limited to:</w:t>
            </w:r>
          </w:p>
          <w:p w:rsidR="00000000" w:rsidRPr="00CB11CC" w:rsidP="00CB11CC">
            <w:pPr>
              <w:pStyle w:val="ListBullet"/>
            </w:pPr>
            <w:r w:rsidRPr="00CB11CC">
              <w:t>weather</w:t>
            </w:r>
          </w:p>
          <w:p w:rsidR="00000000" w:rsidRPr="00CB11CC" w:rsidP="00CB11CC">
            <w:pPr>
              <w:pStyle w:val="ListBullet"/>
            </w:pPr>
            <w:r w:rsidRPr="00CB11CC">
              <w:t>loss of pilot fuel</w:t>
            </w:r>
          </w:p>
          <w:p w:rsidR="00000000" w:rsidRPr="00CB11CC" w:rsidP="00CB11CC">
            <w:pPr>
              <w:pStyle w:val="ListBullet"/>
            </w:pPr>
            <w:r w:rsidRPr="00CB11CC">
              <w:t>loss of utilities</w:t>
            </w:r>
          </w:p>
          <w:p w:rsidR="00000000" w:rsidRPr="00CB11CC" w:rsidP="00CB11CC">
            <w:pPr>
              <w:pStyle w:val="ListBullet"/>
            </w:pPr>
            <w:r w:rsidRPr="00CB11CC">
              <w:t>flame out</w:t>
            </w:r>
          </w:p>
          <w:p w:rsidR="00000000" w:rsidRPr="00CB11CC" w:rsidP="00CB11CC">
            <w:pPr>
              <w:pStyle w:val="ListBullet"/>
            </w:pPr>
            <w:r w:rsidRPr="00CB11CC">
              <w:t>high flare system back pressure</w:t>
            </w:r>
          </w:p>
          <w:p w:rsidR="00000000" w:rsidP="00CB11CC">
            <w:pPr>
              <w:pStyle w:val="ListBullet"/>
              <w:rPr>
                <w:lang w:val="en-NZ"/>
              </w:rPr>
            </w:pPr>
            <w:r w:rsidRPr="00CB11CC">
              <w:t>cross connection between dissimilar systems</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Flare system problems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Flare system problems may</w:t>
            </w:r>
            <w:r w:rsidRPr="00CB11CC">
              <w:t xml:space="preserve"> include but are not limited to:</w:t>
            </w:r>
          </w:p>
          <w:p w:rsidR="00000000" w:rsidRPr="00CB11CC" w:rsidP="00CB11CC">
            <w:pPr>
              <w:pStyle w:val="ListBullet"/>
            </w:pPr>
            <w:r w:rsidRPr="00CB11CC">
              <w:t>iced lines</w:t>
            </w:r>
          </w:p>
          <w:p w:rsidR="00000000" w:rsidRPr="00CB11CC" w:rsidP="00CB11CC">
            <w:pPr>
              <w:pStyle w:val="ListBullet"/>
            </w:pPr>
            <w:r w:rsidRPr="00CB11CC">
              <w:t>high levels in pots/vessels</w:t>
            </w:r>
          </w:p>
          <w:p w:rsidR="00000000" w:rsidRPr="00CB11CC" w:rsidP="00CB11CC">
            <w:pPr>
              <w:pStyle w:val="ListBullet"/>
            </w:pPr>
            <w:r w:rsidRPr="00CB11CC">
              <w:t>smoke from flare</w:t>
            </w:r>
          </w:p>
          <w:p w:rsidR="00000000" w:rsidRPr="00CB11CC" w:rsidP="00CB11CC">
            <w:pPr>
              <w:pStyle w:val="ListBullet"/>
            </w:pPr>
            <w:r w:rsidRPr="00CB11CC">
              <w:t>flame out</w:t>
            </w:r>
          </w:p>
          <w:p w:rsidR="00000000" w:rsidRPr="00CB11CC" w:rsidP="00CB11CC">
            <w:pPr>
              <w:pStyle w:val="ListBullet"/>
            </w:pPr>
            <w:r w:rsidRPr="00CB11CC">
              <w:t>lack of header purge flow</w:t>
            </w:r>
          </w:p>
          <w:p w:rsidR="00000000" w:rsidRPr="00CB11CC" w:rsidP="00CB11CC">
            <w:pPr>
              <w:pStyle w:val="ListBullet"/>
            </w:pPr>
            <w:r w:rsidRPr="00CB11CC">
              <w:t>flash back</w:t>
            </w:r>
          </w:p>
          <w:p w:rsidR="00000000" w:rsidRPr="00CB11CC" w:rsidP="00CB11CC">
            <w:pPr>
              <w:pStyle w:val="ListBullet"/>
            </w:pPr>
            <w:r w:rsidRPr="00CB11CC">
              <w:t>inconsistent header composition</w:t>
            </w:r>
          </w:p>
          <w:p w:rsidR="00000000" w:rsidRPr="00CB11CC" w:rsidP="00CB11CC">
            <w:pPr>
              <w:pStyle w:val="ListBullet"/>
            </w:pPr>
            <w:r w:rsidRPr="00CB11CC">
              <w:t>blockage</w:t>
            </w:r>
          </w:p>
          <w:p w:rsidR="00000000" w:rsidP="00CB11CC">
            <w:pPr>
              <w:pStyle w:val="ListBullet"/>
              <w:rPr>
                <w:lang w:val="en-NZ"/>
              </w:rPr>
            </w:pPr>
            <w:r w:rsidRPr="00CB11CC">
              <w:t>cold feed to warm header</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Procedures may be written, verbal, computer-based or in some other form. They may include but are not limited to:</w:t>
            </w:r>
          </w:p>
          <w:p w:rsidR="00000000" w:rsidRPr="00CB11CC" w:rsidP="00CB11CC">
            <w:pPr>
              <w:pStyle w:val="ListBullet"/>
            </w:pPr>
            <w:r w:rsidRPr="00CB11CC">
              <w:t>all work instructions</w:t>
            </w:r>
          </w:p>
          <w:p w:rsidR="00000000" w:rsidRPr="00CB11CC" w:rsidP="00CB11CC">
            <w:pPr>
              <w:pStyle w:val="ListBullet"/>
            </w:pPr>
            <w:r w:rsidRPr="00CB11CC">
              <w:t>standard operating procedures</w:t>
            </w:r>
          </w:p>
          <w:p w:rsidR="00000000" w:rsidRPr="00CB11CC" w:rsidP="00CB11CC">
            <w:pPr>
              <w:pStyle w:val="ListBullet"/>
            </w:pPr>
            <w:r w:rsidRPr="00CB11CC">
              <w:t>checklists</w:t>
            </w:r>
          </w:p>
          <w:p w:rsidR="00000000" w:rsidRPr="00CB11CC" w:rsidP="00CB11CC">
            <w:pPr>
              <w:pStyle w:val="ListBullet"/>
            </w:pPr>
            <w:r w:rsidRPr="00CB11CC">
              <w:t>formulas/recipes</w:t>
            </w:r>
          </w:p>
          <w:p w:rsidR="00000000" w:rsidRPr="00CB11CC" w:rsidP="00CB11CC">
            <w:pPr>
              <w:pStyle w:val="ListBullet"/>
            </w:pPr>
            <w:r w:rsidRPr="00CB11CC">
              <w:t>batch sheets</w:t>
            </w:r>
          </w:p>
          <w:p w:rsidR="00000000" w:rsidRPr="00CB11CC" w:rsidP="00CB11CC">
            <w:pPr>
              <w:pStyle w:val="ListBullet"/>
            </w:pPr>
            <w:r w:rsidRPr="00CB11CC">
              <w:t>temporary instructions</w:t>
            </w:r>
          </w:p>
          <w:p w:rsidR="00000000" w:rsidRPr="00CB11CC" w:rsidP="00CB11CC">
            <w:pPr>
              <w:pStyle w:val="ListBullet"/>
            </w:pPr>
            <w:r w:rsidRPr="00CB11CC">
              <w:t>any similar instructions provided for the smooth running of the plant</w:t>
            </w:r>
          </w:p>
          <w:p w:rsidR="00000000" w:rsidRPr="00CB11CC" w:rsidP="00CB11CC">
            <w:pPr>
              <w:pStyle w:val="ListBullet"/>
            </w:pPr>
            <w:r w:rsidRPr="00CB11CC">
              <w:t>good operating practice as may be defined by industry codes of practice</w:t>
            </w:r>
          </w:p>
          <w:p w:rsidR="00000000" w:rsidP="00CB11CC">
            <w:pPr>
              <w:pStyle w:val="BodyText"/>
              <w:rPr>
                <w:lang w:val="en-NZ"/>
              </w:rPr>
            </w:pPr>
            <w:r w:rsidRPr="00CB11CC">
              <w:t>Procedures would be expected to comply with any relevant government regulations.</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Logs and report</w:t>
            </w:r>
            <w:r w:rsidRPr="00CB11CC">
              <w:t>s may include:</w:t>
            </w:r>
          </w:p>
          <w:p w:rsidR="00000000" w:rsidRPr="00CB11CC" w:rsidP="00CB11CC">
            <w:pPr>
              <w:pStyle w:val="ListBullet"/>
            </w:pPr>
            <w:r w:rsidRPr="00CB11CC">
              <w:t xml:space="preserve">paper or electronic based </w:t>
            </w:r>
          </w:p>
          <w:p w:rsidR="00000000" w:rsidRPr="00CB11CC" w:rsidP="00CB11CC">
            <w:pPr>
              <w:pStyle w:val="ListBullet"/>
            </w:pPr>
            <w:r w:rsidRPr="00CB11CC">
              <w:t>verbal/radio reports</w:t>
            </w:r>
          </w:p>
          <w:p w:rsidR="00000000" w:rsidP="00CB11CC">
            <w:pPr>
              <w:pStyle w:val="ListBullet"/>
              <w:rPr>
                <w:lang w:val="en-NZ"/>
              </w:rPr>
            </w:pPr>
            <w:r w:rsidRPr="00CB11CC">
              <w:t>reporting items found which require action</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Appropriate action includes but is not limited to:</w:t>
            </w:r>
          </w:p>
          <w:p w:rsidR="00000000" w:rsidRPr="00CB11CC" w:rsidP="00CB11CC">
            <w:pPr>
              <w:pStyle w:val="ListBullet"/>
            </w:pPr>
            <w:r w:rsidRPr="00CB11CC">
              <w:t>determining problems needing action</w:t>
            </w:r>
          </w:p>
          <w:p w:rsidR="00000000" w:rsidRPr="00CB11CC" w:rsidP="00CB11CC">
            <w:pPr>
              <w:pStyle w:val="ListBullet"/>
            </w:pPr>
            <w:r w:rsidRPr="00CB11CC">
              <w:t>accessing and applying relevant technical</w:t>
            </w:r>
            <w:r w:rsidRPr="00CB11CC">
              <w:t xml:space="preserve"> and plant data</w:t>
            </w:r>
          </w:p>
          <w:p w:rsidR="00000000" w:rsidRPr="00CB11CC" w:rsidP="00CB11CC">
            <w:pPr>
              <w:pStyle w:val="ListBullet"/>
            </w:pPr>
            <w:r w:rsidRPr="00CB11CC">
              <w:t>applying appropriate problem solving techniques to determine possible fault causes</w:t>
            </w:r>
          </w:p>
          <w:p w:rsidR="00000000" w:rsidRPr="00CB11CC" w:rsidP="00CB11CC">
            <w:pPr>
              <w:pStyle w:val="ListBullet"/>
            </w:pPr>
            <w:r w:rsidRPr="00CB11CC">
              <w:t>rectifying problem using appropriate solution within area of responsibility</w:t>
            </w:r>
          </w:p>
          <w:p w:rsidR="00000000" w:rsidRPr="00CB11CC" w:rsidP="00CB11CC">
            <w:pPr>
              <w:pStyle w:val="ListBullet"/>
            </w:pPr>
            <w:r w:rsidRPr="00CB11CC">
              <w:t>following through items initiated until final resolution has occurred</w:t>
            </w:r>
          </w:p>
          <w:p w:rsidR="00000000" w:rsidP="00CB11CC">
            <w:pPr>
              <w:pStyle w:val="ListBullet"/>
              <w:rPr>
                <w:lang w:val="en-NZ"/>
              </w:rPr>
            </w:pPr>
            <w:r w:rsidRPr="00CB11CC">
              <w:t>reporting problems outside area of responsibility/ability to resolve to designated person</w:t>
            </w:r>
          </w:p>
        </w:tc>
      </w:tr>
      <w:tr w:rsidTr="00CB11CC">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All operations to which this unit applies are subject to stringent HSE requirements, which may be imposed through state/territor</w:t>
            </w:r>
            <w:r w:rsidRPr="00CB11CC">
              <w:t>y or Federal legislation, and these must not be compromised at any time. Where there is an apparent conflict between Performance Criteria and HSE requirements, the HSE requirements take precedence.</w:t>
            </w:r>
          </w:p>
        </w:tc>
      </w:tr>
    </w:tbl>
    <w:p w:rsidR="000F5B2A" w:rsidP="00CB11CC">
      <w:pPr>
        <w:pStyle w:val="BodyText"/>
      </w:pPr>
    </w:p>
    <w:p w:rsidR="000F5B2A" w:rsidP="00CB11CC">
      <w:pPr>
        <w:pStyle w:val="BodyText"/>
      </w:pPr>
    </w:p>
    <w:p w:rsidR="00000000" w:rsidRPr="00CB11CC" w:rsidP="00CB11CC">
      <w:pPr>
        <w:pStyle w:val="Heading1"/>
      </w:pPr>
      <w:bookmarkStart w:id="12" w:name="O_637359"/>
      <w:bookmarkEnd w:id="12"/>
      <w:r w:rsidRPr="00CB11CC">
        <w:t>Unit Sector(s)</w:t>
      </w:r>
    </w:p>
    <w:tbl>
      <w:tblPr>
        <w:tblW w:w="0" w:type="auto"/>
        <w:tblCellMar>
          <w:left w:w="62" w:type="dxa"/>
          <w:right w:w="62" w:type="dxa"/>
        </w:tblCellMar>
        <w:tblLook w:val="0000"/>
      </w:tblPr>
      <w:tblGrid>
        <w:gridCol w:w="2576"/>
        <w:gridCol w:w="6620"/>
      </w:tblGrid>
      <w:tr w:rsidTr="000F5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B11CC">
            <w:pPr>
              <w:pStyle w:val="BodyText"/>
              <w:rPr>
                <w:lang w:val="en-NZ"/>
              </w:rPr>
            </w:pPr>
          </w:p>
        </w:tc>
      </w:tr>
      <w:tr w:rsidTr="000F5B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11CC">
            <w:pPr>
              <w:pStyle w:val="BodyText"/>
              <w:rPr>
                <w:lang w:val="en-NZ"/>
              </w:rPr>
            </w:pPr>
            <w:r w:rsidRPr="00CB11C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B11CC" w:rsidP="00CB11CC">
            <w:pPr>
              <w:pStyle w:val="BodyText"/>
            </w:pPr>
            <w:r w:rsidRPr="00CB11CC">
              <w:t>Operational/technical</w:t>
            </w:r>
          </w:p>
        </w:tc>
      </w:tr>
    </w:tbl>
    <w:p w:rsidR="00000000" w:rsidRPr="00CB11CC" w:rsidP="00CB11CC">
      <w:pPr>
        <w:pStyle w:val="BodyText"/>
      </w:pPr>
    </w:p>
    <w:p w:rsidR="00000000" w:rsidRPr="00CB11CC" w:rsidP="00CB11CC">
      <w:pPr>
        <w:pStyle w:val="AllowPageBreak"/>
      </w:pPr>
    </w:p>
    <w:p w:rsidR="00000000" w:rsidRPr="00CB11CC" w:rsidP="00CB11CC">
      <w:pPr>
        <w:pStyle w:val="Heading1"/>
      </w:pPr>
      <w:bookmarkStart w:id="13" w:name="O_637360"/>
      <w:bookmarkEnd w:id="13"/>
      <w:r w:rsidRPr="00CB11CC">
        <w:t>Custom Content Section</w:t>
      </w:r>
    </w:p>
    <w:p w:rsidR="00000000" w:rsidRPr="00CB11CC" w:rsidP="00CB11CC">
      <w:pPr>
        <w:pStyle w:val="BodyText"/>
      </w:pPr>
      <w:r w:rsidRPr="00CB11CC">
        <w:t>Not applicable.</w:t>
      </w:r>
    </w:p>
    <w:p w:rsidR="00000000" w:rsidRPr="00CB11CC" w:rsidP="00CB11CC"/>
    <w:sectPr w:rsidSect="00CB1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rsidRPr="000F5B2A" w:rsidP="000F5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2A" w:rsidP="00CB1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5B2A" w:rsidP="00CB11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B2A" w:rsidP="00CB1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rsidRPr="000F5B2A" w:rsidP="000F5B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2A" w:rsidRPr="002D2AF8" w:rsidP="00CB11CC">
    <w:pPr>
      <w:pStyle w:val="Header"/>
      <w:framePr w:wrap="around"/>
    </w:pPr>
    <w:r>
      <w:fldChar w:fldCharType="begin"/>
    </w:r>
    <w:r>
      <w:instrText xml:space="preserve"> TITLE   \* MERGEFORMAT </w:instrText>
    </w:r>
    <w:r>
      <w:fldChar w:fldCharType="separate"/>
    </w:r>
    <w:r>
      <w:t>PMAOPS226A Monitor and operate flare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F5B2A" w:rsidP="00CB1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AC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AA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1CC"/>
    <w:pPr>
      <w:spacing w:before="360" w:after="60"/>
      <w:outlineLvl w:val="0"/>
    </w:pPr>
    <w:rPr>
      <w:sz w:val="32"/>
    </w:rPr>
  </w:style>
  <w:style w:type="paragraph" w:styleId="Heading2">
    <w:name w:val="heading 2"/>
    <w:basedOn w:val="HeadingBase"/>
    <w:next w:val="BodyText"/>
    <w:link w:val="Heading2Char"/>
    <w:qFormat/>
    <w:rsid w:val="00CB11CC"/>
    <w:pPr>
      <w:keepLines/>
      <w:spacing w:before="240" w:after="120"/>
      <w:outlineLvl w:val="1"/>
    </w:pPr>
    <w:rPr>
      <w:sz w:val="28"/>
      <w:szCs w:val="40"/>
    </w:rPr>
  </w:style>
  <w:style w:type="paragraph" w:styleId="Heading3">
    <w:name w:val="heading 3"/>
    <w:basedOn w:val="HeadingBase"/>
    <w:next w:val="BodyText"/>
    <w:link w:val="Heading3Char"/>
    <w:qFormat/>
    <w:rsid w:val="00CB11CC"/>
    <w:pPr>
      <w:spacing w:before="180" w:after="120"/>
      <w:outlineLvl w:val="2"/>
    </w:pPr>
    <w:rPr>
      <w:spacing w:val="-10"/>
      <w:kern w:val="32"/>
    </w:rPr>
  </w:style>
  <w:style w:type="paragraph" w:styleId="Heading4">
    <w:name w:val="heading 4"/>
    <w:basedOn w:val="HeadingBase"/>
    <w:next w:val="BodyText"/>
    <w:link w:val="Heading4Char"/>
    <w:qFormat/>
    <w:rsid w:val="00CB11CC"/>
    <w:pPr>
      <w:spacing w:before="160" w:after="120"/>
      <w:outlineLvl w:val="3"/>
    </w:pPr>
    <w:rPr>
      <w:sz w:val="22"/>
    </w:rPr>
  </w:style>
  <w:style w:type="paragraph" w:styleId="Heading5">
    <w:name w:val="heading 5"/>
    <w:basedOn w:val="HeadingBase"/>
    <w:next w:val="Normal"/>
    <w:link w:val="Heading5Char"/>
    <w:qFormat/>
    <w:rsid w:val="00CB11CC"/>
    <w:pPr>
      <w:spacing w:before="80"/>
      <w:outlineLvl w:val="4"/>
    </w:pPr>
    <w:rPr>
      <w:color w:val="918585"/>
      <w:sz w:val="20"/>
    </w:rPr>
  </w:style>
  <w:style w:type="paragraph" w:styleId="Heading6">
    <w:name w:val="heading 6"/>
    <w:basedOn w:val="HeadingBase"/>
    <w:next w:val="Normal"/>
    <w:link w:val="Heading6Char"/>
    <w:qFormat/>
    <w:rsid w:val="00CB11CC"/>
    <w:pPr>
      <w:spacing w:before="60"/>
      <w:outlineLvl w:val="5"/>
    </w:pPr>
    <w:rPr>
      <w:color w:val="918585"/>
      <w:sz w:val="20"/>
    </w:rPr>
  </w:style>
  <w:style w:type="paragraph" w:styleId="Heading7">
    <w:name w:val="heading 7"/>
    <w:basedOn w:val="Normal"/>
    <w:next w:val="Normal"/>
    <w:link w:val="Heading7Char"/>
    <w:qFormat/>
    <w:rsid w:val="00CB11CC"/>
    <w:pPr>
      <w:ind w:left="720"/>
      <w:outlineLvl w:val="6"/>
    </w:pPr>
    <w:rPr>
      <w:i/>
    </w:rPr>
  </w:style>
  <w:style w:type="paragraph" w:styleId="Heading8">
    <w:name w:val="heading 8"/>
    <w:basedOn w:val="Normal"/>
    <w:next w:val="Normal"/>
    <w:link w:val="Heading8Char"/>
    <w:qFormat/>
    <w:rsid w:val="00CB11CC"/>
    <w:pPr>
      <w:ind w:left="720"/>
      <w:outlineLvl w:val="7"/>
    </w:pPr>
    <w:rPr>
      <w:i/>
    </w:rPr>
  </w:style>
  <w:style w:type="paragraph" w:styleId="Heading9">
    <w:name w:val="heading 9"/>
    <w:basedOn w:val="Normal"/>
    <w:next w:val="Normal"/>
    <w:link w:val="Heading9Char"/>
    <w:qFormat/>
    <w:rsid w:val="00CB11CC"/>
    <w:pPr>
      <w:ind w:left="720"/>
      <w:outlineLvl w:val="8"/>
    </w:pPr>
    <w:rPr>
      <w:i/>
    </w:rPr>
  </w:style>
  <w:style w:type="character" w:default="1" w:styleId="DefaultParagraphFont">
    <w:name w:val="Default Paragraph Font"/>
    <w:uiPriority w:val="1"/>
    <w:unhideWhenUsed/>
    <w:rsid w:val="00CB1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1CC"/>
  </w:style>
  <w:style w:type="character" w:customStyle="1" w:styleId="Heading1Char">
    <w:name w:val="Heading 1 Char"/>
    <w:basedOn w:val="DefaultParagraphFont"/>
    <w:link w:val="Heading1"/>
    <w:rsid w:val="00CB11CC"/>
    <w:rPr>
      <w:rFonts w:ascii="Times New Roman" w:eastAsia="Times New Roman" w:hAnsi="Times New Roman" w:cs="Times New Roman"/>
      <w:b/>
      <w:sz w:val="32"/>
      <w:szCs w:val="20"/>
      <w:lang w:eastAsia="en-US"/>
    </w:rPr>
  </w:style>
  <w:style w:type="paragraph" w:styleId="BodyText">
    <w:name w:val="Body Text"/>
    <w:basedOn w:val="Normal"/>
    <w:link w:val="BodyTextChar"/>
    <w:rsid w:val="00CB1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1CC"/>
    <w:rPr>
      <w:rFonts w:ascii="Times New Roman" w:eastAsia="Times New Roman" w:hAnsi="Times New Roman" w:cs="Times New Roman"/>
      <w:sz w:val="24"/>
      <w:lang w:eastAsia="en-US"/>
    </w:rPr>
  </w:style>
  <w:style w:type="paragraph" w:styleId="ListBullet">
    <w:name w:val="List Bullet"/>
    <w:basedOn w:val="List"/>
    <w:rsid w:val="00CB11CC"/>
    <w:pPr>
      <w:numPr>
        <w:numId w:val="12"/>
      </w:numPr>
      <w:tabs>
        <w:tab w:val="clear" w:pos="340"/>
      </w:tabs>
      <w:spacing w:before="40" w:after="40"/>
    </w:pPr>
  </w:style>
  <w:style w:type="character" w:customStyle="1" w:styleId="SpecialBold">
    <w:name w:val="Special Bold"/>
    <w:basedOn w:val="DefaultParagraphFont"/>
    <w:rsid w:val="00CB11CC"/>
    <w:rPr>
      <w:b/>
      <w:spacing w:val="0"/>
    </w:rPr>
  </w:style>
  <w:style w:type="paragraph" w:customStyle="1" w:styleId="SuperHeading">
    <w:name w:val="SuperHeading"/>
    <w:basedOn w:val="Normal"/>
    <w:rsid w:val="00CB11CC"/>
    <w:pPr>
      <w:spacing w:before="240" w:after="120"/>
      <w:outlineLvl w:val="0"/>
    </w:pPr>
    <w:rPr>
      <w:rFonts w:ascii="Times New Roman" w:hAnsi="Times New Roman"/>
      <w:b/>
      <w:sz w:val="32"/>
    </w:rPr>
  </w:style>
  <w:style w:type="paragraph" w:customStyle="1" w:styleId="AllowPageBreak">
    <w:name w:val="AllowPageBreak"/>
    <w:rsid w:val="00CB1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1CC"/>
    <w:rPr>
      <w:rFonts w:ascii="Courier New" w:eastAsia="Times New Roman" w:hAnsi="Courier New" w:cs="Times New Roman"/>
      <w:i/>
      <w:szCs w:val="20"/>
      <w:lang w:eastAsia="en-US"/>
    </w:rPr>
  </w:style>
  <w:style w:type="paragraph" w:customStyle="1" w:styleId="HeadingBase">
    <w:name w:val="Heading Base"/>
    <w:rsid w:val="00CB1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1CC"/>
    <w:pPr>
      <w:tabs>
        <w:tab w:val="right" w:leader="dot" w:pos="9072"/>
      </w:tabs>
      <w:ind w:left="567"/>
    </w:pPr>
    <w:rPr>
      <w:szCs w:val="22"/>
    </w:rPr>
  </w:style>
  <w:style w:type="paragraph" w:customStyle="1" w:styleId="TOCBase">
    <w:name w:val="TOC Base"/>
    <w:rsid w:val="00CB1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1CC"/>
    <w:pPr>
      <w:tabs>
        <w:tab w:val="right" w:leader="dot" w:pos="9072"/>
      </w:tabs>
      <w:spacing w:before="40" w:after="40"/>
      <w:ind w:left="284"/>
    </w:pPr>
    <w:rPr>
      <w:rFonts w:ascii="Times New Roman" w:hAnsi="Times New Roman"/>
    </w:rPr>
  </w:style>
  <w:style w:type="paragraph" w:styleId="TOC1">
    <w:name w:val="toc 1"/>
    <w:basedOn w:val="TOCBase"/>
    <w:next w:val="Normal"/>
    <w:rsid w:val="00CB1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1CC"/>
    <w:rPr>
      <w:rFonts w:ascii="Times New Roman" w:eastAsia="Times New Roman" w:hAnsi="Times New Roman" w:cs="Times New Roman"/>
      <w:sz w:val="16"/>
      <w:lang w:eastAsia="en-US"/>
    </w:rPr>
  </w:style>
  <w:style w:type="paragraph" w:styleId="Title">
    <w:name w:val="Title"/>
    <w:basedOn w:val="HeadingBase"/>
    <w:link w:val="TitleChar"/>
    <w:qFormat/>
    <w:rsid w:val="00CB11CC"/>
    <w:pPr>
      <w:spacing w:before="5040"/>
      <w:jc w:val="center"/>
    </w:pPr>
    <w:rPr>
      <w:sz w:val="48"/>
      <w:szCs w:val="72"/>
      <w:lang w:val="en-US"/>
    </w:rPr>
  </w:style>
  <w:style w:type="character" w:customStyle="1" w:styleId="TitleChar">
    <w:name w:val="Title Char"/>
    <w:basedOn w:val="DefaultParagraphFont"/>
    <w:link w:val="Title"/>
    <w:rsid w:val="00CB1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1CC"/>
    <w:pPr>
      <w:tabs>
        <w:tab w:val="left" w:pos="3600"/>
        <w:tab w:val="left" w:pos="3958"/>
      </w:tabs>
    </w:pPr>
  </w:style>
  <w:style w:type="paragraph" w:styleId="List">
    <w:name w:val="List"/>
    <w:basedOn w:val="BodyText"/>
    <w:next w:val="BodyText"/>
    <w:rsid w:val="00CB11CC"/>
    <w:pPr>
      <w:tabs>
        <w:tab w:val="left" w:pos="340"/>
      </w:tabs>
      <w:spacing w:before="60" w:after="60"/>
      <w:ind w:left="340" w:hanging="340"/>
    </w:pPr>
  </w:style>
  <w:style w:type="paragraph" w:customStyle="1" w:styleId="Note">
    <w:name w:val="Note"/>
    <w:basedOn w:val="BodyText"/>
    <w:rsid w:val="00CB1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1CC"/>
    <w:pPr>
      <w:framePr w:wrap="auto" w:hAnchor="text" w:y="6049"/>
    </w:pPr>
    <w:rPr>
      <w:color w:val="000000"/>
      <w:sz w:val="40"/>
    </w:rPr>
  </w:style>
  <w:style w:type="paragraph" w:customStyle="1" w:styleId="TOCTitle">
    <w:name w:val="TOCTitle"/>
    <w:basedOn w:val="Heading1"/>
    <w:rsid w:val="00CB11CC"/>
    <w:pPr>
      <w:spacing w:after="240"/>
      <w:jc w:val="center"/>
      <w:outlineLvl w:val="9"/>
    </w:pPr>
    <w:rPr>
      <w:caps/>
    </w:rPr>
  </w:style>
  <w:style w:type="paragraph" w:customStyle="1" w:styleId="Version">
    <w:name w:val="Version"/>
    <w:rsid w:val="00CB1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1CC"/>
    <w:pPr>
      <w:numPr>
        <w:numId w:val="13"/>
      </w:numPr>
      <w:tabs>
        <w:tab w:val="clear" w:pos="680"/>
      </w:tabs>
    </w:pPr>
  </w:style>
  <w:style w:type="paragraph" w:styleId="Index1">
    <w:name w:val="index 1"/>
    <w:basedOn w:val="Normal"/>
    <w:next w:val="Normal"/>
    <w:semiHidden/>
    <w:rsid w:val="00CB11CC"/>
    <w:pPr>
      <w:keepNext w:val="0"/>
      <w:tabs>
        <w:tab w:val="right" w:pos="4176"/>
      </w:tabs>
      <w:ind w:left="198" w:hanging="198"/>
    </w:pPr>
    <w:rPr>
      <w:rFonts w:ascii="Garamond" w:hAnsi="Garamond"/>
    </w:rPr>
  </w:style>
  <w:style w:type="paragraph" w:styleId="IndexHeading">
    <w:name w:val="index heading"/>
    <w:basedOn w:val="Normal"/>
    <w:next w:val="Index1"/>
    <w:semiHidden/>
    <w:rsid w:val="00CB11CC"/>
    <w:pPr>
      <w:spacing w:before="120" w:after="120"/>
    </w:pPr>
    <w:rPr>
      <w:rFonts w:ascii="Arial" w:hAnsi="Arial"/>
      <w:b/>
      <w:color w:val="918585"/>
      <w:sz w:val="24"/>
    </w:rPr>
  </w:style>
  <w:style w:type="paragraph" w:styleId="Header">
    <w:name w:val="header"/>
    <w:basedOn w:val="Normal"/>
    <w:link w:val="HeaderChar"/>
    <w:rsid w:val="00CB1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1CC"/>
    <w:rPr>
      <w:rFonts w:ascii="Times New Roman" w:eastAsia="Times New Roman" w:hAnsi="Times New Roman" w:cs="Times New Roman"/>
      <w:sz w:val="16"/>
      <w:szCs w:val="20"/>
      <w:lang w:val="en-GB" w:eastAsia="en-US"/>
    </w:rPr>
  </w:style>
  <w:style w:type="paragraph" w:customStyle="1" w:styleId="Chapter">
    <w:name w:val="Chapter"/>
    <w:basedOn w:val="Normal"/>
    <w:rsid w:val="00CB11CC"/>
    <w:pPr>
      <w:spacing w:before="240"/>
    </w:pPr>
    <w:rPr>
      <w:rFonts w:ascii="Times New Roman" w:hAnsi="Times New Roman"/>
      <w:smallCaps/>
      <w:spacing w:val="80"/>
      <w:sz w:val="28"/>
    </w:rPr>
  </w:style>
  <w:style w:type="paragraph" w:customStyle="1" w:styleId="InChapter">
    <w:name w:val="InChapter"/>
    <w:basedOn w:val="Heading3"/>
    <w:rsid w:val="00CB11CC"/>
    <w:pPr>
      <w:spacing w:after="240"/>
      <w:outlineLvl w:val="9"/>
    </w:pPr>
    <w:rPr>
      <w:noProof/>
    </w:rPr>
  </w:style>
  <w:style w:type="paragraph" w:styleId="Index2">
    <w:name w:val="index 2"/>
    <w:basedOn w:val="Normal"/>
    <w:next w:val="Normal"/>
    <w:semiHidden/>
    <w:rsid w:val="00CB11CC"/>
    <w:pPr>
      <w:tabs>
        <w:tab w:val="right" w:pos="4176"/>
      </w:tabs>
      <w:ind w:left="568" w:hanging="284"/>
    </w:pPr>
    <w:rPr>
      <w:rFonts w:ascii="Garamond" w:hAnsi="Garamond"/>
    </w:rPr>
  </w:style>
  <w:style w:type="paragraph" w:customStyle="1" w:styleId="Byline">
    <w:name w:val="Byline"/>
    <w:rsid w:val="00CB1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1CC"/>
    <w:pPr>
      <w:tabs>
        <w:tab w:val="clear" w:pos="3600"/>
        <w:tab w:val="clear" w:pos="3958"/>
      </w:tabs>
      <w:jc w:val="right"/>
    </w:pPr>
  </w:style>
  <w:style w:type="character" w:styleId="Emphasis">
    <w:name w:val="Emphasis"/>
    <w:basedOn w:val="DefaultParagraphFont"/>
    <w:qFormat/>
    <w:rsid w:val="00CB11CC"/>
    <w:rPr>
      <w:i/>
    </w:rPr>
  </w:style>
  <w:style w:type="paragraph" w:styleId="Caption">
    <w:name w:val="caption"/>
    <w:basedOn w:val="BodyText"/>
    <w:next w:val="Normal"/>
    <w:qFormat/>
    <w:rsid w:val="00CB11CC"/>
    <w:pPr>
      <w:framePr w:w="2268" w:hSpace="181" w:vSpace="181" w:wrap="around" w:vAnchor="text" w:hAnchor="page" w:x="1135" w:y="285" w:anchorLock="1"/>
    </w:pPr>
    <w:rPr>
      <w:i/>
    </w:rPr>
  </w:style>
  <w:style w:type="paragraph" w:customStyle="1" w:styleId="MiniTOCTitle">
    <w:name w:val="MiniTOCTitle"/>
    <w:basedOn w:val="Heading4"/>
    <w:rsid w:val="00CB11CC"/>
    <w:pPr>
      <w:spacing w:before="240"/>
      <w:outlineLvl w:val="9"/>
    </w:pPr>
    <w:rPr>
      <w:noProof/>
      <w:sz w:val="24"/>
    </w:rPr>
  </w:style>
  <w:style w:type="paragraph" w:customStyle="1" w:styleId="MiniTOCItem">
    <w:name w:val="MiniTOCItem"/>
    <w:basedOn w:val="ListBullet"/>
    <w:rsid w:val="00CB11CC"/>
    <w:pPr>
      <w:numPr>
        <w:numId w:val="0"/>
      </w:numPr>
      <w:tabs>
        <w:tab w:val="right" w:leader="dot" w:pos="6521"/>
      </w:tabs>
      <w:spacing w:before="0" w:after="0"/>
    </w:pPr>
  </w:style>
  <w:style w:type="paragraph" w:customStyle="1" w:styleId="TOFTitle">
    <w:name w:val="TOFTitle"/>
    <w:basedOn w:val="TOCTitle"/>
    <w:rsid w:val="00CB11CC"/>
  </w:style>
  <w:style w:type="paragraph" w:styleId="TableofFigures">
    <w:name w:val="table of figures"/>
    <w:basedOn w:val="Normal"/>
    <w:next w:val="Normal"/>
    <w:semiHidden/>
    <w:rsid w:val="00CB11CC"/>
    <w:pPr>
      <w:tabs>
        <w:tab w:val="right" w:leader="dot" w:pos="9072"/>
      </w:tabs>
      <w:ind w:left="970" w:hanging="403"/>
    </w:pPr>
    <w:rPr>
      <w:rFonts w:ascii="Times New Roman" w:hAnsi="Times New Roman"/>
      <w:b/>
    </w:rPr>
  </w:style>
  <w:style w:type="paragraph" w:styleId="ListNumber">
    <w:name w:val="List Number"/>
    <w:basedOn w:val="List"/>
    <w:rsid w:val="00CB11CC"/>
    <w:pPr>
      <w:numPr>
        <w:numId w:val="10"/>
      </w:numPr>
    </w:pPr>
  </w:style>
  <w:style w:type="character" w:customStyle="1" w:styleId="WingdingSymbols">
    <w:name w:val="Wingding Symbols"/>
    <w:rsid w:val="00CB11CC"/>
    <w:rPr>
      <w:rFonts w:ascii="Wingdings" w:hAnsi="Wingdings"/>
    </w:rPr>
  </w:style>
  <w:style w:type="paragraph" w:customStyle="1" w:styleId="TableHeading">
    <w:name w:val="Table Heading"/>
    <w:basedOn w:val="HeadingBase"/>
    <w:rsid w:val="00CB11CC"/>
    <w:pPr>
      <w:keepLines/>
      <w:pBdr>
        <w:bottom w:val="single" w:sz="6" w:space="1" w:color="918585"/>
      </w:pBdr>
      <w:spacing w:before="240"/>
    </w:pPr>
  </w:style>
  <w:style w:type="character" w:customStyle="1" w:styleId="HotSpot">
    <w:name w:val="HotSpot"/>
    <w:rsid w:val="00CB11CC"/>
    <w:rPr>
      <w:color w:val="0033CC"/>
      <w:u w:val="none"/>
    </w:rPr>
  </w:style>
  <w:style w:type="paragraph" w:customStyle="1" w:styleId="BodyTextRight">
    <w:name w:val="Body Text Right"/>
    <w:basedOn w:val="BodyText"/>
    <w:rsid w:val="00CB11CC"/>
    <w:pPr>
      <w:spacing w:before="0" w:after="0"/>
      <w:jc w:val="right"/>
    </w:pPr>
  </w:style>
  <w:style w:type="paragraph" w:styleId="Index3">
    <w:name w:val="index 3"/>
    <w:basedOn w:val="ListNumber2"/>
    <w:next w:val="Normal"/>
    <w:semiHidden/>
    <w:rsid w:val="00CB11CC"/>
    <w:pPr>
      <w:numPr>
        <w:numId w:val="0"/>
      </w:numPr>
      <w:tabs>
        <w:tab w:val="right" w:leader="dot" w:pos="4176"/>
      </w:tabs>
    </w:pPr>
  </w:style>
  <w:style w:type="paragraph" w:styleId="ListNumber2">
    <w:name w:val="List Number 2"/>
    <w:basedOn w:val="List2"/>
    <w:rsid w:val="00CB11CC"/>
    <w:pPr>
      <w:numPr>
        <w:numId w:val="9"/>
      </w:numPr>
      <w:tabs>
        <w:tab w:val="clear" w:pos="1060"/>
      </w:tabs>
    </w:pPr>
  </w:style>
  <w:style w:type="paragraph" w:customStyle="1" w:styleId="MarginNote">
    <w:name w:val="Margin Note"/>
    <w:basedOn w:val="BodyText"/>
    <w:rsid w:val="00CB1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1CC"/>
    <w:rPr>
      <w:sz w:val="32"/>
    </w:rPr>
  </w:style>
  <w:style w:type="paragraph" w:customStyle="1" w:styleId="HeadingProcedure">
    <w:name w:val="Heading Procedure"/>
    <w:basedOn w:val="HeadingBase"/>
    <w:next w:val="Normal"/>
    <w:rsid w:val="00CB11CC"/>
    <w:pPr>
      <w:tabs>
        <w:tab w:val="left" w:pos="0"/>
      </w:tabs>
      <w:spacing w:before="120" w:after="60"/>
    </w:pPr>
    <w:rPr>
      <w:i/>
      <w:color w:val="918585"/>
      <w:sz w:val="22"/>
    </w:rPr>
  </w:style>
  <w:style w:type="paragraph" w:customStyle="1" w:styleId="TableBodyText">
    <w:name w:val="Table Body Text"/>
    <w:basedOn w:val="BodyText"/>
    <w:rsid w:val="00CB11CC"/>
    <w:pPr>
      <w:spacing w:before="60" w:after="60"/>
    </w:pPr>
  </w:style>
  <w:style w:type="paragraph" w:styleId="ListContinue">
    <w:name w:val="List Continue"/>
    <w:basedOn w:val="List"/>
    <w:rsid w:val="00CB11CC"/>
    <w:pPr>
      <w:ind w:firstLine="0"/>
    </w:pPr>
  </w:style>
  <w:style w:type="paragraph" w:customStyle="1" w:styleId="ListNote">
    <w:name w:val="List Note"/>
    <w:basedOn w:val="List"/>
    <w:rsid w:val="00CB11CC"/>
    <w:pPr>
      <w:pBdr>
        <w:top w:val="single" w:sz="6" w:space="2" w:color="918585"/>
        <w:bottom w:val="single" w:sz="6" w:space="2" w:color="918585"/>
      </w:pBdr>
      <w:tabs>
        <w:tab w:val="left" w:pos="1021"/>
      </w:tabs>
      <w:ind w:firstLine="0"/>
    </w:pPr>
  </w:style>
  <w:style w:type="paragraph" w:customStyle="1" w:styleId="Warning">
    <w:name w:val="Warning"/>
    <w:basedOn w:val="BodyText"/>
    <w:rsid w:val="00CB11CC"/>
    <w:pPr>
      <w:shd w:val="clear" w:color="auto" w:fill="D9D9D9"/>
      <w:tabs>
        <w:tab w:val="left" w:pos="992"/>
      </w:tabs>
      <w:ind w:left="119" w:right="119"/>
    </w:pPr>
    <w:rPr>
      <w:sz w:val="20"/>
    </w:rPr>
  </w:style>
  <w:style w:type="paragraph" w:customStyle="1" w:styleId="MarginIcons">
    <w:name w:val="Margin Icons"/>
    <w:basedOn w:val="BodyText"/>
    <w:rsid w:val="00CB1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1CC"/>
    <w:rPr>
      <w:rFonts w:ascii="Courier New" w:hAnsi="Courier New"/>
    </w:rPr>
  </w:style>
  <w:style w:type="paragraph" w:customStyle="1" w:styleId="NoteBullet">
    <w:name w:val="Note Bullet"/>
    <w:basedOn w:val="Note"/>
    <w:rsid w:val="00CB11CC"/>
    <w:pPr>
      <w:tabs>
        <w:tab w:val="clear" w:pos="680"/>
      </w:tabs>
      <w:spacing w:before="60" w:after="60"/>
    </w:pPr>
  </w:style>
  <w:style w:type="paragraph" w:customStyle="1" w:styleId="SubHeading2">
    <w:name w:val="SubHeading2"/>
    <w:basedOn w:val="HeadingBase"/>
    <w:rsid w:val="00CB11CC"/>
    <w:pPr>
      <w:spacing w:before="240" w:after="60"/>
    </w:pPr>
    <w:rPr>
      <w:sz w:val="20"/>
    </w:rPr>
  </w:style>
  <w:style w:type="paragraph" w:customStyle="1" w:styleId="SubHeading1">
    <w:name w:val="SubHeading1"/>
    <w:basedOn w:val="HeadingBase"/>
    <w:rsid w:val="00CB11CC"/>
    <w:pPr>
      <w:spacing w:before="240" w:after="60"/>
    </w:pPr>
    <w:rPr>
      <w:color w:val="918585"/>
      <w:sz w:val="22"/>
    </w:rPr>
  </w:style>
  <w:style w:type="paragraph" w:customStyle="1" w:styleId="SideHeading">
    <w:name w:val="Side Heading"/>
    <w:basedOn w:val="HeadingBase"/>
    <w:rsid w:val="00CB1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1CC"/>
    <w:pPr>
      <w:tabs>
        <w:tab w:val="num" w:pos="360"/>
      </w:tabs>
    </w:pPr>
  </w:style>
  <w:style w:type="paragraph" w:styleId="PlainText">
    <w:name w:val="Plain Text"/>
    <w:basedOn w:val="Normal"/>
    <w:link w:val="PlainTextChar"/>
    <w:rsid w:val="00CB11CC"/>
    <w:rPr>
      <w:sz w:val="20"/>
    </w:rPr>
  </w:style>
  <w:style w:type="character" w:customStyle="1" w:styleId="PlainTextChar">
    <w:name w:val="Plain Text Char"/>
    <w:basedOn w:val="DefaultParagraphFont"/>
    <w:link w:val="PlainText"/>
    <w:rsid w:val="00CB11CC"/>
    <w:rPr>
      <w:rFonts w:ascii="Courier New" w:eastAsia="Times New Roman" w:hAnsi="Courier New" w:cs="Times New Roman"/>
      <w:sz w:val="20"/>
      <w:szCs w:val="20"/>
      <w:lang w:eastAsia="en-US"/>
    </w:rPr>
  </w:style>
  <w:style w:type="character" w:customStyle="1" w:styleId="MenuOption">
    <w:name w:val="Menu Option"/>
    <w:basedOn w:val="DefaultParagraphFont"/>
    <w:rsid w:val="00CB11CC"/>
    <w:rPr>
      <w:b/>
      <w:smallCaps/>
    </w:rPr>
  </w:style>
  <w:style w:type="paragraph" w:customStyle="1" w:styleId="TableListNumber">
    <w:name w:val="Table List Number"/>
    <w:basedOn w:val="ListNumber"/>
    <w:rsid w:val="00CB11CC"/>
    <w:pPr>
      <w:numPr>
        <w:numId w:val="0"/>
      </w:numPr>
    </w:pPr>
  </w:style>
  <w:style w:type="paragraph" w:styleId="TOC4">
    <w:name w:val="toc 4"/>
    <w:basedOn w:val="TOCBase"/>
    <w:next w:val="Normal"/>
    <w:semiHidden/>
    <w:rsid w:val="00CB11CC"/>
    <w:pPr>
      <w:tabs>
        <w:tab w:val="right" w:leader="dot" w:pos="9071"/>
      </w:tabs>
      <w:ind w:left="1701"/>
    </w:pPr>
  </w:style>
  <w:style w:type="paragraph" w:customStyle="1" w:styleId="ListAlpha">
    <w:name w:val="List Alpha"/>
    <w:basedOn w:val="List"/>
    <w:rsid w:val="00CB11CC"/>
    <w:pPr>
      <w:numPr>
        <w:numId w:val="8"/>
      </w:numPr>
    </w:pPr>
  </w:style>
  <w:style w:type="paragraph" w:customStyle="1" w:styleId="ListAlpha2">
    <w:name w:val="List Alpha 2"/>
    <w:basedOn w:val="List2"/>
    <w:rsid w:val="00CB11CC"/>
    <w:pPr>
      <w:numPr>
        <w:numId w:val="7"/>
      </w:numPr>
    </w:pPr>
  </w:style>
  <w:style w:type="paragraph" w:styleId="List2">
    <w:name w:val="List 2"/>
    <w:basedOn w:val="BodyText"/>
    <w:rsid w:val="00CB11CC"/>
    <w:pPr>
      <w:tabs>
        <w:tab w:val="left" w:pos="680"/>
      </w:tabs>
      <w:spacing w:before="60" w:after="60"/>
      <w:ind w:left="680" w:hanging="340"/>
    </w:pPr>
  </w:style>
  <w:style w:type="paragraph" w:styleId="List3">
    <w:name w:val="List 3"/>
    <w:basedOn w:val="BodyText"/>
    <w:rsid w:val="00CB11CC"/>
    <w:pPr>
      <w:tabs>
        <w:tab w:val="left" w:pos="1021"/>
      </w:tabs>
      <w:spacing w:before="60" w:after="60"/>
      <w:ind w:left="1020" w:hanging="340"/>
    </w:pPr>
  </w:style>
  <w:style w:type="paragraph" w:styleId="List4">
    <w:name w:val="List 4"/>
    <w:basedOn w:val="BodyText"/>
    <w:rsid w:val="00CB11CC"/>
    <w:pPr>
      <w:tabs>
        <w:tab w:val="left" w:pos="1361"/>
      </w:tabs>
      <w:spacing w:before="60" w:after="60"/>
      <w:ind w:left="1361" w:hanging="340"/>
    </w:pPr>
  </w:style>
  <w:style w:type="paragraph" w:styleId="List5">
    <w:name w:val="List 5"/>
    <w:basedOn w:val="BodyText"/>
    <w:rsid w:val="00CB11CC"/>
    <w:pPr>
      <w:tabs>
        <w:tab w:val="left" w:pos="1701"/>
      </w:tabs>
      <w:spacing w:before="60" w:after="60"/>
      <w:ind w:left="1701" w:hanging="340"/>
    </w:pPr>
  </w:style>
  <w:style w:type="paragraph" w:styleId="ListBullet3">
    <w:name w:val="List Bullet 3"/>
    <w:basedOn w:val="List3"/>
    <w:rsid w:val="00CB11CC"/>
    <w:pPr>
      <w:numPr>
        <w:numId w:val="14"/>
      </w:numPr>
      <w:tabs>
        <w:tab w:val="clear" w:pos="1021"/>
      </w:tabs>
      <w:ind w:left="1037" w:hanging="357"/>
    </w:pPr>
  </w:style>
  <w:style w:type="paragraph" w:styleId="ListBullet4">
    <w:name w:val="List Bullet 4"/>
    <w:basedOn w:val="List4"/>
    <w:rsid w:val="00CB11CC"/>
    <w:pPr>
      <w:numPr>
        <w:numId w:val="2"/>
      </w:numPr>
    </w:pPr>
  </w:style>
  <w:style w:type="paragraph" w:styleId="ListBullet5">
    <w:name w:val="List Bullet 5"/>
    <w:basedOn w:val="List5"/>
    <w:rsid w:val="00CB11CC"/>
    <w:pPr>
      <w:numPr>
        <w:numId w:val="3"/>
      </w:numPr>
    </w:pPr>
  </w:style>
  <w:style w:type="paragraph" w:styleId="ListContinue2">
    <w:name w:val="List Continue 2"/>
    <w:basedOn w:val="List2"/>
    <w:rsid w:val="00CB11CC"/>
    <w:pPr>
      <w:ind w:firstLine="0"/>
    </w:pPr>
  </w:style>
  <w:style w:type="paragraph" w:styleId="ListContinue3">
    <w:name w:val="List Continue 3"/>
    <w:basedOn w:val="List3"/>
    <w:rsid w:val="00CB11CC"/>
    <w:pPr>
      <w:ind w:left="1021" w:firstLine="0"/>
    </w:pPr>
  </w:style>
  <w:style w:type="paragraph" w:styleId="ListContinue4">
    <w:name w:val="List Continue 4"/>
    <w:basedOn w:val="List4"/>
    <w:rsid w:val="00CB11CC"/>
    <w:pPr>
      <w:ind w:firstLine="0"/>
    </w:pPr>
  </w:style>
  <w:style w:type="paragraph" w:styleId="ListContinue5">
    <w:name w:val="List Continue 5"/>
    <w:basedOn w:val="List5"/>
    <w:rsid w:val="00CB11CC"/>
    <w:pPr>
      <w:ind w:firstLine="0"/>
    </w:pPr>
  </w:style>
  <w:style w:type="paragraph" w:styleId="ListNumber3">
    <w:name w:val="List Number 3"/>
    <w:basedOn w:val="List3"/>
    <w:rsid w:val="00CB11CC"/>
    <w:pPr>
      <w:numPr>
        <w:numId w:val="4"/>
      </w:numPr>
    </w:pPr>
  </w:style>
  <w:style w:type="paragraph" w:styleId="ListNumber4">
    <w:name w:val="List Number 4"/>
    <w:basedOn w:val="List4"/>
    <w:rsid w:val="00CB11CC"/>
    <w:pPr>
      <w:numPr>
        <w:numId w:val="5"/>
      </w:numPr>
    </w:pPr>
  </w:style>
  <w:style w:type="paragraph" w:styleId="ListNumber5">
    <w:name w:val="List Number 5"/>
    <w:basedOn w:val="List5"/>
    <w:rsid w:val="00CB11CC"/>
    <w:pPr>
      <w:numPr>
        <w:numId w:val="6"/>
      </w:numPr>
    </w:pPr>
  </w:style>
  <w:style w:type="paragraph" w:styleId="BlockText">
    <w:name w:val="Block Text"/>
    <w:basedOn w:val="Normal"/>
    <w:rsid w:val="00CB11CC"/>
    <w:pPr>
      <w:spacing w:after="120"/>
      <w:ind w:left="1440" w:right="1440"/>
    </w:pPr>
  </w:style>
  <w:style w:type="character" w:customStyle="1" w:styleId="Subscript">
    <w:name w:val="Subscript"/>
    <w:basedOn w:val="DefaultParagraphFont"/>
    <w:rsid w:val="00CB11CC"/>
    <w:rPr>
      <w:sz w:val="16"/>
      <w:vertAlign w:val="subscript"/>
    </w:rPr>
  </w:style>
  <w:style w:type="character" w:customStyle="1" w:styleId="Superscript">
    <w:name w:val="Superscript"/>
    <w:basedOn w:val="DefaultParagraphFont"/>
    <w:rsid w:val="00CB11CC"/>
    <w:rPr>
      <w:sz w:val="16"/>
      <w:vertAlign w:val="superscript"/>
    </w:rPr>
  </w:style>
  <w:style w:type="character" w:customStyle="1" w:styleId="Symbols">
    <w:name w:val="Symbols"/>
    <w:basedOn w:val="DefaultParagraphFont"/>
    <w:rsid w:val="00CB11CC"/>
    <w:rPr>
      <w:rFonts w:ascii="Symbol" w:hAnsi="Symbol"/>
    </w:rPr>
  </w:style>
  <w:style w:type="character" w:customStyle="1" w:styleId="MenuOptions">
    <w:name w:val="Menu Options"/>
    <w:basedOn w:val="DefaultParagraphFont"/>
    <w:rsid w:val="00CB11CC"/>
    <w:rPr>
      <w:rFonts w:ascii="Arial Narrow" w:hAnsi="Arial Narrow"/>
      <w:smallCaps/>
    </w:rPr>
  </w:style>
  <w:style w:type="character" w:customStyle="1" w:styleId="Buttons">
    <w:name w:val="Buttons"/>
    <w:basedOn w:val="DefaultParagraphFont"/>
    <w:rsid w:val="00CB11CC"/>
    <w:rPr>
      <w:b/>
    </w:rPr>
  </w:style>
  <w:style w:type="character" w:customStyle="1" w:styleId="Underlined">
    <w:name w:val="Underlined"/>
    <w:basedOn w:val="DefaultParagraphFont"/>
    <w:rsid w:val="00CB11CC"/>
    <w:rPr>
      <w:u w:val="single"/>
    </w:rPr>
  </w:style>
  <w:style w:type="paragraph" w:customStyle="1" w:styleId="TableBodyTextRight">
    <w:name w:val="Table Body Text Right"/>
    <w:basedOn w:val="TableBodyText"/>
    <w:rsid w:val="00CB11CC"/>
    <w:pPr>
      <w:widowControl w:val="0"/>
      <w:autoSpaceDE w:val="0"/>
      <w:autoSpaceDN w:val="0"/>
      <w:adjustRightInd w:val="0"/>
      <w:jc w:val="right"/>
    </w:pPr>
    <w:rPr>
      <w:rFonts w:cs="Arial"/>
      <w:szCs w:val="18"/>
    </w:rPr>
  </w:style>
  <w:style w:type="paragraph" w:customStyle="1" w:styleId="CopyrightText">
    <w:name w:val="Copyright Text"/>
    <w:basedOn w:val="BodyText"/>
    <w:rsid w:val="00CB11CC"/>
    <w:rPr>
      <w:sz w:val="18"/>
    </w:rPr>
  </w:style>
  <w:style w:type="paragraph" w:customStyle="1" w:styleId="BodySmallRight">
    <w:name w:val="Body Small Right"/>
    <w:basedOn w:val="BodyTextRight"/>
    <w:rsid w:val="00CB11CC"/>
    <w:rPr>
      <w:sz w:val="18"/>
      <w:szCs w:val="18"/>
    </w:rPr>
  </w:style>
  <w:style w:type="paragraph" w:customStyle="1" w:styleId="MarginEdition">
    <w:name w:val="Margin Edition"/>
    <w:basedOn w:val="MarginNote"/>
    <w:rsid w:val="00CB11CC"/>
    <w:pPr>
      <w:spacing w:before="0" w:after="0"/>
    </w:pPr>
    <w:rPr>
      <w:rFonts w:ascii="Times New Roman" w:hAnsi="Times New Roman"/>
      <w:color w:val="999999"/>
    </w:rPr>
  </w:style>
  <w:style w:type="paragraph" w:customStyle="1" w:styleId="Spacer">
    <w:name w:val="Spacer"/>
    <w:basedOn w:val="Normal"/>
    <w:rsid w:val="00CB11CC"/>
    <w:rPr>
      <w:sz w:val="2"/>
      <w:szCs w:val="2"/>
    </w:rPr>
  </w:style>
  <w:style w:type="character" w:customStyle="1" w:styleId="Small">
    <w:name w:val="Small"/>
    <w:basedOn w:val="DefaultParagraphFont"/>
    <w:rsid w:val="00CB11CC"/>
    <w:rPr>
      <w:sz w:val="16"/>
    </w:rPr>
  </w:style>
  <w:style w:type="paragraph" w:customStyle="1" w:styleId="WideTable">
    <w:name w:val="Wide Table"/>
    <w:basedOn w:val="Normal"/>
    <w:rsid w:val="00CB11CC"/>
    <w:pPr>
      <w:ind w:left="-1418"/>
    </w:pPr>
    <w:rPr>
      <w:sz w:val="2"/>
      <w:szCs w:val="2"/>
    </w:rPr>
  </w:style>
  <w:style w:type="character" w:styleId="PageNumber">
    <w:name w:val="page number"/>
    <w:basedOn w:val="DefaultParagraphFont"/>
    <w:rsid w:val="00CB11CC"/>
  </w:style>
  <w:style w:type="paragraph" w:styleId="Quote">
    <w:name w:val="Quote"/>
    <w:basedOn w:val="Heading1"/>
    <w:link w:val="QuoteChar"/>
    <w:qFormat/>
    <w:rsid w:val="00CB11CC"/>
    <w:rPr>
      <w:b w:val="0"/>
      <w:sz w:val="72"/>
      <w:szCs w:val="72"/>
      <w:lang w:val="en-NZ"/>
    </w:rPr>
  </w:style>
  <w:style w:type="character" w:customStyle="1" w:styleId="QuoteChar">
    <w:name w:val="Quote Char"/>
    <w:basedOn w:val="DefaultParagraphFont"/>
    <w:link w:val="Quote"/>
    <w:rsid w:val="00CB1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1CC"/>
    <w:pPr>
      <w:pageBreakBefore/>
    </w:pPr>
  </w:style>
  <w:style w:type="paragraph" w:customStyle="1" w:styleId="Border">
    <w:name w:val="Border"/>
    <w:basedOn w:val="Normal"/>
    <w:qFormat/>
    <w:rsid w:val="00CB1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1CC"/>
    <w:rPr>
      <w:b/>
      <w:bCs/>
      <w:i/>
      <w:iCs/>
      <w:color w:val="auto"/>
    </w:rPr>
  </w:style>
  <w:style w:type="paragraph" w:styleId="IntenseQuote">
    <w:name w:val="Intense Quote"/>
    <w:basedOn w:val="Normal"/>
    <w:next w:val="Normal"/>
    <w:link w:val="IntenseQuoteChar"/>
    <w:uiPriority w:val="30"/>
    <w:qFormat/>
    <w:rsid w:val="00CB1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1CC"/>
    <w:rPr>
      <w:smallCaps/>
      <w:color w:val="auto"/>
      <w:u w:val="single"/>
    </w:rPr>
  </w:style>
  <w:style w:type="character" w:styleId="IntenseReference">
    <w:name w:val="Intense Reference"/>
    <w:basedOn w:val="DefaultParagraphFont"/>
    <w:uiPriority w:val="32"/>
    <w:qFormat/>
    <w:rsid w:val="00CB11CC"/>
    <w:rPr>
      <w:b/>
      <w:bCs/>
      <w:smallCaps/>
      <w:color w:val="auto"/>
      <w:spacing w:val="5"/>
      <w:u w:val="single"/>
    </w:rPr>
  </w:style>
  <w:style w:type="paragraph" w:customStyle="1" w:styleId="2ColumnHeading">
    <w:name w:val="2Column Heading"/>
    <w:basedOn w:val="BodyText"/>
    <w:qFormat/>
    <w:rsid w:val="00CB11CC"/>
    <w:pPr>
      <w:spacing w:after="60"/>
      <w:ind w:left="-2268"/>
    </w:pPr>
    <w:rPr>
      <w:b/>
    </w:rPr>
  </w:style>
  <w:style w:type="paragraph" w:customStyle="1" w:styleId="Heading1TOC">
    <w:name w:val="Heading1 TOC"/>
    <w:basedOn w:val="Normal"/>
    <w:qFormat/>
    <w:rsid w:val="00CB11CC"/>
    <w:pPr>
      <w:spacing w:before="240" w:after="120"/>
    </w:pPr>
    <w:rPr>
      <w:rFonts w:ascii="Times New Roman" w:hAnsi="Times New Roman"/>
      <w:b/>
      <w:sz w:val="32"/>
    </w:rPr>
  </w:style>
  <w:style w:type="paragraph" w:customStyle="1" w:styleId="Heading2TOC">
    <w:name w:val="Heading2 TOC"/>
    <w:basedOn w:val="Normal"/>
    <w:qFormat/>
    <w:rsid w:val="00CB11CC"/>
    <w:pPr>
      <w:spacing w:before="240" w:after="60"/>
    </w:pPr>
    <w:rPr>
      <w:rFonts w:ascii="Times New Roman" w:hAnsi="Times New Roman"/>
      <w:b/>
      <w:sz w:val="28"/>
    </w:rPr>
  </w:style>
  <w:style w:type="character" w:customStyle="1" w:styleId="Underline">
    <w:name w:val="Underline"/>
    <w:basedOn w:val="DefaultParagraphFont"/>
    <w:qFormat/>
    <w:rsid w:val="00CB11CC"/>
    <w:rPr>
      <w:u w:val="single"/>
    </w:rPr>
  </w:style>
  <w:style w:type="character" w:customStyle="1" w:styleId="BoldandItalics">
    <w:name w:val="Bold and Italics"/>
    <w:qFormat/>
    <w:rsid w:val="00CB11CC"/>
    <w:rPr>
      <w:b/>
      <w:i/>
      <w:u w:val="none"/>
    </w:rPr>
  </w:style>
  <w:style w:type="paragraph" w:styleId="BalloonText">
    <w:name w:val="Balloon Text"/>
    <w:basedOn w:val="Normal"/>
    <w:link w:val="BalloonTextChar"/>
    <w:rsid w:val="00CB11CC"/>
    <w:rPr>
      <w:rFonts w:ascii="Tahoma" w:hAnsi="Tahoma" w:cs="Tahoma"/>
      <w:sz w:val="16"/>
      <w:szCs w:val="16"/>
    </w:rPr>
  </w:style>
  <w:style w:type="character" w:customStyle="1" w:styleId="BalloonTextChar">
    <w:name w:val="Balloon Text Char"/>
    <w:basedOn w:val="DefaultParagraphFont"/>
    <w:link w:val="BalloonText"/>
    <w:rsid w:val="00CB1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1CC"/>
    <w:rPr>
      <w:b/>
      <w:color w:val="660033"/>
      <w:spacing w:val="0"/>
    </w:rPr>
  </w:style>
  <w:style w:type="paragraph" w:customStyle="1" w:styleId="Nameditemlist">
    <w:name w:val="Named item list"/>
    <w:basedOn w:val="BodyText"/>
    <w:qFormat/>
    <w:rsid w:val="00CB11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1373</Words>
  <Characters>8376</Characters>
  <Application>Microsoft Office Word</Application>
  <DocSecurity>0</DocSecurity>
  <Lines>366</Lines>
  <Paragraphs>238</Paragraphs>
  <ScaleCrop>false</ScaleCrop>
  <Company>Author-it Software Corporation Ltd.</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PMAOPS226A Monitor and operate flare systems</dc:title>
  <dc:subject>Approved</dc:subject>
  <dc:creator>Manufacturing Skills Australia</dc:creator>
  <cp:keywords>Release 1</cp:keywords>
  <dc:description>Review Date: 12 April 2008</dc:description>
  <cp:lastModifiedBy>TPCMS</cp:lastModifiedBy>
  <cp:revision>3</cp:revision>
  <dcterms:created xsi:type="dcterms:W3CDTF">2013-12-13T17:56:21Z</dcterms:created>
  <dcterms:modified xsi:type="dcterms:W3CDTF">2013-12-13T04:19:00Z</dcterms:modified>
</cp:coreProperties>
</file>