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CAE" w:rsidP="007F5CAE">
      <w:pPr>
        <w:pStyle w:val="Title"/>
      </w:pPr>
      <w:r>
        <w:fldChar w:fldCharType="begin"/>
      </w:r>
      <w:r>
        <w:instrText xml:space="preserve"> TITLE   \* MERGEFORMAT </w:instrText>
      </w:r>
      <w:r>
        <w:fldChar w:fldCharType="separate"/>
      </w:r>
      <w:r>
        <w:t>PMAOPS202B Operate fluid mixing equipment</w:t>
      </w:r>
      <w:r>
        <w:fldChar w:fldCharType="end"/>
      </w:r>
    </w:p>
    <w:p w:rsidR="007F5CAE" w:rsidP="007F5CAE">
      <w:pPr>
        <w:pStyle w:val="Version"/>
        <w:sectPr w:rsidSect="007E25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556" w:rsidP="007E2556">
      <w:pPr>
        <w:pStyle w:val="SuperHeading"/>
      </w:pPr>
      <w:r w:rsidRPr="007E2556">
        <w:t>PMAOPS202B Operate fluid mixing equipment</w:t>
      </w:r>
    </w:p>
    <w:p w:rsidR="00000000" w:rsidRPr="007E2556" w:rsidP="007E2556">
      <w:pPr>
        <w:pStyle w:val="Heading1"/>
      </w:pPr>
      <w:bookmarkStart w:id="1" w:name="O_106551"/>
      <w:bookmarkEnd w:id="1"/>
      <w:r w:rsidRPr="007E2556">
        <w:t>Modification History</w:t>
      </w:r>
    </w:p>
    <w:p w:rsidR="00000000" w:rsidRPr="007E2556" w:rsidP="007E2556">
      <w:pPr>
        <w:pStyle w:val="BodyText"/>
      </w:pPr>
      <w:r w:rsidRPr="007E2556">
        <w:t>Not applicable.</w:t>
      </w:r>
    </w:p>
    <w:p w:rsidR="00000000" w:rsidRPr="007E2556" w:rsidP="007E2556">
      <w:pPr>
        <w:pStyle w:val="AllowPageBreak"/>
      </w:pPr>
    </w:p>
    <w:p w:rsidR="00000000" w:rsidRPr="007E2556" w:rsidP="007E2556">
      <w:pPr>
        <w:pStyle w:val="Heading1"/>
      </w:pPr>
      <w:bookmarkStart w:id="2" w:name="O_106552"/>
      <w:bookmarkEnd w:id="2"/>
      <w:r w:rsidRPr="007E2556">
        <w:t>Unit Descriptor</w:t>
      </w:r>
    </w:p>
    <w:tbl>
      <w:tblPr>
        <w:tblW w:w="0" w:type="auto"/>
        <w:tblCellMar>
          <w:left w:w="62" w:type="dxa"/>
          <w:right w:w="62" w:type="dxa"/>
        </w:tblCellMar>
        <w:tblLook w:val="0000"/>
      </w:tblPr>
      <w:tblGrid>
        <w:gridCol w:w="2140"/>
        <w:gridCol w:w="7056"/>
      </w:tblGrid>
      <w:tr w:rsidTr="007F5CA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This competency covers the operation of the range of fluid mixers found in fluid processing plants.  This co</w:t>
            </w:r>
            <w:r w:rsidRPr="007E2556">
              <w:t>mpetency is typically performed by all operators using mixing equipment.</w:t>
            </w:r>
          </w:p>
        </w:tc>
      </w:tr>
    </w:tbl>
    <w:p w:rsidR="00000000" w:rsidRPr="007E2556" w:rsidP="007E2556">
      <w:pPr>
        <w:pStyle w:val="BodyText"/>
      </w:pPr>
    </w:p>
    <w:p w:rsidR="00000000" w:rsidRPr="007E2556" w:rsidP="007E2556">
      <w:pPr>
        <w:pStyle w:val="AllowPageBreak"/>
      </w:pPr>
    </w:p>
    <w:p w:rsidR="00000000" w:rsidRPr="007E2556" w:rsidP="007E2556">
      <w:pPr>
        <w:pStyle w:val="Heading1"/>
      </w:pPr>
      <w:bookmarkStart w:id="3" w:name="O_106553"/>
      <w:bookmarkEnd w:id="3"/>
      <w:r w:rsidRPr="007E2556">
        <w:t>Application of the Unit</w:t>
      </w:r>
    </w:p>
    <w:tbl>
      <w:tblPr>
        <w:tblW w:w="0" w:type="auto"/>
        <w:tblCellMar>
          <w:left w:w="62" w:type="dxa"/>
          <w:right w:w="62" w:type="dxa"/>
        </w:tblCellMar>
        <w:tblLook w:val="0000"/>
      </w:tblPr>
      <w:tblGrid>
        <w:gridCol w:w="2140"/>
        <w:gridCol w:w="7056"/>
      </w:tblGrid>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In a typical scenario an operator uses a baffled mixing tank (or other mixer) to make a product to specification.  This covers the loading of liquid and perhaps solid materials into the mixing equipment.  In this example the operator monitors the mixing to</w:t>
            </w:r>
            <w:r w:rsidRPr="007E2556">
              <w:t xml:space="preserve"> ensure the components are dispersed appropriately and checks the resulting product to ensure it complies.</w:t>
            </w:r>
          </w:p>
          <w:p w:rsidR="00000000" w:rsidRPr="007E2556" w:rsidP="007E2556">
            <w:pPr>
              <w:pStyle w:val="BodyText"/>
            </w:pPr>
            <w:r w:rsidRPr="007E2556">
              <w:t xml:space="preserve">This unit does not cover mixing which is part of the preparation of materials (see </w:t>
            </w:r>
            <w:r w:rsidRPr="007E2556">
              <w:rPr>
                <w:rStyle w:val="Emphasis"/>
              </w:rPr>
              <w:t>PMAOPS105C Select and prepare materials</w:t>
            </w:r>
            <w:r w:rsidRPr="007E2556">
              <w:t xml:space="preserve">) nor the incidental mixing which occurs in a reaction vessel (see </w:t>
            </w:r>
            <w:r w:rsidRPr="007E2556">
              <w:rPr>
                <w:rStyle w:val="Emphasis"/>
              </w:rPr>
              <w:t>PMAOPS220B Monitor chemical reactions in the process</w:t>
            </w:r>
            <w:r w:rsidRPr="007E2556">
              <w:t xml:space="preserve"> or </w:t>
            </w:r>
            <w:r w:rsidRPr="007E2556">
              <w:rPr>
                <w:rStyle w:val="Emphasis"/>
              </w:rPr>
              <w:t>PMAOPS302B Operate reactors and reactor systems</w:t>
            </w:r>
            <w:r w:rsidRPr="007E2556">
              <w:t xml:space="preserve">) or in-line mixers (see </w:t>
            </w:r>
            <w:r w:rsidRPr="007E2556">
              <w:rPr>
                <w:rStyle w:val="Emphasis"/>
              </w:rPr>
              <w:t>PMAOPS201B Operate fluid flow equipment</w:t>
            </w:r>
            <w:r w:rsidRPr="007E2556">
              <w:t>).3</w:t>
            </w:r>
          </w:p>
          <w:p w:rsidR="00000000" w:rsidRPr="007E2556" w:rsidP="007E2556">
            <w:pPr>
              <w:pStyle w:val="BodyText"/>
            </w:pPr>
            <w:r w:rsidRPr="007E2556">
              <w:t>The operator would</w:t>
            </w:r>
            <w:r w:rsidRPr="007E2556">
              <w:t>:</w:t>
            </w:r>
          </w:p>
          <w:p w:rsidR="00000000" w:rsidRPr="007E2556" w:rsidP="007E2556">
            <w:pPr>
              <w:pStyle w:val="ListBullet"/>
            </w:pPr>
            <w:r w:rsidRPr="007E2556">
              <w:t>identify and report operational problems</w:t>
            </w:r>
          </w:p>
          <w:p w:rsidR="00000000" w:rsidRPr="007E2556" w:rsidP="007E2556">
            <w:pPr>
              <w:pStyle w:val="ListBullet"/>
            </w:pPr>
            <w:r w:rsidRPr="007E2556">
              <w:t>be aware of and contribute to a safe working environment</w:t>
            </w:r>
          </w:p>
          <w:p w:rsidR="00000000" w:rsidRPr="007E2556" w:rsidP="007E2556">
            <w:pPr>
              <w:pStyle w:val="ListBullet"/>
            </w:pPr>
            <w:r w:rsidRPr="007E2556">
              <w:t>contribute to the safe and productive operation of the equipment</w:t>
            </w:r>
          </w:p>
          <w:p w:rsidR="00000000" w:rsidRPr="007E2556" w:rsidP="007E2556">
            <w:pPr>
              <w:pStyle w:val="ListBullet"/>
            </w:pPr>
            <w:r w:rsidRPr="007E2556">
              <w:t>operate, monitor and maintain equipment using relevant procedures.</w:t>
            </w:r>
          </w:p>
          <w:p w:rsidR="00000000" w:rsidRPr="007E2556" w:rsidP="007E2556">
            <w:pPr>
              <w:pStyle w:val="BodyText"/>
            </w:pPr>
            <w:r w:rsidRPr="007E2556">
              <w:t xml:space="preserve">Generally the operator </w:t>
            </w:r>
            <w:r w:rsidRPr="007E2556">
              <w:t>would be part of a team during start up and shut down procedures and would be expected to be capable of demonstrating competence in all parts of this unit.  At all times they would be liaising and cooperating with other members of the team.</w:t>
            </w:r>
          </w:p>
        </w:tc>
      </w:tr>
    </w:tbl>
    <w:p w:rsidR="00000000" w:rsidRPr="007E2556" w:rsidP="007E2556">
      <w:pPr>
        <w:pStyle w:val="BodyText"/>
      </w:pPr>
    </w:p>
    <w:p w:rsidR="00000000" w:rsidRPr="007E2556" w:rsidP="007E2556">
      <w:pPr>
        <w:pStyle w:val="AllowPageBreak"/>
      </w:pPr>
    </w:p>
    <w:p w:rsidR="00000000" w:rsidRPr="007E2556" w:rsidP="007E2556">
      <w:pPr>
        <w:pStyle w:val="Heading1"/>
      </w:pPr>
      <w:bookmarkStart w:id="4" w:name="O_106554"/>
      <w:bookmarkEnd w:id="4"/>
      <w:r w:rsidRPr="007E2556">
        <w:t>Licensing/Regulatory Information</w:t>
      </w:r>
    </w:p>
    <w:p w:rsidR="00000000" w:rsidRPr="007E2556" w:rsidP="007E2556">
      <w:pPr>
        <w:pStyle w:val="BodyText"/>
      </w:pPr>
      <w:r w:rsidRPr="007E2556">
        <w:t>Not applicable.</w:t>
      </w:r>
    </w:p>
    <w:p w:rsidR="00000000" w:rsidRPr="007E2556" w:rsidP="007E2556">
      <w:pPr>
        <w:pStyle w:val="AllowPageBreak"/>
      </w:pPr>
    </w:p>
    <w:p w:rsidR="00000000" w:rsidRPr="007E2556" w:rsidP="007E2556">
      <w:pPr>
        <w:pStyle w:val="Heading1"/>
      </w:pPr>
      <w:bookmarkStart w:id="5" w:name="O_106555"/>
      <w:bookmarkEnd w:id="5"/>
      <w:r w:rsidRPr="007E2556">
        <w:t>Pre-Requisites</w:t>
      </w:r>
    </w:p>
    <w:tbl>
      <w:tblPr>
        <w:tblW w:w="0" w:type="auto"/>
        <w:tblCellMar>
          <w:left w:w="62" w:type="dxa"/>
          <w:right w:w="62" w:type="dxa"/>
        </w:tblCellMar>
        <w:tblLook w:val="0000"/>
      </w:tblPr>
      <w:tblGrid>
        <w:gridCol w:w="2140"/>
        <w:gridCol w:w="3528"/>
        <w:gridCol w:w="3528"/>
      </w:tblGrid>
      <w:tr w:rsidTr="007F5CA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p>
        </w:tc>
      </w:tr>
    </w:tbl>
    <w:p w:rsidR="00000000" w:rsidRPr="007E2556" w:rsidP="007E2556">
      <w:pPr>
        <w:pStyle w:val="BodyText"/>
      </w:pPr>
    </w:p>
    <w:p w:rsidR="00000000" w:rsidRPr="007E2556" w:rsidP="007E2556">
      <w:pPr>
        <w:pStyle w:val="AllowPageBreak"/>
      </w:pPr>
    </w:p>
    <w:p w:rsidR="00000000" w:rsidRPr="007E2556" w:rsidP="007E2556">
      <w:pPr>
        <w:pStyle w:val="Heading1"/>
      </w:pPr>
      <w:bookmarkStart w:id="6" w:name="O_106556"/>
      <w:bookmarkEnd w:id="6"/>
      <w:r w:rsidRPr="007E2556">
        <w:t>Employability Skills Information</w:t>
      </w:r>
    </w:p>
    <w:tbl>
      <w:tblPr>
        <w:tblW w:w="0" w:type="auto"/>
        <w:tblCellMar>
          <w:left w:w="62" w:type="dxa"/>
          <w:right w:w="62" w:type="dxa"/>
        </w:tblCellMar>
        <w:tblLook w:val="0000"/>
      </w:tblPr>
      <w:tblGrid>
        <w:gridCol w:w="2140"/>
        <w:gridCol w:w="7056"/>
      </w:tblGrid>
      <w:tr w:rsidTr="007F5CA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This unit contains employability skills.</w:t>
            </w:r>
          </w:p>
        </w:tc>
      </w:tr>
    </w:tbl>
    <w:p w:rsidR="00000000" w:rsidRPr="007E2556" w:rsidP="007E2556">
      <w:pPr>
        <w:pStyle w:val="BodyText"/>
      </w:pPr>
    </w:p>
    <w:p w:rsidR="00000000" w:rsidRPr="007E2556" w:rsidP="007E2556">
      <w:pPr>
        <w:pStyle w:val="AllowPageBreak"/>
      </w:pPr>
    </w:p>
    <w:p w:rsidR="00000000" w:rsidRPr="007E2556" w:rsidP="007E2556">
      <w:pPr>
        <w:pStyle w:val="Heading1"/>
      </w:pPr>
      <w:bookmarkStart w:id="7" w:name="O_106557"/>
      <w:bookmarkEnd w:id="7"/>
      <w:r w:rsidRPr="007E2556">
        <w:t>Elements and Performance Criteria Pre-Content</w:t>
      </w:r>
    </w:p>
    <w:tbl>
      <w:tblPr>
        <w:tblW w:w="0" w:type="auto"/>
        <w:tblCellMar>
          <w:left w:w="62" w:type="dxa"/>
          <w:right w:w="62" w:type="dxa"/>
        </w:tblCellMar>
        <w:tblLook w:val="0000"/>
      </w:tblPr>
      <w:tblGrid>
        <w:gridCol w:w="2644"/>
        <w:gridCol w:w="6552"/>
      </w:tblGrid>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Performance criteria describe the performance needed to demonstrate achievement of the element.  Where bold italicised text is used, further inf</w:t>
            </w:r>
            <w:r w:rsidRPr="007E2556">
              <w:t>ormation is detailed in the required skills and knowledge section and the range statement.  Assessment of performance is to be consistent with the evidence guide.</w:t>
            </w:r>
          </w:p>
        </w:tc>
      </w:tr>
    </w:tbl>
    <w:p w:rsidR="00000000" w:rsidRPr="007E2556" w:rsidP="007E2556">
      <w:pPr>
        <w:pStyle w:val="BodyText"/>
      </w:pPr>
    </w:p>
    <w:p w:rsidR="00000000" w:rsidRPr="007E2556" w:rsidP="007E2556">
      <w:pPr>
        <w:pStyle w:val="AllowPageBreak"/>
      </w:pPr>
    </w:p>
    <w:p w:rsidR="00000000" w:rsidRPr="007E2556" w:rsidP="007E2556">
      <w:pPr>
        <w:pStyle w:val="Heading1"/>
      </w:pPr>
      <w:bookmarkStart w:id="8" w:name="O_106558"/>
      <w:bookmarkEnd w:id="8"/>
      <w:r w:rsidRPr="007E2556">
        <w:t>Elements and Performance Criteria</w:t>
      </w:r>
    </w:p>
    <w:tbl>
      <w:tblPr>
        <w:tblW w:w="0" w:type="auto"/>
        <w:tblCellMar>
          <w:left w:w="62" w:type="dxa"/>
          <w:right w:w="62" w:type="dxa"/>
        </w:tblCellMar>
        <w:tblLook w:val="0000"/>
      </w:tblPr>
      <w:tblGrid>
        <w:gridCol w:w="2644"/>
        <w:gridCol w:w="6552"/>
      </w:tblGrid>
      <w:tr w:rsidTr="007F5CA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PERFORMANCE CRITERIA</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List"/>
              <w:rPr>
                <w:lang w:val="en-NZ"/>
              </w:rPr>
            </w:pPr>
            <w:r w:rsidRPr="007E2556">
              <w:t>1.</w:t>
            </w:r>
            <w:r w:rsidRPr="007E2556">
              <w:tab/>
            </w:r>
            <w:r w:rsidRPr="007E2556">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List2"/>
            </w:pPr>
            <w:r w:rsidRPr="007E2556">
              <w:t>1.1.</w:t>
            </w:r>
            <w:r w:rsidRPr="007E2556">
              <w:tab/>
              <w:t>Identify work requirements</w:t>
            </w:r>
          </w:p>
          <w:p w:rsidR="00000000" w:rsidRPr="007E2556" w:rsidP="007E2556">
            <w:pPr>
              <w:pStyle w:val="List2"/>
            </w:pPr>
            <w:r w:rsidRPr="007E2556">
              <w:t>1.2.</w:t>
            </w:r>
            <w:r w:rsidRPr="007E2556">
              <w:tab/>
              <w:t>Identify and control hazards</w:t>
            </w:r>
          </w:p>
          <w:p w:rsidR="00000000" w:rsidP="007E2556">
            <w:pPr>
              <w:pStyle w:val="List2"/>
              <w:rPr>
                <w:lang w:val="en-NZ"/>
              </w:rPr>
            </w:pPr>
            <w:r w:rsidRPr="007E2556">
              <w:t>1.3.</w:t>
            </w:r>
            <w:r w:rsidRPr="007E2556">
              <w:tab/>
              <w:t>Coordinate with appropriate personnel</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List"/>
              <w:rPr>
                <w:lang w:val="en-NZ"/>
              </w:rPr>
            </w:pPr>
            <w:r w:rsidRPr="007E2556">
              <w:t>2.</w:t>
            </w:r>
            <w:r w:rsidRPr="007E2556">
              <w:tab/>
              <w:t>Prepare mixing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List2"/>
            </w:pPr>
            <w:r w:rsidRPr="007E2556">
              <w:t>2.1.</w:t>
            </w:r>
            <w:r w:rsidRPr="007E2556">
              <w:tab/>
              <w:t>Identify type of fluid mixer</w:t>
            </w:r>
          </w:p>
          <w:p w:rsidR="00000000" w:rsidRPr="007E2556" w:rsidP="007E2556">
            <w:pPr>
              <w:pStyle w:val="List2"/>
            </w:pPr>
            <w:r w:rsidRPr="007E2556">
              <w:t>2.2.</w:t>
            </w:r>
            <w:r w:rsidRPr="007E2556">
              <w:tab/>
              <w:t>Identify appropriate applications for the mixer type</w:t>
            </w:r>
          </w:p>
          <w:p w:rsidR="00000000" w:rsidP="007E2556">
            <w:pPr>
              <w:pStyle w:val="List2"/>
              <w:rPr>
                <w:lang w:val="en-NZ"/>
              </w:rPr>
            </w:pPr>
            <w:r w:rsidRPr="007E2556">
              <w:t>2.3.</w:t>
            </w:r>
            <w:r w:rsidRPr="007E2556">
              <w:tab/>
              <w:t>Ch</w:t>
            </w:r>
            <w:r w:rsidRPr="007E2556">
              <w:t>eck materials.</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List"/>
              <w:rPr>
                <w:lang w:val="en-NZ"/>
              </w:rPr>
            </w:pPr>
            <w:r w:rsidRPr="007E2556">
              <w:t>3.</w:t>
            </w:r>
            <w:r w:rsidRPr="007E2556">
              <w:tab/>
              <w:t>Operate fluid mixing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List2"/>
            </w:pPr>
            <w:r w:rsidRPr="007E2556">
              <w:t>3.1.</w:t>
            </w:r>
            <w:r w:rsidRPr="007E2556">
              <w:tab/>
              <w:t>Charge materials</w:t>
            </w:r>
          </w:p>
          <w:p w:rsidR="00000000" w:rsidRPr="007E2556" w:rsidP="007E2556">
            <w:pPr>
              <w:pStyle w:val="List2"/>
            </w:pPr>
            <w:r w:rsidRPr="007E2556">
              <w:t>3.2.</w:t>
            </w:r>
            <w:r w:rsidRPr="007E2556">
              <w:tab/>
              <w:t>Start up/shut down fluid mixing equipment as required</w:t>
            </w:r>
          </w:p>
          <w:p w:rsidR="00000000" w:rsidRPr="007E2556" w:rsidP="007E2556">
            <w:pPr>
              <w:pStyle w:val="List2"/>
            </w:pPr>
            <w:r w:rsidRPr="007E2556">
              <w:t>3.3.</w:t>
            </w:r>
            <w:r w:rsidRPr="007E2556">
              <w:tab/>
              <w:t>Adjust mixing conditions as required</w:t>
            </w:r>
          </w:p>
          <w:p w:rsidR="00000000" w:rsidRPr="007E2556" w:rsidP="007E2556">
            <w:pPr>
              <w:pStyle w:val="List2"/>
            </w:pPr>
            <w:r w:rsidRPr="007E2556">
              <w:t>3.4.</w:t>
            </w:r>
            <w:r w:rsidRPr="007E2556">
              <w:tab/>
              <w:t>Check product</w:t>
            </w:r>
          </w:p>
          <w:p w:rsidR="00000000" w:rsidRPr="007E2556" w:rsidP="007E2556">
            <w:pPr>
              <w:pStyle w:val="List2"/>
            </w:pPr>
            <w:r w:rsidRPr="007E2556">
              <w:t>3.5.</w:t>
            </w:r>
            <w:r w:rsidRPr="007E2556">
              <w:tab/>
              <w:t>Adjust product as instructed or to procedure</w:t>
            </w:r>
          </w:p>
          <w:p w:rsidR="00000000" w:rsidRPr="007E2556" w:rsidP="007E2556">
            <w:pPr>
              <w:pStyle w:val="List2"/>
            </w:pPr>
            <w:r w:rsidRPr="007E2556">
              <w:t>3.6.</w:t>
            </w:r>
            <w:r w:rsidRPr="007E2556">
              <w:tab/>
            </w:r>
            <w:r w:rsidRPr="007E2556">
              <w:t>Discharge product</w:t>
            </w:r>
          </w:p>
          <w:p w:rsidR="00000000" w:rsidP="007E2556">
            <w:pPr>
              <w:pStyle w:val="List2"/>
              <w:rPr>
                <w:lang w:val="en-NZ"/>
              </w:rPr>
            </w:pPr>
            <w:r w:rsidRPr="007E2556">
              <w:t>3.7.</w:t>
            </w:r>
            <w:r w:rsidRPr="007E2556">
              <w:tab/>
              <w:t>Complete routine checks and reports, taking action on unexpected readings and trends.</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List"/>
              <w:rPr>
                <w:lang w:val="en-NZ"/>
              </w:rPr>
            </w:pPr>
            <w:r w:rsidRPr="007E2556">
              <w:t>4.</w:t>
            </w:r>
            <w:r w:rsidRPr="007E2556">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List2"/>
            </w:pPr>
            <w:r w:rsidRPr="007E2556">
              <w:t>4.1.</w:t>
            </w:r>
            <w:r w:rsidRPr="007E2556">
              <w:tab/>
              <w:t xml:space="preserve">Isolate plant </w:t>
            </w:r>
          </w:p>
          <w:p w:rsidR="00000000" w:rsidRPr="007E2556" w:rsidP="007E2556">
            <w:pPr>
              <w:pStyle w:val="List2"/>
            </w:pPr>
            <w:r w:rsidRPr="007E2556">
              <w:t>4.2.</w:t>
            </w:r>
            <w:r w:rsidRPr="007E2556">
              <w:tab/>
              <w:t>Make safe for required work</w:t>
            </w:r>
          </w:p>
          <w:p w:rsidR="00000000" w:rsidRPr="007E2556" w:rsidP="007E2556">
            <w:pPr>
              <w:pStyle w:val="List2"/>
            </w:pPr>
            <w:r w:rsidRPr="007E2556">
              <w:t>4.3.</w:t>
            </w:r>
            <w:r w:rsidRPr="007E2556">
              <w:tab/>
              <w:t>Check plant is ready to be returned to service</w:t>
            </w:r>
          </w:p>
          <w:p w:rsidR="00000000" w:rsidRPr="007E2556" w:rsidP="007E2556">
            <w:pPr>
              <w:pStyle w:val="List2"/>
            </w:pPr>
            <w:r w:rsidRPr="007E2556">
              <w:t>4.4.</w:t>
            </w:r>
            <w:r w:rsidRPr="007E2556">
              <w:tab/>
              <w:t>Pre</w:t>
            </w:r>
            <w:r w:rsidRPr="007E2556">
              <w:t>pare plant for return to service.</w:t>
            </w:r>
          </w:p>
        </w:tc>
      </w:tr>
    </w:tbl>
    <w:p w:rsidR="00000000" w:rsidRPr="007E2556" w:rsidP="007E2556">
      <w:pPr>
        <w:pStyle w:val="BodyText"/>
      </w:pPr>
    </w:p>
    <w:p w:rsidR="00000000" w:rsidRPr="007E2556" w:rsidP="007E2556">
      <w:pPr>
        <w:pStyle w:val="AllowPageBreak"/>
      </w:pPr>
    </w:p>
    <w:p w:rsidR="00000000" w:rsidRPr="007E2556" w:rsidP="007E2556">
      <w:pPr>
        <w:pStyle w:val="Heading1"/>
      </w:pPr>
      <w:bookmarkStart w:id="9" w:name="O_106559"/>
      <w:bookmarkEnd w:id="9"/>
      <w:r w:rsidRPr="007E2556">
        <w:t>Required Skills and Knowledge</w:t>
      </w:r>
    </w:p>
    <w:tbl>
      <w:tblPr>
        <w:tblW w:w="0" w:type="auto"/>
        <w:tblCellMar>
          <w:left w:w="62" w:type="dxa"/>
          <w:right w:w="62" w:type="dxa"/>
        </w:tblCellMar>
        <w:tblLook w:val="0000"/>
      </w:tblPr>
      <w:tblGrid>
        <w:gridCol w:w="9196"/>
      </w:tblGrid>
      <w:tr w:rsidTr="007F5CA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REQUIRED SKILLS AND KNOWLEDGE</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t>This describes the essential skills and knowledge and their level, required for this unit.</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Required skills</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ListBullet"/>
            </w:pPr>
            <w:r w:rsidRPr="007E2556">
              <w:t>efficient and effective operation of plant/equipment</w:t>
            </w:r>
          </w:p>
          <w:p w:rsidR="00000000" w:rsidRPr="007E2556" w:rsidP="007E2556">
            <w:pPr>
              <w:pStyle w:val="ListBullet"/>
            </w:pPr>
            <w:r w:rsidRPr="007E2556">
              <w:t>hazard analysis</w:t>
            </w:r>
          </w:p>
          <w:p w:rsidR="00000000" w:rsidRPr="007E2556" w:rsidP="007E2556">
            <w:pPr>
              <w:pStyle w:val="ListBullet"/>
            </w:pPr>
            <w:r w:rsidRPr="007E2556">
              <w:t>completing plant records</w:t>
            </w:r>
          </w:p>
          <w:p w:rsidR="00000000" w:rsidRPr="007E2556" w:rsidP="007E2556">
            <w:pPr>
              <w:pStyle w:val="ListBullet"/>
            </w:pPr>
            <w:r w:rsidRPr="007E2556">
              <w:t>communication</w:t>
            </w:r>
          </w:p>
          <w:p w:rsidR="00000000" w:rsidP="007E2556">
            <w:pPr>
              <w:pStyle w:val="ListBullet"/>
              <w:rPr>
                <w:lang w:val="en-NZ"/>
              </w:rPr>
            </w:pPr>
            <w:r w:rsidRPr="007E2556">
              <w:t>problem solving.</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Required knowledge</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Understanding of fluid mixing equipment and its integral equipment to a level needed to recognise and resolve operational problems. In particular it includes a knowledge of:</w:t>
            </w:r>
          </w:p>
          <w:p w:rsidR="00000000" w:rsidRPr="007E2556" w:rsidP="007E2556">
            <w:pPr>
              <w:pStyle w:val="ListBullet"/>
            </w:pPr>
            <w:r w:rsidRPr="007E2556">
              <w:t>all items on a schematic of the mixing system and the function of each</w:t>
            </w:r>
          </w:p>
          <w:p w:rsidR="00000000" w:rsidRPr="007E2556" w:rsidP="007E2556">
            <w:pPr>
              <w:pStyle w:val="ListBullet"/>
            </w:pPr>
            <w:r w:rsidRPr="007E2556">
              <w:t>fluid mixi</w:t>
            </w:r>
            <w:r w:rsidRPr="007E2556">
              <w:t>ng principles, such as shear, viscosity and concepts of uniformity</w:t>
            </w:r>
          </w:p>
          <w:p w:rsidR="00000000" w:rsidRPr="007E2556" w:rsidP="007E2556">
            <w:pPr>
              <w:pStyle w:val="ListBullet"/>
            </w:pPr>
            <w:r w:rsidRPr="007E2556">
              <w:t>principles of operation of fluid mixing equipment</w:t>
            </w:r>
          </w:p>
          <w:p w:rsidR="00000000" w:rsidRPr="007E2556" w:rsidP="007E2556">
            <w:pPr>
              <w:pStyle w:val="ListBullet"/>
            </w:pPr>
            <w:r w:rsidRPr="007E2556">
              <w:t>physics of operation</w:t>
            </w:r>
          </w:p>
          <w:p w:rsidR="00000000" w:rsidRPr="007E2556" w:rsidP="007E2556">
            <w:pPr>
              <w:pStyle w:val="ListBullet"/>
            </w:pPr>
            <w:r w:rsidRPr="007E2556">
              <w:t>correct methods of starting, stopping, operating and controlling mixing equipment</w:t>
            </w:r>
          </w:p>
          <w:p w:rsidR="00000000" w:rsidRPr="007E2556" w:rsidP="007E2556">
            <w:pPr>
              <w:pStyle w:val="ListBullet"/>
            </w:pPr>
            <w:r w:rsidRPr="007E2556">
              <w:t>typical mixing problems, and their c</w:t>
            </w:r>
            <w:r w:rsidRPr="007E2556">
              <w:t>auses and remedy, within operator's scope of skill level and responsibility</w:t>
            </w:r>
          </w:p>
          <w:p w:rsidR="00000000" w:rsidRPr="007E2556" w:rsidP="007E2556">
            <w:pPr>
              <w:pStyle w:val="ListBullet"/>
            </w:pPr>
            <w:r w:rsidRPr="007E2556">
              <w:t>duty of care</w:t>
            </w:r>
          </w:p>
          <w:p w:rsidR="00000000" w:rsidRPr="007E2556" w:rsidP="007E2556">
            <w:pPr>
              <w:pStyle w:val="ListBullet"/>
            </w:pPr>
            <w:r w:rsidRPr="007E2556">
              <w:t>materials safety data sheets (MSDSs)</w:t>
            </w:r>
          </w:p>
          <w:p w:rsidR="00000000" w:rsidRPr="007E2556" w:rsidP="007E2556">
            <w:pPr>
              <w:pStyle w:val="ListBullet"/>
            </w:pPr>
            <w:r w:rsidRPr="007E2556">
              <w:t>HAZCHEM symbols and codes</w:t>
            </w:r>
          </w:p>
          <w:p w:rsidR="00000000" w:rsidRPr="007E2556" w:rsidP="007E2556">
            <w:pPr>
              <w:pStyle w:val="ListBullet"/>
            </w:pPr>
            <w:r w:rsidRPr="007E2556">
              <w:t>hazardous substances regulations</w:t>
            </w:r>
          </w:p>
          <w:p w:rsidR="00000000" w:rsidRPr="007E2556" w:rsidP="007E2556">
            <w:pPr>
              <w:pStyle w:val="ListBullet"/>
            </w:pPr>
            <w:r w:rsidRPr="007E2556">
              <w:t>spill containment and disposal procedures</w:t>
            </w:r>
          </w:p>
          <w:p w:rsidR="00000000" w:rsidRPr="007E2556" w:rsidP="007E2556">
            <w:pPr>
              <w:pStyle w:val="ListBullet"/>
            </w:pPr>
            <w:r w:rsidRPr="007E2556">
              <w:t>procedures related to this co</w:t>
            </w:r>
            <w:r w:rsidRPr="007E2556">
              <w:t>mpetency</w:t>
            </w:r>
          </w:p>
          <w:p w:rsidR="00000000" w:rsidRPr="007E2556" w:rsidP="007E2556">
            <w:pPr>
              <w:pStyle w:val="ListBullet"/>
            </w:pPr>
            <w:r w:rsidRPr="007E2556">
              <w:t>environmental requirements related to waste disposal</w:t>
            </w:r>
          </w:p>
          <w:p w:rsidR="00000000" w:rsidRPr="007E2556" w:rsidP="007E2556">
            <w:pPr>
              <w:pStyle w:val="ListBullet"/>
            </w:pPr>
            <w:r w:rsidRPr="007E2556">
              <w:t>workplace hazards and methods of controlling hazards.</w:t>
            </w:r>
          </w:p>
          <w:p w:rsidR="00000000" w:rsidRPr="007E2556" w:rsidP="007E2556">
            <w:pPr>
              <w:pStyle w:val="ListBullet"/>
            </w:pPr>
            <w:r w:rsidRPr="007E2556">
              <w:t>hierarchy of control</w:t>
            </w:r>
          </w:p>
          <w:p w:rsidR="00000000" w:rsidRPr="007E2556" w:rsidP="007E2556">
            <w:pPr>
              <w:pStyle w:val="ListBullet"/>
            </w:pPr>
            <w:r w:rsidRPr="007E2556">
              <w:t>communication protocols, eg radio, phone, computer, paper, permissions/authorities</w:t>
            </w:r>
          </w:p>
          <w:p w:rsidR="00000000" w:rsidRPr="007E2556" w:rsidP="007E2556">
            <w:pPr>
              <w:pStyle w:val="ListBullet"/>
            </w:pPr>
            <w:r w:rsidRPr="007E2556">
              <w:t>routine problems, faults and their resolution</w:t>
            </w:r>
          </w:p>
          <w:p w:rsidR="00000000" w:rsidRPr="007E2556" w:rsidP="007E2556">
            <w:pPr>
              <w:pStyle w:val="ListBullet"/>
            </w:pPr>
            <w:r w:rsidRPr="007E2556">
              <w:t>relevant alarms and actions</w:t>
            </w:r>
          </w:p>
          <w:p w:rsidR="00000000" w:rsidRPr="007E2556" w:rsidP="007E2556">
            <w:pPr>
              <w:pStyle w:val="ListBullet"/>
            </w:pPr>
            <w:r w:rsidRPr="007E2556">
              <w:t>plant process idiosyncrasies</w:t>
            </w:r>
          </w:p>
          <w:p w:rsidR="00000000" w:rsidRPr="007E2556" w:rsidP="007E2556">
            <w:pPr>
              <w:pStyle w:val="ListBullet"/>
            </w:pPr>
            <w:r w:rsidRPr="007E2556">
              <w:t>corrective action appropriate to the problem cause</w:t>
            </w:r>
          </w:p>
          <w:p w:rsidR="00000000" w:rsidRPr="007E2556" w:rsidP="007E2556">
            <w:pPr>
              <w:pStyle w:val="ListBullet"/>
            </w:pPr>
            <w:r w:rsidRPr="007E2556">
              <w:t>function and troubleshooting of major components and their problems (such as impellors, seals or beari</w:t>
            </w:r>
            <w:r w:rsidRPr="007E2556">
              <w:t>ngs)</w:t>
            </w:r>
          </w:p>
          <w:p w:rsidR="00000000" w:rsidRPr="007E2556" w:rsidP="007E2556">
            <w:pPr>
              <w:pStyle w:val="ListBullet"/>
            </w:pPr>
            <w:r w:rsidRPr="007E2556">
              <w:t>types and causes of mixing problems within operator's scope of skill level and responsibility.</w:t>
            </w:r>
          </w:p>
        </w:tc>
      </w:tr>
    </w:tbl>
    <w:p w:rsidR="00000000" w:rsidRPr="007E2556" w:rsidP="007E2556">
      <w:pPr>
        <w:pStyle w:val="BodyText"/>
      </w:pPr>
    </w:p>
    <w:p w:rsidR="00000000" w:rsidRPr="007E2556" w:rsidP="007E2556">
      <w:pPr>
        <w:pStyle w:val="AllowPageBreak"/>
      </w:pPr>
    </w:p>
    <w:p w:rsidR="00000000" w:rsidRPr="007E2556" w:rsidP="007E2556">
      <w:pPr>
        <w:pStyle w:val="Heading1"/>
      </w:pPr>
      <w:bookmarkStart w:id="10" w:name="O_106560"/>
      <w:bookmarkEnd w:id="10"/>
      <w:r w:rsidRPr="007E2556">
        <w:t>Evidence Guide</w:t>
      </w:r>
    </w:p>
    <w:tbl>
      <w:tblPr>
        <w:tblW w:w="0" w:type="auto"/>
        <w:tblCellMar>
          <w:left w:w="62" w:type="dxa"/>
          <w:right w:w="62" w:type="dxa"/>
        </w:tblCellMar>
        <w:tblLook w:val="0000"/>
      </w:tblPr>
      <w:tblGrid>
        <w:gridCol w:w="2524"/>
        <w:gridCol w:w="6672"/>
      </w:tblGrid>
      <w:tr w:rsidTr="007F5CA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EVIDENCE GUIDE</w:t>
            </w:r>
          </w:p>
        </w:tc>
      </w:tr>
      <w:tr w:rsidTr="007F5CA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t>The Evidence</w:t>
            </w:r>
            <w:r w:rsidRPr="007E2556">
              <w:t xml:space="preserve"> Guide provides advice on assessment and must be read in conjunction with the Performance Criteria, Required Skills and Knowledge, the Range Statement and the Assessment Guidelines for the Training Package.</w:t>
            </w:r>
          </w:p>
        </w:tc>
      </w:tr>
      <w:tr w:rsidTr="007F5CA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 xml:space="preserve">Assessment of this unit </w:t>
            </w:r>
            <w:r w:rsidRPr="007E2556">
              <w:t>should include demonstrated competence on actual plant and equipment in a work environment.  The unit will be assessed in as holistic a manner as is practical and may be integrated with the assessment of other relevant units of competency.  Assessment will</w:t>
            </w:r>
            <w:r w:rsidRPr="007E2556">
              <w:t xml:space="preserve"> occur over a range of situations which will include disruptions to normal, smooth operation.</w:t>
            </w:r>
          </w:p>
          <w:p w:rsidR="00000000" w:rsidRPr="007E2556" w:rsidP="007E2556">
            <w:pPr>
              <w:pStyle w:val="BodyText"/>
            </w:pPr>
            <w:r w:rsidRPr="007E2556">
              <w:t>Simulation may be required to allow for assessment of parts of this unit.  Simulation should be based on the actual plant and will include walk-throughs of the re</w:t>
            </w:r>
            <w:r w:rsidRPr="007E2556">
              <w:t>levant competency components.  Simulations may also include the use of case studies/scenarios and role plays.</w:t>
            </w:r>
          </w:p>
          <w:p w:rsidR="00000000" w:rsidP="007E2556">
            <w:pPr>
              <w:pStyle w:val="BodyText"/>
              <w:rPr>
                <w:lang w:val="en-NZ"/>
              </w:rPr>
            </w:pPr>
            <w:r w:rsidRPr="007E2556">
              <w:t xml:space="preserve">This unit of competency requires a significant body of knowledge which will be assessed through questioning and the use of what-if scenarios both </w:t>
            </w:r>
            <w:r w:rsidRPr="007E2556">
              <w:t>on the plant (during demonstration of normal operations and walk-throughs of abnormal operations) and off the plant.</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Competence must be demonstrated in the ability to recognise and analyse potential situations requiring action and then in implementing appropriate corrective action.  The emphasis should be on the ability to stay out of trouble rather than on recovery from</w:t>
            </w:r>
            <w:r w:rsidRPr="007E2556">
              <w:t xml:space="preserve"> a disaster.</w:t>
            </w:r>
          </w:p>
          <w:p w:rsidR="00000000" w:rsidRPr="007E2556" w:rsidP="007E2556">
            <w:pPr>
              <w:pStyle w:val="BodyText"/>
            </w:pPr>
            <w:r w:rsidRPr="007E2556">
              <w:t>Consistent performance should be demonstrated.  In particular look to see that:</w:t>
            </w:r>
          </w:p>
          <w:p w:rsidR="00000000" w:rsidRPr="007E2556" w:rsidP="007E2556">
            <w:pPr>
              <w:pStyle w:val="ListBullet"/>
            </w:pPr>
            <w:r w:rsidRPr="007E2556">
              <w:t>early warning signs of equipment/processes needing attention or with potential problems are recognised</w:t>
            </w:r>
          </w:p>
          <w:p w:rsidR="00000000" w:rsidRPr="007E2556" w:rsidP="007E2556">
            <w:pPr>
              <w:pStyle w:val="ListBullet"/>
            </w:pPr>
            <w:r w:rsidRPr="007E2556">
              <w:t>the range of possible causes can be identified and analysed</w:t>
            </w:r>
            <w:r w:rsidRPr="007E2556">
              <w:t xml:space="preserve"> and the most likely cause determined</w:t>
            </w:r>
          </w:p>
          <w:p w:rsidR="00000000" w:rsidRPr="007E2556" w:rsidP="007E2556">
            <w:pPr>
              <w:pStyle w:val="ListBullet"/>
            </w:pPr>
            <w:r w:rsidRPr="007E2556">
              <w:t>appropriate action is taken to ensure a timely return to full performance</w:t>
            </w:r>
          </w:p>
          <w:p w:rsidR="00000000" w:rsidRPr="007E2556" w:rsidP="007E2556">
            <w:pPr>
              <w:pStyle w:val="ListBullet"/>
            </w:pPr>
            <w:r w:rsidRPr="007E2556">
              <w:t>obvious problems in related plant areas are recognised and an appropriate contribution made to their solution.</w:t>
            </w:r>
          </w:p>
          <w:p w:rsidR="00000000" w:rsidP="007E2556">
            <w:pPr>
              <w:pStyle w:val="BodyText"/>
              <w:rPr>
                <w:lang w:val="en-NZ"/>
              </w:rPr>
            </w:pPr>
            <w:r w:rsidRPr="007E2556">
              <w:t>These aspects may be best assesse</w:t>
            </w:r>
            <w:r w:rsidRPr="007E2556">
              <w:t>d using a range of scenarios/case studies/what-ifs as the stimulus with a walk-through forming part of the response.  These assessment activities should include a range of problems, including new, unusual and improbable situations which may have been gener</w:t>
            </w:r>
            <w:r w:rsidRPr="007E2556">
              <w:t>ated from the past incident history of the plant, incidents on similar plants around the world, hazard analysis activities and similar sources.</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t>Assessment will require access to an operating plant</w:t>
            </w:r>
            <w:r w:rsidRPr="007E2556">
              <w:t xml:space="preserve"> over an extended period of time, or a suitable method of gathering evidence of operating ability over a range of situations.  A bank of scenarios/case studies/what-ifs will be required as will a bank of questions which will be used to probe the reasoning </w:t>
            </w:r>
            <w:r w:rsidRPr="007E2556">
              <w:t>behind the observable actions.</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In all plants it may be appropriate to assess this unit concurrently with relevant teamwork and communication units.  Consider co-assessment with units about:</w:t>
            </w:r>
          </w:p>
          <w:p w:rsidR="00000000" w:rsidRPr="007E2556" w:rsidP="007E2556">
            <w:pPr>
              <w:pStyle w:val="ListBullet"/>
            </w:pPr>
            <w:r w:rsidRPr="007E2556">
              <w:t>measurements</w:t>
            </w:r>
          </w:p>
          <w:p w:rsidR="00000000" w:rsidRPr="007E2556" w:rsidP="007E2556">
            <w:pPr>
              <w:pStyle w:val="ListBullet"/>
            </w:pPr>
            <w:r w:rsidRPr="007E2556">
              <w:t>housekeeping</w:t>
            </w:r>
          </w:p>
          <w:p w:rsidR="00000000" w:rsidRPr="007E2556" w:rsidP="007E2556">
            <w:pPr>
              <w:pStyle w:val="ListBullet"/>
            </w:pPr>
            <w:r w:rsidRPr="007E2556">
              <w:t>communication.</w:t>
            </w:r>
          </w:p>
          <w:p w:rsidR="00000000" w:rsidRPr="007E2556" w:rsidP="007E2556">
            <w:pPr>
              <w:pStyle w:val="BodyText"/>
            </w:pPr>
            <w:r w:rsidRPr="007E2556">
              <w:t>In</w:t>
            </w:r>
            <w:r w:rsidRPr="007E2556">
              <w:t xml:space="preserve"> a major hazard facility, it may be appropriate to assess this unit concurrently with:</w:t>
            </w:r>
          </w:p>
          <w:p w:rsidR="00000000" w:rsidP="007E2556">
            <w:pPr>
              <w:pStyle w:val="ListBullet"/>
              <w:rPr>
                <w:lang w:val="en-NZ"/>
              </w:rPr>
            </w:pPr>
            <w:r w:rsidRPr="007E2556">
              <w:rPr>
                <w:rStyle w:val="Emphasis"/>
              </w:rPr>
              <w:t>MSAPMOHS200A Work safely</w:t>
            </w:r>
            <w:r w:rsidRPr="007E2556">
              <w:t>.</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Assessment processes and techniques must be culturally appropriate and appropriate to the communication ability, language and literacy capacity of the assessee and the work being performed.</w:t>
            </w:r>
          </w:p>
        </w:tc>
      </w:tr>
    </w:tbl>
    <w:p w:rsidR="00000000" w:rsidRPr="007E2556" w:rsidP="007E2556">
      <w:pPr>
        <w:pStyle w:val="BodyText"/>
      </w:pPr>
    </w:p>
    <w:p w:rsidR="00000000" w:rsidRPr="007E2556" w:rsidP="007E2556">
      <w:pPr>
        <w:pStyle w:val="AllowPageBreak"/>
      </w:pPr>
    </w:p>
    <w:p w:rsidR="00000000" w:rsidRPr="007E2556" w:rsidP="007E2556">
      <w:pPr>
        <w:pStyle w:val="Heading1"/>
      </w:pPr>
      <w:bookmarkStart w:id="11" w:name="O_106561"/>
      <w:bookmarkEnd w:id="11"/>
      <w:r w:rsidRPr="007E2556">
        <w:t>Range Statement</w:t>
      </w:r>
    </w:p>
    <w:tbl>
      <w:tblPr>
        <w:tblW w:w="0" w:type="auto"/>
        <w:tblCellMar>
          <w:left w:w="62" w:type="dxa"/>
          <w:right w:w="62" w:type="dxa"/>
        </w:tblCellMar>
        <w:tblLook w:val="0000"/>
      </w:tblPr>
      <w:tblGrid>
        <w:gridCol w:w="2510"/>
        <w:gridCol w:w="6686"/>
      </w:tblGrid>
      <w:tr w:rsidTr="007F5CA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RANGE STATEMENT</w:t>
            </w:r>
          </w:p>
        </w:tc>
      </w:tr>
      <w:tr w:rsidTr="007F5CA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t>The Range Statement relates to the unit of competency as a whole. It allows for different work environments and situations that may affect performance. Bold italicised wording, if used in the Performance Criteria, is detailed below. Add any essential opera</w:t>
            </w:r>
            <w:r w:rsidRPr="007E2556">
              <w:t>ting conditions that may be present with training and assessment depending on the work situation, needs if the candidate, accessibility of the item, and local industry and regional contexts.</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Codes of practice</w:t>
            </w:r>
            <w:r w:rsidRPr="007E2556">
              <w:t xml:space="preserve">/ </w:t>
            </w:r>
            <w:r w:rsidRPr="007E255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t>Where reference is made to industr</w:t>
            </w:r>
            <w:r w:rsidRPr="007E2556">
              <w:t>y codes of practice, and/or Australian/international standards, the latest version must be used.</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t xml:space="preserve">Fluid mixing processes can vary from continuous mixing processes as typically found in oil plants to batch mixing as commonly used in chemical </w:t>
            </w:r>
            <w:r w:rsidRPr="007E2556">
              <w:t>plants and paint manufacture.  It covers the mixing of two or more materials to make a product.</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This competency includes items of equipment such as:</w:t>
            </w:r>
          </w:p>
          <w:p w:rsidR="00000000" w:rsidRPr="007E2556" w:rsidP="007E2556">
            <w:pPr>
              <w:pStyle w:val="ListBullet"/>
            </w:pPr>
            <w:r w:rsidRPr="007E2556">
              <w:t>mixers for low, medium and high viscosity fluids</w:t>
            </w:r>
          </w:p>
          <w:p w:rsidR="00000000" w:rsidRPr="007E2556" w:rsidP="007E2556">
            <w:pPr>
              <w:pStyle w:val="ListBullet"/>
            </w:pPr>
            <w:r w:rsidRPr="007E2556">
              <w:t>jet mixing</w:t>
            </w:r>
          </w:p>
          <w:p w:rsidR="00000000" w:rsidRPr="007E2556" w:rsidP="007E2556">
            <w:pPr>
              <w:pStyle w:val="ListBullet"/>
            </w:pPr>
            <w:r w:rsidRPr="007E2556">
              <w:t>top and side entry mixers</w:t>
            </w:r>
          </w:p>
          <w:p w:rsidR="00000000" w:rsidP="007E2556">
            <w:pPr>
              <w:pStyle w:val="ListBullet"/>
              <w:rPr>
                <w:lang w:val="en-NZ"/>
              </w:rPr>
            </w:pPr>
            <w:r w:rsidRPr="007E2556">
              <w:t>propeller</w:t>
            </w:r>
            <w:r w:rsidRPr="007E2556">
              <w:t>, and pitched and square bladed turbine impellers.</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Typical problems include incorrect:</w:t>
            </w:r>
          </w:p>
          <w:p w:rsidR="00000000" w:rsidRPr="007E2556" w:rsidP="007E2556">
            <w:pPr>
              <w:pStyle w:val="ListBullet"/>
            </w:pPr>
            <w:r w:rsidRPr="007E2556">
              <w:t>mixing time</w:t>
            </w:r>
          </w:p>
          <w:p w:rsidR="00000000" w:rsidRPr="007E2556" w:rsidP="007E2556">
            <w:pPr>
              <w:pStyle w:val="ListBullet"/>
            </w:pPr>
            <w:r w:rsidRPr="007E2556">
              <w:t xml:space="preserve">power consumption </w:t>
            </w:r>
          </w:p>
          <w:p w:rsidR="00000000" w:rsidRPr="007E2556" w:rsidP="007E2556">
            <w:pPr>
              <w:pStyle w:val="ListBullet"/>
            </w:pPr>
            <w:r w:rsidRPr="007E2556">
              <w:t>uniformity</w:t>
            </w:r>
          </w:p>
          <w:p w:rsidR="00000000" w:rsidRPr="007E2556" w:rsidP="007E2556">
            <w:pPr>
              <w:pStyle w:val="ListBullet"/>
            </w:pPr>
            <w:r w:rsidRPr="007E2556">
              <w:t>vortexing</w:t>
            </w:r>
          </w:p>
          <w:p w:rsidR="00000000" w:rsidP="007E2556">
            <w:pPr>
              <w:pStyle w:val="ListBullet"/>
              <w:rPr>
                <w:lang w:val="en-NZ"/>
              </w:rPr>
            </w:pPr>
            <w:r w:rsidRPr="007E2556">
              <w:t>aeration.</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Remedial actions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Remedial actions include changing:</w:t>
            </w:r>
          </w:p>
          <w:p w:rsidR="00000000" w:rsidRPr="007E2556" w:rsidP="007E2556">
            <w:pPr>
              <w:pStyle w:val="ListBullet"/>
            </w:pPr>
            <w:r w:rsidRPr="007E2556">
              <w:t>position and angle of baffles where appropriate</w:t>
            </w:r>
          </w:p>
          <w:p w:rsidR="00000000" w:rsidRPr="007E2556" w:rsidP="007E2556">
            <w:pPr>
              <w:pStyle w:val="ListBullet"/>
            </w:pPr>
            <w:r w:rsidRPr="007E2556">
              <w:t>impellor (angle, size, shape or speed)</w:t>
            </w:r>
          </w:p>
          <w:p w:rsidR="00000000" w:rsidP="007E2556">
            <w:pPr>
              <w:pStyle w:val="ListBullet"/>
              <w:rPr>
                <w:lang w:val="en-NZ"/>
              </w:rPr>
            </w:pPr>
            <w:r w:rsidRPr="007E2556">
              <w:t>feed rate of fluids.</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Mixing conditions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Mixing conditions may be adjusted by:</w:t>
            </w:r>
          </w:p>
          <w:p w:rsidR="00000000" w:rsidRPr="007E2556" w:rsidP="007E2556">
            <w:pPr>
              <w:pStyle w:val="ListBullet"/>
            </w:pPr>
            <w:r w:rsidRPr="007E2556">
              <w:t>baffles</w:t>
            </w:r>
          </w:p>
          <w:p w:rsidR="00000000" w:rsidRPr="007E2556" w:rsidP="007E2556">
            <w:pPr>
              <w:pStyle w:val="ListBullet"/>
            </w:pPr>
            <w:r w:rsidRPr="007E2556">
              <w:t>mixer speed</w:t>
            </w:r>
          </w:p>
          <w:p w:rsidR="00000000" w:rsidRPr="007E2556" w:rsidP="007E2556">
            <w:pPr>
              <w:pStyle w:val="ListBullet"/>
            </w:pPr>
            <w:r w:rsidRPr="007E2556">
              <w:t>mixing duration</w:t>
            </w:r>
          </w:p>
          <w:p w:rsidR="00000000" w:rsidP="007E2556">
            <w:pPr>
              <w:pStyle w:val="ListBullet"/>
              <w:rPr>
                <w:lang w:val="en-NZ"/>
              </w:rPr>
            </w:pPr>
            <w:r w:rsidRPr="007E2556">
              <w:t>other means</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Start up shut down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Start up shut down as required includes:</w:t>
            </w:r>
          </w:p>
          <w:p w:rsidR="00000000" w:rsidRPr="007E2556" w:rsidP="007E2556">
            <w:pPr>
              <w:pStyle w:val="ListBullet"/>
            </w:pPr>
            <w:r w:rsidRPr="007E2556">
              <w:t>start up and shut down to/from normal operating conditions</w:t>
            </w:r>
          </w:p>
          <w:p w:rsidR="00000000" w:rsidRPr="007E2556" w:rsidP="007E2556">
            <w:pPr>
              <w:pStyle w:val="ListBullet"/>
            </w:pPr>
            <w:r w:rsidRPr="007E2556">
              <w:t>start up and shut down to/from isolated, cold, empty</w:t>
            </w:r>
          </w:p>
          <w:p w:rsidR="00000000" w:rsidRPr="007E2556" w:rsidP="007E2556">
            <w:pPr>
              <w:pStyle w:val="ListBullet"/>
            </w:pPr>
            <w:r w:rsidRPr="007E2556">
              <w:t>all other conditions experienced on the plant.</w:t>
            </w:r>
          </w:p>
          <w:p w:rsidR="00000000" w:rsidP="007E2556">
            <w:pPr>
              <w:pStyle w:val="BodyText"/>
              <w:rPr>
                <w:lang w:val="en-NZ"/>
              </w:rPr>
            </w:pPr>
            <w:r w:rsidRPr="007E2556">
              <w:t>ie from any condition to any condition experienced on t</w:t>
            </w:r>
            <w:r w:rsidRPr="007E2556">
              <w:t>he plant.</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Appropriate action includes:</w:t>
            </w:r>
          </w:p>
          <w:p w:rsidR="00000000" w:rsidRPr="007E2556" w:rsidP="007E2556">
            <w:pPr>
              <w:pStyle w:val="ListBullet"/>
            </w:pPr>
            <w:r w:rsidRPr="007E2556">
              <w:t>determining problems needing action</w:t>
            </w:r>
          </w:p>
          <w:p w:rsidR="00000000" w:rsidRPr="007E2556" w:rsidP="007E2556">
            <w:pPr>
              <w:pStyle w:val="ListBullet"/>
            </w:pPr>
            <w:r w:rsidRPr="007E2556">
              <w:t>determining possible fault causes</w:t>
            </w:r>
          </w:p>
          <w:p w:rsidR="00000000" w:rsidRPr="007E2556" w:rsidP="007E2556">
            <w:pPr>
              <w:pStyle w:val="ListBullet"/>
            </w:pPr>
            <w:r w:rsidRPr="007E2556">
              <w:t>rectifying problem using appropriate solution within area of responsibility</w:t>
            </w:r>
          </w:p>
          <w:p w:rsidR="00000000" w:rsidRPr="007E2556" w:rsidP="007E2556">
            <w:pPr>
              <w:pStyle w:val="ListBullet"/>
            </w:pPr>
            <w:r w:rsidRPr="007E2556">
              <w:t>following through items initiated until final reso</w:t>
            </w:r>
            <w:r w:rsidRPr="007E2556">
              <w:t>lution has occurred</w:t>
            </w:r>
          </w:p>
          <w:p w:rsidR="00000000" w:rsidP="007E2556">
            <w:pPr>
              <w:pStyle w:val="ListBullet"/>
              <w:rPr>
                <w:lang w:val="en-NZ"/>
              </w:rPr>
            </w:pPr>
            <w:r w:rsidRPr="007E2556">
              <w:t>reporting problems outside area of responsibility to designated person.</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Procedures may be written, verbal, computer-based or in some other form.  They include:</w:t>
            </w:r>
          </w:p>
          <w:p w:rsidR="00000000" w:rsidRPr="007E2556" w:rsidP="007E2556">
            <w:pPr>
              <w:pStyle w:val="ListBullet"/>
            </w:pPr>
            <w:r w:rsidRPr="007E2556">
              <w:t>all work instructions</w:t>
            </w:r>
          </w:p>
          <w:p w:rsidR="00000000" w:rsidRPr="007E2556" w:rsidP="007E2556">
            <w:pPr>
              <w:pStyle w:val="ListBullet"/>
            </w:pPr>
            <w:r w:rsidRPr="007E2556">
              <w:t xml:space="preserve">standard operating procedures </w:t>
            </w:r>
          </w:p>
          <w:p w:rsidR="00000000" w:rsidRPr="007E2556" w:rsidP="007E2556">
            <w:pPr>
              <w:pStyle w:val="ListBullet"/>
            </w:pPr>
            <w:r w:rsidRPr="007E2556">
              <w:t xml:space="preserve">formulas/recipes </w:t>
            </w:r>
          </w:p>
          <w:p w:rsidR="00000000" w:rsidRPr="007E2556" w:rsidP="007E2556">
            <w:pPr>
              <w:pStyle w:val="ListBullet"/>
            </w:pPr>
            <w:r w:rsidRPr="007E2556">
              <w:t xml:space="preserve">batch sheets </w:t>
            </w:r>
          </w:p>
          <w:p w:rsidR="00000000" w:rsidRPr="007E2556" w:rsidP="007E2556">
            <w:pPr>
              <w:pStyle w:val="ListBullet"/>
            </w:pPr>
            <w:r w:rsidRPr="007E2556">
              <w:t xml:space="preserve">temporary instructions </w:t>
            </w:r>
          </w:p>
          <w:p w:rsidR="00000000" w:rsidRPr="007E2556" w:rsidP="007E2556">
            <w:pPr>
              <w:pStyle w:val="ListBullet"/>
            </w:pPr>
            <w:r w:rsidRPr="007E2556">
              <w:t>any similar instructions provided for the smooth running of the plant.</w:t>
            </w:r>
          </w:p>
          <w:p w:rsidR="00000000" w:rsidP="007E2556">
            <w:pPr>
              <w:pStyle w:val="BodyText"/>
              <w:rPr>
                <w:lang w:val="en-NZ"/>
              </w:rPr>
            </w:pPr>
            <w:r w:rsidRPr="007E2556">
              <w:t>For the purposes of this Training Package, 'procedures' also includes good operating practice as may be defined by industry codes</w:t>
            </w:r>
            <w:r w:rsidRPr="007E2556">
              <w:t xml:space="preserve"> of practice (eg Responsible Care) and government regulations.</w:t>
            </w:r>
          </w:p>
        </w:tc>
      </w:tr>
      <w:tr w:rsidTr="007F5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Health</w:t>
            </w:r>
            <w:r w:rsidRPr="007E2556">
              <w:t xml:space="preserve">, </w:t>
            </w:r>
            <w:r w:rsidRPr="007E2556">
              <w:rPr>
                <w:rStyle w:val="SpecialBold"/>
              </w:rPr>
              <w:t>safety and environment</w:t>
            </w:r>
            <w:r w:rsidRPr="007E2556">
              <w:t xml:space="preserve"> (</w:t>
            </w:r>
            <w:r w:rsidRPr="007E2556">
              <w:rPr>
                <w:rStyle w:val="SpecialBold"/>
              </w:rPr>
              <w:t>HSE</w:t>
            </w:r>
            <w:r w:rsidRPr="007E255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All operations to which this unit applies are subject to stringent health, safety and environment requirements, which may be imposed through State or Feder</w:t>
            </w:r>
            <w:r w:rsidRPr="007E2556">
              <w:t>al legislation, and these must not be compromised at any time.  Where there is an apparent conflict between Performance Criteria and HSE requirements, the HSE requirements take precedence.</w:t>
            </w:r>
          </w:p>
        </w:tc>
      </w:tr>
    </w:tbl>
    <w:p w:rsidR="007F5CAE" w:rsidP="007E2556">
      <w:pPr>
        <w:pStyle w:val="BodyText"/>
      </w:pPr>
    </w:p>
    <w:p w:rsidR="007F5CAE" w:rsidP="007E2556">
      <w:pPr>
        <w:pStyle w:val="BodyText"/>
      </w:pPr>
    </w:p>
    <w:p w:rsidR="00000000" w:rsidRPr="007E2556" w:rsidP="007E2556">
      <w:pPr>
        <w:pStyle w:val="Heading1"/>
      </w:pPr>
      <w:bookmarkStart w:id="12" w:name="O_106562"/>
      <w:bookmarkEnd w:id="12"/>
      <w:r w:rsidRPr="007E2556">
        <w:t>Unit Sector(s)</w:t>
      </w:r>
    </w:p>
    <w:tbl>
      <w:tblPr>
        <w:tblW w:w="0" w:type="auto"/>
        <w:tblCellMar>
          <w:left w:w="62" w:type="dxa"/>
          <w:right w:w="62" w:type="dxa"/>
        </w:tblCellMar>
        <w:tblLook w:val="0000"/>
      </w:tblPr>
      <w:tblGrid>
        <w:gridCol w:w="2140"/>
        <w:gridCol w:w="7056"/>
      </w:tblGrid>
      <w:tr w:rsidTr="007F5CA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r w:rsidRPr="007E2556">
              <w:t>Operational/technical</w:t>
            </w:r>
          </w:p>
        </w:tc>
      </w:tr>
    </w:tbl>
    <w:p w:rsidR="00000000" w:rsidRPr="007E2556" w:rsidP="007E2556">
      <w:pPr>
        <w:pStyle w:val="BodyText"/>
      </w:pPr>
    </w:p>
    <w:p w:rsidR="00000000" w:rsidRPr="007E2556" w:rsidP="007E2556">
      <w:pPr>
        <w:pStyle w:val="AllowPageBreak"/>
      </w:pPr>
    </w:p>
    <w:p w:rsidR="00000000" w:rsidRPr="007E2556" w:rsidP="007E2556">
      <w:pPr>
        <w:pStyle w:val="Heading1"/>
      </w:pPr>
      <w:bookmarkStart w:id="13" w:name="O_159881"/>
      <w:bookmarkEnd w:id="13"/>
      <w:r w:rsidRPr="007E2556">
        <w:t>Competency field</w:t>
      </w:r>
    </w:p>
    <w:tbl>
      <w:tblPr>
        <w:tblW w:w="0" w:type="auto"/>
        <w:tblCellMar>
          <w:left w:w="62" w:type="dxa"/>
          <w:right w:w="62" w:type="dxa"/>
        </w:tblCellMar>
        <w:tblLook w:val="0000"/>
      </w:tblPr>
      <w:tblGrid>
        <w:gridCol w:w="2140"/>
        <w:gridCol w:w="7056"/>
      </w:tblGrid>
      <w:tr w:rsidTr="007F5CA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p>
        </w:tc>
      </w:tr>
    </w:tbl>
    <w:p w:rsidR="00000000" w:rsidRPr="007E2556" w:rsidP="007E2556">
      <w:pPr>
        <w:pStyle w:val="BodyText"/>
      </w:pPr>
    </w:p>
    <w:p w:rsidR="00000000" w:rsidRPr="007E2556" w:rsidP="007E2556">
      <w:pPr>
        <w:pStyle w:val="AllowPageBreak"/>
      </w:pPr>
    </w:p>
    <w:p w:rsidR="00000000" w:rsidRPr="007E2556" w:rsidP="007E2556">
      <w:pPr>
        <w:pStyle w:val="Heading1"/>
      </w:pPr>
      <w:bookmarkStart w:id="14" w:name="O_159880"/>
      <w:bookmarkEnd w:id="14"/>
      <w:r w:rsidRPr="007E2556">
        <w:t>Co-requisite units</w:t>
      </w:r>
    </w:p>
    <w:tbl>
      <w:tblPr>
        <w:tblW w:w="0" w:type="auto"/>
        <w:tblCellMar>
          <w:left w:w="62" w:type="dxa"/>
          <w:right w:w="62" w:type="dxa"/>
        </w:tblCellMar>
        <w:tblLook w:val="0000"/>
      </w:tblPr>
      <w:tblGrid>
        <w:gridCol w:w="2140"/>
        <w:gridCol w:w="3528"/>
        <w:gridCol w:w="3528"/>
      </w:tblGrid>
      <w:tr w:rsidTr="007F5CA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56">
            <w:pPr>
              <w:pStyle w:val="BodyText"/>
              <w:rPr>
                <w:lang w:val="en-NZ"/>
              </w:rPr>
            </w:pPr>
            <w:r w:rsidRPr="007E255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56" w:rsidP="007E2556">
            <w:pPr>
              <w:pStyle w:val="BodyText"/>
            </w:pPr>
          </w:p>
        </w:tc>
      </w:tr>
    </w:tbl>
    <w:p w:rsidR="00000000" w:rsidRPr="007E2556" w:rsidP="007E2556">
      <w:pPr>
        <w:pStyle w:val="BodyText"/>
      </w:pPr>
    </w:p>
    <w:p w:rsidR="00000000" w:rsidRPr="007E2556" w:rsidP="007E2556"/>
    <w:sectPr w:rsidSect="007E25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5CAE" w:rsidP="007F5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AE" w:rsidP="007E2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5CAE" w:rsidP="007E25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F5CAE" w:rsidP="007E25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5CAE" w:rsidP="007F5CA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AE" w:rsidP="007E2556">
    <w:pPr>
      <w:pStyle w:val="Header"/>
      <w:framePr w:wrap="around"/>
    </w:pPr>
    <w:r>
      <w:fldChar w:fldCharType="begin"/>
    </w:r>
    <w:r>
      <w:instrText xml:space="preserve"> TITLE   \* MERGEFORMAT </w:instrText>
    </w:r>
    <w:r>
      <w:fldChar w:fldCharType="separate"/>
    </w:r>
    <w:r>
      <w:t>PMAOPS202B Operate fluid mixing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5CAE" w:rsidP="007E25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B6DB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94C1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5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2556"/>
    <w:pPr>
      <w:spacing w:before="360" w:after="60"/>
      <w:outlineLvl w:val="0"/>
    </w:pPr>
    <w:rPr>
      <w:sz w:val="32"/>
    </w:rPr>
  </w:style>
  <w:style w:type="paragraph" w:styleId="Heading2">
    <w:name w:val="heading 2"/>
    <w:basedOn w:val="HeadingBase"/>
    <w:next w:val="BodyText"/>
    <w:link w:val="Heading2Char"/>
    <w:qFormat/>
    <w:rsid w:val="007E2556"/>
    <w:pPr>
      <w:keepLines/>
      <w:spacing w:before="240" w:after="120"/>
      <w:outlineLvl w:val="1"/>
    </w:pPr>
    <w:rPr>
      <w:sz w:val="28"/>
      <w:szCs w:val="40"/>
    </w:rPr>
  </w:style>
  <w:style w:type="paragraph" w:styleId="Heading3">
    <w:name w:val="heading 3"/>
    <w:basedOn w:val="HeadingBase"/>
    <w:next w:val="BodyText"/>
    <w:link w:val="Heading3Char"/>
    <w:qFormat/>
    <w:rsid w:val="007E2556"/>
    <w:pPr>
      <w:spacing w:before="180" w:after="120"/>
      <w:outlineLvl w:val="2"/>
    </w:pPr>
    <w:rPr>
      <w:spacing w:val="-10"/>
      <w:kern w:val="32"/>
    </w:rPr>
  </w:style>
  <w:style w:type="paragraph" w:styleId="Heading4">
    <w:name w:val="heading 4"/>
    <w:basedOn w:val="HeadingBase"/>
    <w:next w:val="BodyText"/>
    <w:link w:val="Heading4Char"/>
    <w:qFormat/>
    <w:rsid w:val="007E2556"/>
    <w:pPr>
      <w:spacing w:before="160" w:after="120"/>
      <w:outlineLvl w:val="3"/>
    </w:pPr>
    <w:rPr>
      <w:sz w:val="22"/>
    </w:rPr>
  </w:style>
  <w:style w:type="paragraph" w:styleId="Heading5">
    <w:name w:val="heading 5"/>
    <w:basedOn w:val="HeadingBase"/>
    <w:next w:val="Normal"/>
    <w:link w:val="Heading5Char"/>
    <w:qFormat/>
    <w:rsid w:val="007E2556"/>
    <w:pPr>
      <w:spacing w:before="80"/>
      <w:outlineLvl w:val="4"/>
    </w:pPr>
    <w:rPr>
      <w:color w:val="918585"/>
      <w:sz w:val="20"/>
    </w:rPr>
  </w:style>
  <w:style w:type="paragraph" w:styleId="Heading6">
    <w:name w:val="heading 6"/>
    <w:basedOn w:val="HeadingBase"/>
    <w:next w:val="Normal"/>
    <w:link w:val="Heading6Char"/>
    <w:qFormat/>
    <w:rsid w:val="007E2556"/>
    <w:pPr>
      <w:spacing w:before="60"/>
      <w:outlineLvl w:val="5"/>
    </w:pPr>
    <w:rPr>
      <w:color w:val="918585"/>
      <w:sz w:val="20"/>
    </w:rPr>
  </w:style>
  <w:style w:type="paragraph" w:styleId="Heading7">
    <w:name w:val="heading 7"/>
    <w:basedOn w:val="Normal"/>
    <w:next w:val="Normal"/>
    <w:link w:val="Heading7Char"/>
    <w:qFormat/>
    <w:rsid w:val="007E2556"/>
    <w:pPr>
      <w:ind w:left="720"/>
      <w:outlineLvl w:val="6"/>
    </w:pPr>
    <w:rPr>
      <w:i/>
    </w:rPr>
  </w:style>
  <w:style w:type="paragraph" w:styleId="Heading8">
    <w:name w:val="heading 8"/>
    <w:basedOn w:val="Normal"/>
    <w:next w:val="Normal"/>
    <w:link w:val="Heading8Char"/>
    <w:qFormat/>
    <w:rsid w:val="007E2556"/>
    <w:pPr>
      <w:ind w:left="720"/>
      <w:outlineLvl w:val="7"/>
    </w:pPr>
    <w:rPr>
      <w:i/>
    </w:rPr>
  </w:style>
  <w:style w:type="paragraph" w:styleId="Heading9">
    <w:name w:val="heading 9"/>
    <w:basedOn w:val="Normal"/>
    <w:next w:val="Normal"/>
    <w:link w:val="Heading9Char"/>
    <w:qFormat/>
    <w:rsid w:val="007E2556"/>
    <w:pPr>
      <w:ind w:left="720"/>
      <w:outlineLvl w:val="8"/>
    </w:pPr>
    <w:rPr>
      <w:i/>
    </w:rPr>
  </w:style>
  <w:style w:type="character" w:default="1" w:styleId="DefaultParagraphFont">
    <w:name w:val="Default Paragraph Font"/>
    <w:uiPriority w:val="1"/>
    <w:unhideWhenUsed/>
    <w:rsid w:val="007E2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556"/>
  </w:style>
  <w:style w:type="character" w:customStyle="1" w:styleId="Heading1Char">
    <w:name w:val="Heading 1 Char"/>
    <w:link w:val="Heading1"/>
    <w:rsid w:val="007E2556"/>
    <w:rPr>
      <w:rFonts w:ascii="Times New Roman" w:eastAsia="Times New Roman" w:hAnsi="Times New Roman" w:cs="Times New Roman"/>
      <w:b/>
      <w:sz w:val="32"/>
      <w:szCs w:val="20"/>
      <w:lang w:eastAsia="en-US"/>
    </w:rPr>
  </w:style>
  <w:style w:type="paragraph" w:styleId="BodyText">
    <w:name w:val="Body Text"/>
    <w:basedOn w:val="Normal"/>
    <w:link w:val="BodyTextChar"/>
    <w:rsid w:val="007E2556"/>
    <w:pPr>
      <w:spacing w:before="120" w:after="120"/>
      <w:contextualSpacing/>
    </w:pPr>
    <w:rPr>
      <w:rFonts w:ascii="Times New Roman" w:hAnsi="Times New Roman"/>
      <w:sz w:val="24"/>
      <w:szCs w:val="22"/>
    </w:rPr>
  </w:style>
  <w:style w:type="character" w:customStyle="1" w:styleId="BodyTextChar">
    <w:name w:val="Body Text Char"/>
    <w:link w:val="BodyText"/>
    <w:rsid w:val="007E2556"/>
    <w:rPr>
      <w:rFonts w:ascii="Times New Roman" w:eastAsia="Times New Roman" w:hAnsi="Times New Roman" w:cs="Times New Roman"/>
      <w:sz w:val="24"/>
      <w:lang w:val="en-US" w:eastAsia="en-US"/>
    </w:rPr>
  </w:style>
  <w:style w:type="paragraph" w:styleId="Footer">
    <w:name w:val="footer"/>
    <w:basedOn w:val="Normal"/>
    <w:link w:val="FooterChar"/>
    <w:rsid w:val="007E2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2556"/>
    <w:rPr>
      <w:rFonts w:ascii="Times New Roman" w:eastAsia="Times New Roman" w:hAnsi="Times New Roman" w:cs="Times New Roman"/>
      <w:sz w:val="16"/>
      <w:lang w:val="en-US" w:eastAsia="en-US"/>
    </w:rPr>
  </w:style>
  <w:style w:type="paragraph" w:styleId="List">
    <w:name w:val="List"/>
    <w:basedOn w:val="BodyText"/>
    <w:next w:val="BodyText"/>
    <w:rsid w:val="007E2556"/>
    <w:pPr>
      <w:tabs>
        <w:tab w:val="left" w:pos="340"/>
      </w:tabs>
      <w:spacing w:before="60" w:after="60"/>
      <w:ind w:left="340" w:hanging="340"/>
    </w:pPr>
  </w:style>
  <w:style w:type="paragraph" w:styleId="ListBullet">
    <w:name w:val="List Bullet"/>
    <w:basedOn w:val="List"/>
    <w:rsid w:val="007E2556"/>
    <w:pPr>
      <w:numPr>
        <w:numId w:val="12"/>
      </w:numPr>
      <w:tabs>
        <w:tab w:val="clear" w:pos="340"/>
      </w:tabs>
      <w:spacing w:before="40" w:after="40"/>
    </w:pPr>
  </w:style>
  <w:style w:type="character" w:customStyle="1" w:styleId="SpecialBold">
    <w:name w:val="Special Bold"/>
    <w:rsid w:val="007E2556"/>
    <w:rPr>
      <w:b/>
      <w:spacing w:val="0"/>
    </w:rPr>
  </w:style>
  <w:style w:type="paragraph" w:styleId="Header">
    <w:name w:val="header"/>
    <w:basedOn w:val="Normal"/>
    <w:link w:val="HeaderChar"/>
    <w:rsid w:val="007E2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2556"/>
    <w:rPr>
      <w:rFonts w:ascii="Times New Roman" w:eastAsia="Times New Roman" w:hAnsi="Times New Roman" w:cs="Times New Roman"/>
      <w:sz w:val="16"/>
      <w:szCs w:val="20"/>
      <w:lang w:val="en-GB" w:eastAsia="en-US"/>
    </w:rPr>
  </w:style>
  <w:style w:type="character" w:styleId="Emphasis">
    <w:name w:val="Emphasis"/>
    <w:qFormat/>
    <w:rsid w:val="007E2556"/>
    <w:rPr>
      <w:i/>
    </w:rPr>
  </w:style>
  <w:style w:type="paragraph" w:customStyle="1" w:styleId="SuperHeading">
    <w:name w:val="SuperHeading"/>
    <w:basedOn w:val="Normal"/>
    <w:rsid w:val="007E2556"/>
    <w:pPr>
      <w:spacing w:before="240" w:after="120"/>
      <w:outlineLvl w:val="0"/>
    </w:pPr>
    <w:rPr>
      <w:rFonts w:ascii="Times New Roman" w:hAnsi="Times New Roman"/>
      <w:b/>
      <w:sz w:val="28"/>
    </w:rPr>
  </w:style>
  <w:style w:type="paragraph" w:customStyle="1" w:styleId="AllowPageBreak">
    <w:name w:val="AllowPageBreak"/>
    <w:rsid w:val="007E25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2556"/>
    <w:pPr>
      <w:tabs>
        <w:tab w:val="left" w:pos="680"/>
      </w:tabs>
      <w:spacing w:before="60" w:after="60"/>
      <w:ind w:left="680" w:hanging="340"/>
    </w:pPr>
  </w:style>
  <w:style w:type="character" w:customStyle="1" w:styleId="Heading2Char">
    <w:name w:val="Heading 2 Char"/>
    <w:link w:val="Heading2"/>
    <w:rsid w:val="007E2556"/>
    <w:rPr>
      <w:rFonts w:ascii="Times New Roman" w:eastAsia="Times New Roman" w:hAnsi="Times New Roman" w:cs="Times New Roman"/>
      <w:b/>
      <w:sz w:val="28"/>
      <w:szCs w:val="40"/>
      <w:lang w:eastAsia="en-US"/>
    </w:rPr>
  </w:style>
  <w:style w:type="character" w:customStyle="1" w:styleId="Heading3Char">
    <w:name w:val="Heading 3 Char"/>
    <w:link w:val="Heading3"/>
    <w:rsid w:val="007E255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2556"/>
    <w:rPr>
      <w:rFonts w:ascii="Times New Roman" w:eastAsia="Times New Roman" w:hAnsi="Times New Roman" w:cs="Times New Roman"/>
      <w:b/>
      <w:szCs w:val="20"/>
      <w:lang w:eastAsia="en-US"/>
    </w:rPr>
  </w:style>
  <w:style w:type="character" w:customStyle="1" w:styleId="Heading5Char">
    <w:name w:val="Heading 5 Char"/>
    <w:link w:val="Heading5"/>
    <w:rsid w:val="007E255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2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5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25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2556"/>
    <w:rPr>
      <w:rFonts w:ascii="Courier New" w:eastAsia="Times New Roman" w:hAnsi="Courier New" w:cs="Times New Roman"/>
      <w:i/>
      <w:szCs w:val="20"/>
      <w:lang w:val="en-US" w:eastAsia="en-US"/>
    </w:rPr>
  </w:style>
  <w:style w:type="paragraph" w:customStyle="1" w:styleId="HeadingBase">
    <w:name w:val="Heading Base"/>
    <w:rsid w:val="007E2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556"/>
    <w:pPr>
      <w:tabs>
        <w:tab w:val="right" w:leader="dot" w:pos="9072"/>
      </w:tabs>
      <w:ind w:left="567"/>
    </w:pPr>
    <w:rPr>
      <w:szCs w:val="22"/>
    </w:rPr>
  </w:style>
  <w:style w:type="paragraph" w:customStyle="1" w:styleId="TOCBase">
    <w:name w:val="TOC Base"/>
    <w:rsid w:val="007E2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556"/>
    <w:pPr>
      <w:tabs>
        <w:tab w:val="right" w:leader="dot" w:pos="9072"/>
      </w:tabs>
      <w:spacing w:before="40" w:after="40"/>
      <w:ind w:left="284"/>
    </w:pPr>
    <w:rPr>
      <w:rFonts w:ascii="Times New Roman" w:hAnsi="Times New Roman"/>
    </w:rPr>
  </w:style>
  <w:style w:type="paragraph" w:styleId="TOC1">
    <w:name w:val="toc 1"/>
    <w:basedOn w:val="TOCBase"/>
    <w:next w:val="Normal"/>
    <w:rsid w:val="007E25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556"/>
    <w:pPr>
      <w:spacing w:before="5040"/>
      <w:jc w:val="center"/>
    </w:pPr>
    <w:rPr>
      <w:sz w:val="48"/>
      <w:szCs w:val="72"/>
      <w:lang w:val="en-US"/>
    </w:rPr>
  </w:style>
  <w:style w:type="character" w:customStyle="1" w:styleId="TitleChar">
    <w:name w:val="Title Char"/>
    <w:link w:val="Title"/>
    <w:rsid w:val="007E2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556"/>
    <w:pPr>
      <w:tabs>
        <w:tab w:val="left" w:pos="3600"/>
        <w:tab w:val="left" w:pos="3958"/>
      </w:tabs>
    </w:pPr>
  </w:style>
  <w:style w:type="paragraph" w:customStyle="1" w:styleId="Note">
    <w:name w:val="Note"/>
    <w:basedOn w:val="BodyText"/>
    <w:rsid w:val="007E2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556"/>
    <w:pPr>
      <w:framePr w:wrap="auto" w:hAnchor="text" w:y="6049"/>
    </w:pPr>
    <w:rPr>
      <w:color w:val="000000"/>
      <w:sz w:val="40"/>
    </w:rPr>
  </w:style>
  <w:style w:type="paragraph" w:customStyle="1" w:styleId="TOCTitle">
    <w:name w:val="TOCTitle"/>
    <w:basedOn w:val="Heading1"/>
    <w:rsid w:val="007E2556"/>
    <w:pPr>
      <w:spacing w:after="240"/>
      <w:jc w:val="center"/>
      <w:outlineLvl w:val="9"/>
    </w:pPr>
    <w:rPr>
      <w:caps/>
    </w:rPr>
  </w:style>
  <w:style w:type="paragraph" w:customStyle="1" w:styleId="Version">
    <w:name w:val="Version"/>
    <w:rsid w:val="007E25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556"/>
    <w:pPr>
      <w:numPr>
        <w:numId w:val="13"/>
      </w:numPr>
      <w:tabs>
        <w:tab w:val="clear" w:pos="680"/>
      </w:tabs>
    </w:pPr>
  </w:style>
  <w:style w:type="paragraph" w:styleId="Index1">
    <w:name w:val="index 1"/>
    <w:basedOn w:val="Normal"/>
    <w:next w:val="Normal"/>
    <w:semiHidden/>
    <w:rsid w:val="007E2556"/>
    <w:pPr>
      <w:keepNext w:val="0"/>
      <w:tabs>
        <w:tab w:val="right" w:pos="4176"/>
      </w:tabs>
      <w:ind w:left="198" w:hanging="198"/>
    </w:pPr>
    <w:rPr>
      <w:rFonts w:ascii="Garamond" w:hAnsi="Garamond"/>
    </w:rPr>
  </w:style>
  <w:style w:type="paragraph" w:styleId="IndexHeading">
    <w:name w:val="index heading"/>
    <w:basedOn w:val="Normal"/>
    <w:next w:val="Index1"/>
    <w:semiHidden/>
    <w:rsid w:val="007E2556"/>
    <w:pPr>
      <w:spacing w:before="120" w:after="120"/>
    </w:pPr>
    <w:rPr>
      <w:rFonts w:ascii="Arial" w:hAnsi="Arial"/>
      <w:b/>
      <w:color w:val="918585"/>
      <w:sz w:val="24"/>
    </w:rPr>
  </w:style>
  <w:style w:type="paragraph" w:customStyle="1" w:styleId="Chapter">
    <w:name w:val="Chapter"/>
    <w:basedOn w:val="Normal"/>
    <w:rsid w:val="007E2556"/>
    <w:pPr>
      <w:spacing w:before="240"/>
    </w:pPr>
    <w:rPr>
      <w:rFonts w:ascii="Times New Roman" w:hAnsi="Times New Roman"/>
      <w:smallCaps/>
      <w:spacing w:val="80"/>
      <w:sz w:val="28"/>
    </w:rPr>
  </w:style>
  <w:style w:type="paragraph" w:customStyle="1" w:styleId="InChapter">
    <w:name w:val="InChapter"/>
    <w:basedOn w:val="Heading3"/>
    <w:rsid w:val="007E2556"/>
    <w:pPr>
      <w:spacing w:after="240"/>
      <w:outlineLvl w:val="9"/>
    </w:pPr>
    <w:rPr>
      <w:noProof/>
    </w:rPr>
  </w:style>
  <w:style w:type="paragraph" w:styleId="Index2">
    <w:name w:val="index 2"/>
    <w:basedOn w:val="Normal"/>
    <w:next w:val="Normal"/>
    <w:semiHidden/>
    <w:rsid w:val="007E2556"/>
    <w:pPr>
      <w:tabs>
        <w:tab w:val="right" w:pos="4176"/>
      </w:tabs>
      <w:ind w:left="568" w:hanging="284"/>
    </w:pPr>
    <w:rPr>
      <w:rFonts w:ascii="Garamond" w:hAnsi="Garamond"/>
    </w:rPr>
  </w:style>
  <w:style w:type="paragraph" w:customStyle="1" w:styleId="Byline">
    <w:name w:val="Byline"/>
    <w:rsid w:val="007E2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556"/>
    <w:pPr>
      <w:tabs>
        <w:tab w:val="clear" w:pos="3600"/>
        <w:tab w:val="clear" w:pos="3958"/>
      </w:tabs>
      <w:jc w:val="right"/>
    </w:pPr>
  </w:style>
  <w:style w:type="paragraph" w:styleId="Caption">
    <w:name w:val="caption"/>
    <w:basedOn w:val="BodyText"/>
    <w:next w:val="Normal"/>
    <w:qFormat/>
    <w:rsid w:val="007E2556"/>
    <w:pPr>
      <w:framePr w:w="2268" w:hSpace="181" w:vSpace="181" w:wrap="around" w:vAnchor="text" w:hAnchor="page" w:x="1135" w:y="285" w:anchorLock="1"/>
    </w:pPr>
    <w:rPr>
      <w:i/>
    </w:rPr>
  </w:style>
  <w:style w:type="paragraph" w:customStyle="1" w:styleId="MiniTOCTitle">
    <w:name w:val="MiniTOCTitle"/>
    <w:basedOn w:val="Heading4"/>
    <w:rsid w:val="007E2556"/>
    <w:pPr>
      <w:spacing w:before="240"/>
      <w:outlineLvl w:val="9"/>
    </w:pPr>
    <w:rPr>
      <w:noProof/>
      <w:sz w:val="24"/>
    </w:rPr>
  </w:style>
  <w:style w:type="paragraph" w:customStyle="1" w:styleId="MiniTOCItem">
    <w:name w:val="MiniTOCItem"/>
    <w:basedOn w:val="ListBullet"/>
    <w:rsid w:val="007E2556"/>
    <w:pPr>
      <w:numPr>
        <w:numId w:val="0"/>
      </w:numPr>
      <w:tabs>
        <w:tab w:val="right" w:leader="dot" w:pos="6521"/>
      </w:tabs>
      <w:spacing w:before="0" w:after="0"/>
    </w:pPr>
  </w:style>
  <w:style w:type="paragraph" w:customStyle="1" w:styleId="TOFTitle">
    <w:name w:val="TOFTitle"/>
    <w:basedOn w:val="TOCTitle"/>
    <w:rsid w:val="007E2556"/>
  </w:style>
  <w:style w:type="paragraph" w:styleId="TableofFigures">
    <w:name w:val="table of figures"/>
    <w:basedOn w:val="Normal"/>
    <w:next w:val="Normal"/>
    <w:semiHidden/>
    <w:rsid w:val="007E2556"/>
    <w:pPr>
      <w:tabs>
        <w:tab w:val="right" w:leader="dot" w:pos="9072"/>
      </w:tabs>
      <w:ind w:left="970" w:hanging="403"/>
    </w:pPr>
    <w:rPr>
      <w:rFonts w:ascii="Times New Roman" w:hAnsi="Times New Roman"/>
      <w:b/>
    </w:rPr>
  </w:style>
  <w:style w:type="paragraph" w:styleId="ListNumber">
    <w:name w:val="List Number"/>
    <w:basedOn w:val="List"/>
    <w:rsid w:val="007E2556"/>
    <w:pPr>
      <w:numPr>
        <w:numId w:val="10"/>
      </w:numPr>
    </w:pPr>
  </w:style>
  <w:style w:type="character" w:customStyle="1" w:styleId="WingdingSymbols">
    <w:name w:val="Wingding Symbols"/>
    <w:rsid w:val="007E2556"/>
    <w:rPr>
      <w:rFonts w:ascii="Wingdings" w:hAnsi="Wingdings"/>
    </w:rPr>
  </w:style>
  <w:style w:type="paragraph" w:customStyle="1" w:styleId="TableHeading">
    <w:name w:val="Table Heading"/>
    <w:basedOn w:val="HeadingBase"/>
    <w:rsid w:val="007E2556"/>
    <w:pPr>
      <w:keepLines/>
      <w:pBdr>
        <w:bottom w:val="single" w:sz="6" w:space="1" w:color="918585"/>
      </w:pBdr>
      <w:spacing w:before="240"/>
    </w:pPr>
  </w:style>
  <w:style w:type="character" w:customStyle="1" w:styleId="HotSpot">
    <w:name w:val="HotSpot"/>
    <w:rsid w:val="007E2556"/>
    <w:rPr>
      <w:color w:val="0033CC"/>
      <w:u w:val="none"/>
    </w:rPr>
  </w:style>
  <w:style w:type="paragraph" w:customStyle="1" w:styleId="BodyTextRight">
    <w:name w:val="Body Text Right"/>
    <w:basedOn w:val="BodyText"/>
    <w:rsid w:val="007E2556"/>
    <w:pPr>
      <w:spacing w:before="0" w:after="0"/>
      <w:jc w:val="right"/>
    </w:pPr>
  </w:style>
  <w:style w:type="paragraph" w:styleId="Index3">
    <w:name w:val="index 3"/>
    <w:basedOn w:val="ListNumber2"/>
    <w:next w:val="Normal"/>
    <w:semiHidden/>
    <w:rsid w:val="007E2556"/>
    <w:pPr>
      <w:numPr>
        <w:numId w:val="0"/>
      </w:numPr>
      <w:tabs>
        <w:tab w:val="right" w:leader="dot" w:pos="4176"/>
      </w:tabs>
    </w:pPr>
  </w:style>
  <w:style w:type="paragraph" w:styleId="ListNumber2">
    <w:name w:val="List Number 2"/>
    <w:basedOn w:val="List2"/>
    <w:rsid w:val="007E2556"/>
    <w:pPr>
      <w:numPr>
        <w:numId w:val="9"/>
      </w:numPr>
      <w:tabs>
        <w:tab w:val="clear" w:pos="1060"/>
      </w:tabs>
    </w:pPr>
  </w:style>
  <w:style w:type="paragraph" w:customStyle="1" w:styleId="MarginNote">
    <w:name w:val="Margin Note"/>
    <w:basedOn w:val="BodyText"/>
    <w:rsid w:val="007E2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25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2556"/>
    <w:rPr>
      <w:sz w:val="32"/>
    </w:rPr>
  </w:style>
  <w:style w:type="paragraph" w:customStyle="1" w:styleId="HeadingProcedure">
    <w:name w:val="Heading Procedure"/>
    <w:basedOn w:val="HeadingBase"/>
    <w:next w:val="Normal"/>
    <w:rsid w:val="007E2556"/>
    <w:pPr>
      <w:tabs>
        <w:tab w:val="left" w:pos="0"/>
      </w:tabs>
      <w:spacing w:before="120" w:after="60"/>
    </w:pPr>
    <w:rPr>
      <w:i/>
      <w:color w:val="918585"/>
      <w:sz w:val="22"/>
    </w:rPr>
  </w:style>
  <w:style w:type="paragraph" w:customStyle="1" w:styleId="TableBodyText">
    <w:name w:val="Table Body Text"/>
    <w:basedOn w:val="BodyText"/>
    <w:rsid w:val="007E2556"/>
    <w:pPr>
      <w:spacing w:before="60" w:after="60"/>
    </w:pPr>
  </w:style>
  <w:style w:type="paragraph" w:styleId="ListContinue">
    <w:name w:val="List Continue"/>
    <w:basedOn w:val="List"/>
    <w:rsid w:val="007E2556"/>
    <w:pPr>
      <w:ind w:firstLine="0"/>
    </w:pPr>
  </w:style>
  <w:style w:type="paragraph" w:customStyle="1" w:styleId="ListNote">
    <w:name w:val="List Note"/>
    <w:basedOn w:val="List"/>
    <w:rsid w:val="007E2556"/>
    <w:pPr>
      <w:pBdr>
        <w:top w:val="single" w:sz="6" w:space="2" w:color="918585"/>
        <w:bottom w:val="single" w:sz="6" w:space="2" w:color="918585"/>
      </w:pBdr>
      <w:tabs>
        <w:tab w:val="left" w:pos="1021"/>
      </w:tabs>
      <w:ind w:firstLine="0"/>
    </w:pPr>
  </w:style>
  <w:style w:type="paragraph" w:customStyle="1" w:styleId="Warning">
    <w:name w:val="Warning"/>
    <w:basedOn w:val="BodyText"/>
    <w:rsid w:val="007E2556"/>
    <w:pPr>
      <w:shd w:val="clear" w:color="auto" w:fill="D9D9D9"/>
      <w:tabs>
        <w:tab w:val="left" w:pos="992"/>
      </w:tabs>
      <w:ind w:left="119" w:right="119"/>
    </w:pPr>
    <w:rPr>
      <w:sz w:val="20"/>
    </w:rPr>
  </w:style>
  <w:style w:type="paragraph" w:customStyle="1" w:styleId="MarginIcons">
    <w:name w:val="Margin Icons"/>
    <w:basedOn w:val="BodyText"/>
    <w:rsid w:val="007E255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2556"/>
    <w:rPr>
      <w:rFonts w:ascii="Courier New" w:hAnsi="Courier New"/>
    </w:rPr>
  </w:style>
  <w:style w:type="paragraph" w:customStyle="1" w:styleId="NoteBullet">
    <w:name w:val="Note Bullet"/>
    <w:basedOn w:val="Note"/>
    <w:rsid w:val="007E2556"/>
    <w:pPr>
      <w:tabs>
        <w:tab w:val="clear" w:pos="680"/>
      </w:tabs>
      <w:spacing w:before="60" w:after="60"/>
    </w:pPr>
  </w:style>
  <w:style w:type="paragraph" w:customStyle="1" w:styleId="SubHeading2">
    <w:name w:val="SubHeading2"/>
    <w:basedOn w:val="HeadingBase"/>
    <w:rsid w:val="007E2556"/>
    <w:pPr>
      <w:spacing w:before="240" w:after="60"/>
    </w:pPr>
    <w:rPr>
      <w:sz w:val="20"/>
    </w:rPr>
  </w:style>
  <w:style w:type="paragraph" w:customStyle="1" w:styleId="SubHeading1">
    <w:name w:val="SubHeading1"/>
    <w:basedOn w:val="HeadingBase"/>
    <w:rsid w:val="007E2556"/>
    <w:pPr>
      <w:spacing w:before="240" w:after="60"/>
    </w:pPr>
    <w:rPr>
      <w:color w:val="918585"/>
      <w:sz w:val="22"/>
    </w:rPr>
  </w:style>
  <w:style w:type="paragraph" w:customStyle="1" w:styleId="SideHeading">
    <w:name w:val="Side Heading"/>
    <w:basedOn w:val="HeadingBase"/>
    <w:rsid w:val="007E2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556"/>
    <w:pPr>
      <w:tabs>
        <w:tab w:val="num" w:pos="360"/>
      </w:tabs>
    </w:pPr>
  </w:style>
  <w:style w:type="paragraph" w:styleId="PlainText">
    <w:name w:val="Plain Text"/>
    <w:basedOn w:val="Normal"/>
    <w:link w:val="PlainTextChar"/>
    <w:rsid w:val="007E2556"/>
    <w:rPr>
      <w:sz w:val="20"/>
    </w:rPr>
  </w:style>
  <w:style w:type="character" w:customStyle="1" w:styleId="PlainTextChar">
    <w:name w:val="Plain Text Char"/>
    <w:basedOn w:val="DefaultParagraphFont"/>
    <w:link w:val="PlainText"/>
    <w:rsid w:val="007E2556"/>
    <w:rPr>
      <w:rFonts w:ascii="Courier New" w:eastAsia="Times New Roman" w:hAnsi="Courier New" w:cs="Times New Roman"/>
      <w:sz w:val="20"/>
      <w:szCs w:val="20"/>
      <w:lang w:val="en-US" w:eastAsia="en-US"/>
    </w:rPr>
  </w:style>
  <w:style w:type="character" w:customStyle="1" w:styleId="MenuOption">
    <w:name w:val="Menu Option"/>
    <w:rsid w:val="007E2556"/>
    <w:rPr>
      <w:b/>
      <w:smallCaps/>
    </w:rPr>
  </w:style>
  <w:style w:type="paragraph" w:customStyle="1" w:styleId="TableListNumber">
    <w:name w:val="Table List Number"/>
    <w:basedOn w:val="ListNumber"/>
    <w:rsid w:val="007E2556"/>
    <w:pPr>
      <w:numPr>
        <w:numId w:val="0"/>
      </w:numPr>
    </w:pPr>
  </w:style>
  <w:style w:type="paragraph" w:styleId="TOC4">
    <w:name w:val="toc 4"/>
    <w:basedOn w:val="TOCBase"/>
    <w:next w:val="Normal"/>
    <w:semiHidden/>
    <w:rsid w:val="007E2556"/>
    <w:pPr>
      <w:tabs>
        <w:tab w:val="right" w:leader="dot" w:pos="9071"/>
      </w:tabs>
      <w:ind w:left="1701"/>
    </w:pPr>
  </w:style>
  <w:style w:type="paragraph" w:customStyle="1" w:styleId="ListAlpha">
    <w:name w:val="List Alpha"/>
    <w:basedOn w:val="List"/>
    <w:rsid w:val="007E2556"/>
    <w:pPr>
      <w:numPr>
        <w:numId w:val="8"/>
      </w:numPr>
    </w:pPr>
  </w:style>
  <w:style w:type="paragraph" w:customStyle="1" w:styleId="ListAlpha2">
    <w:name w:val="List Alpha 2"/>
    <w:basedOn w:val="List2"/>
    <w:rsid w:val="007E2556"/>
    <w:pPr>
      <w:numPr>
        <w:numId w:val="7"/>
      </w:numPr>
    </w:pPr>
  </w:style>
  <w:style w:type="paragraph" w:styleId="List3">
    <w:name w:val="List 3"/>
    <w:basedOn w:val="BodyText"/>
    <w:rsid w:val="007E2556"/>
    <w:pPr>
      <w:tabs>
        <w:tab w:val="left" w:pos="1021"/>
      </w:tabs>
      <w:spacing w:before="60" w:after="60"/>
      <w:ind w:left="1020" w:hanging="340"/>
    </w:pPr>
  </w:style>
  <w:style w:type="paragraph" w:styleId="List4">
    <w:name w:val="List 4"/>
    <w:basedOn w:val="BodyText"/>
    <w:rsid w:val="007E2556"/>
    <w:pPr>
      <w:tabs>
        <w:tab w:val="left" w:pos="1361"/>
      </w:tabs>
      <w:spacing w:before="60" w:after="60"/>
      <w:ind w:left="1361" w:hanging="340"/>
    </w:pPr>
  </w:style>
  <w:style w:type="paragraph" w:styleId="List5">
    <w:name w:val="List 5"/>
    <w:basedOn w:val="BodyText"/>
    <w:rsid w:val="007E2556"/>
    <w:pPr>
      <w:tabs>
        <w:tab w:val="left" w:pos="1701"/>
      </w:tabs>
      <w:spacing w:before="60" w:after="60"/>
      <w:ind w:left="1701" w:hanging="340"/>
    </w:pPr>
  </w:style>
  <w:style w:type="paragraph" w:styleId="ListBullet3">
    <w:name w:val="List Bullet 3"/>
    <w:basedOn w:val="List3"/>
    <w:rsid w:val="007E2556"/>
    <w:pPr>
      <w:numPr>
        <w:numId w:val="14"/>
      </w:numPr>
      <w:tabs>
        <w:tab w:val="clear" w:pos="1021"/>
      </w:tabs>
      <w:ind w:left="1037" w:hanging="357"/>
    </w:pPr>
  </w:style>
  <w:style w:type="paragraph" w:styleId="ListBullet4">
    <w:name w:val="List Bullet 4"/>
    <w:basedOn w:val="List4"/>
    <w:rsid w:val="007E2556"/>
    <w:pPr>
      <w:numPr>
        <w:numId w:val="2"/>
      </w:numPr>
    </w:pPr>
  </w:style>
  <w:style w:type="paragraph" w:styleId="ListBullet5">
    <w:name w:val="List Bullet 5"/>
    <w:basedOn w:val="List5"/>
    <w:rsid w:val="007E2556"/>
    <w:pPr>
      <w:numPr>
        <w:numId w:val="3"/>
      </w:numPr>
    </w:pPr>
  </w:style>
  <w:style w:type="paragraph" w:styleId="ListContinue2">
    <w:name w:val="List Continue 2"/>
    <w:basedOn w:val="List2"/>
    <w:rsid w:val="007E2556"/>
    <w:pPr>
      <w:ind w:firstLine="0"/>
    </w:pPr>
  </w:style>
  <w:style w:type="paragraph" w:styleId="ListContinue3">
    <w:name w:val="List Continue 3"/>
    <w:basedOn w:val="List3"/>
    <w:rsid w:val="007E2556"/>
    <w:pPr>
      <w:ind w:left="1021" w:firstLine="0"/>
    </w:pPr>
  </w:style>
  <w:style w:type="paragraph" w:styleId="ListContinue4">
    <w:name w:val="List Continue 4"/>
    <w:basedOn w:val="List4"/>
    <w:rsid w:val="007E2556"/>
    <w:pPr>
      <w:ind w:firstLine="0"/>
    </w:pPr>
  </w:style>
  <w:style w:type="paragraph" w:styleId="ListContinue5">
    <w:name w:val="List Continue 5"/>
    <w:basedOn w:val="List5"/>
    <w:rsid w:val="007E2556"/>
    <w:pPr>
      <w:ind w:firstLine="0"/>
    </w:pPr>
  </w:style>
  <w:style w:type="paragraph" w:styleId="ListNumber3">
    <w:name w:val="List Number 3"/>
    <w:basedOn w:val="List3"/>
    <w:rsid w:val="007E2556"/>
    <w:pPr>
      <w:numPr>
        <w:numId w:val="4"/>
      </w:numPr>
    </w:pPr>
  </w:style>
  <w:style w:type="paragraph" w:styleId="ListNumber4">
    <w:name w:val="List Number 4"/>
    <w:basedOn w:val="List4"/>
    <w:rsid w:val="007E2556"/>
    <w:pPr>
      <w:numPr>
        <w:numId w:val="5"/>
      </w:numPr>
    </w:pPr>
  </w:style>
  <w:style w:type="paragraph" w:styleId="ListNumber5">
    <w:name w:val="List Number 5"/>
    <w:basedOn w:val="List5"/>
    <w:rsid w:val="007E2556"/>
    <w:pPr>
      <w:numPr>
        <w:numId w:val="6"/>
      </w:numPr>
    </w:pPr>
  </w:style>
  <w:style w:type="paragraph" w:styleId="BlockText">
    <w:name w:val="Block Text"/>
    <w:basedOn w:val="Normal"/>
    <w:rsid w:val="007E2556"/>
    <w:pPr>
      <w:spacing w:after="120"/>
      <w:ind w:left="1440" w:right="1440"/>
    </w:pPr>
  </w:style>
  <w:style w:type="character" w:customStyle="1" w:styleId="Subscript">
    <w:name w:val="Subscript"/>
    <w:rsid w:val="007E2556"/>
    <w:rPr>
      <w:sz w:val="16"/>
      <w:vertAlign w:val="subscript"/>
    </w:rPr>
  </w:style>
  <w:style w:type="character" w:customStyle="1" w:styleId="Superscript">
    <w:name w:val="Superscript"/>
    <w:rsid w:val="007E2556"/>
    <w:rPr>
      <w:sz w:val="16"/>
      <w:vertAlign w:val="superscript"/>
    </w:rPr>
  </w:style>
  <w:style w:type="character" w:customStyle="1" w:styleId="Symbols">
    <w:name w:val="Symbols"/>
    <w:rsid w:val="007E2556"/>
    <w:rPr>
      <w:rFonts w:ascii="Symbol" w:hAnsi="Symbol"/>
    </w:rPr>
  </w:style>
  <w:style w:type="character" w:customStyle="1" w:styleId="MenuOptions">
    <w:name w:val="Menu Options"/>
    <w:rsid w:val="007E2556"/>
    <w:rPr>
      <w:rFonts w:ascii="Arial Narrow" w:hAnsi="Arial Narrow"/>
      <w:smallCaps/>
    </w:rPr>
  </w:style>
  <w:style w:type="character" w:customStyle="1" w:styleId="Buttons">
    <w:name w:val="Buttons"/>
    <w:rsid w:val="007E2556"/>
    <w:rPr>
      <w:b/>
    </w:rPr>
  </w:style>
  <w:style w:type="character" w:customStyle="1" w:styleId="Underlined">
    <w:name w:val="Underlined"/>
    <w:rsid w:val="007E2556"/>
    <w:rPr>
      <w:u w:val="single"/>
    </w:rPr>
  </w:style>
  <w:style w:type="paragraph" w:customStyle="1" w:styleId="TableBodyTextRight">
    <w:name w:val="Table Body Text Right"/>
    <w:basedOn w:val="TableBodyText"/>
    <w:rsid w:val="007E2556"/>
    <w:pPr>
      <w:widowControl w:val="0"/>
      <w:autoSpaceDE w:val="0"/>
      <w:autoSpaceDN w:val="0"/>
      <w:adjustRightInd w:val="0"/>
      <w:jc w:val="right"/>
    </w:pPr>
    <w:rPr>
      <w:rFonts w:cs="Arial"/>
      <w:szCs w:val="18"/>
    </w:rPr>
  </w:style>
  <w:style w:type="paragraph" w:customStyle="1" w:styleId="CopyrightText">
    <w:name w:val="Copyright Text"/>
    <w:basedOn w:val="BodyText"/>
    <w:rsid w:val="007E2556"/>
    <w:rPr>
      <w:sz w:val="18"/>
    </w:rPr>
  </w:style>
  <w:style w:type="paragraph" w:customStyle="1" w:styleId="BodySmallRight">
    <w:name w:val="Body Small Right"/>
    <w:basedOn w:val="BodyTextRight"/>
    <w:rsid w:val="007E2556"/>
    <w:rPr>
      <w:sz w:val="18"/>
      <w:szCs w:val="18"/>
    </w:rPr>
  </w:style>
  <w:style w:type="paragraph" w:customStyle="1" w:styleId="MarginEdition">
    <w:name w:val="Margin Edition"/>
    <w:basedOn w:val="MarginNote"/>
    <w:rsid w:val="007E2556"/>
    <w:pPr>
      <w:spacing w:before="0" w:after="0"/>
    </w:pPr>
    <w:rPr>
      <w:rFonts w:ascii="Times New Roman" w:hAnsi="Times New Roman"/>
      <w:color w:val="999999"/>
    </w:rPr>
  </w:style>
  <w:style w:type="paragraph" w:customStyle="1" w:styleId="Spacer">
    <w:name w:val="Spacer"/>
    <w:basedOn w:val="Normal"/>
    <w:rsid w:val="007E2556"/>
    <w:rPr>
      <w:sz w:val="2"/>
      <w:szCs w:val="2"/>
    </w:rPr>
  </w:style>
  <w:style w:type="character" w:customStyle="1" w:styleId="Small">
    <w:name w:val="Small"/>
    <w:rsid w:val="007E2556"/>
    <w:rPr>
      <w:sz w:val="16"/>
    </w:rPr>
  </w:style>
  <w:style w:type="paragraph" w:customStyle="1" w:styleId="WideTable">
    <w:name w:val="Wide Table"/>
    <w:basedOn w:val="Normal"/>
    <w:rsid w:val="007E2556"/>
    <w:pPr>
      <w:ind w:left="-1418"/>
    </w:pPr>
    <w:rPr>
      <w:sz w:val="2"/>
      <w:szCs w:val="2"/>
    </w:rPr>
  </w:style>
  <w:style w:type="character" w:styleId="PageNumber">
    <w:name w:val="page number"/>
    <w:rsid w:val="007E2556"/>
  </w:style>
  <w:style w:type="paragraph" w:styleId="Quote">
    <w:name w:val="Quote"/>
    <w:basedOn w:val="Heading1"/>
    <w:link w:val="QuoteChar"/>
    <w:qFormat/>
    <w:rsid w:val="007E2556"/>
    <w:rPr>
      <w:b w:val="0"/>
      <w:sz w:val="72"/>
      <w:szCs w:val="72"/>
      <w:lang w:val="en-NZ"/>
    </w:rPr>
  </w:style>
  <w:style w:type="character" w:customStyle="1" w:styleId="QuoteChar">
    <w:name w:val="Quote Char"/>
    <w:link w:val="Quote"/>
    <w:rsid w:val="007E2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556"/>
    <w:pPr>
      <w:pageBreakBefore/>
    </w:pPr>
  </w:style>
  <w:style w:type="paragraph" w:customStyle="1" w:styleId="Border">
    <w:name w:val="Border"/>
    <w:basedOn w:val="Normal"/>
    <w:qFormat/>
    <w:rsid w:val="007E2556"/>
    <w:pPr>
      <w:pBdr>
        <w:top w:val="single" w:sz="18" w:space="1" w:color="auto"/>
      </w:pBdr>
    </w:pPr>
    <w:rPr>
      <w:rFonts w:ascii="Times New Roman" w:hAnsi="Times New Roman"/>
      <w:color w:val="FFFFFF"/>
      <w:sz w:val="2"/>
    </w:rPr>
  </w:style>
  <w:style w:type="character" w:styleId="IntenseEmphasis">
    <w:name w:val="Intense Emphasis"/>
    <w:uiPriority w:val="21"/>
    <w:qFormat/>
    <w:rsid w:val="007E2556"/>
    <w:rPr>
      <w:b/>
      <w:bCs/>
      <w:i/>
      <w:iCs/>
      <w:color w:val="auto"/>
    </w:rPr>
  </w:style>
  <w:style w:type="paragraph" w:styleId="IntenseQuote">
    <w:name w:val="Intense Quote"/>
    <w:basedOn w:val="Normal"/>
    <w:next w:val="Normal"/>
    <w:link w:val="IntenseQuoteChar"/>
    <w:uiPriority w:val="30"/>
    <w:qFormat/>
    <w:rsid w:val="007E255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2556"/>
    <w:rPr>
      <w:rFonts w:ascii="Courier New" w:eastAsia="Times New Roman" w:hAnsi="Courier New" w:cs="Times New Roman"/>
      <w:b/>
      <w:bCs/>
      <w:i/>
      <w:iCs/>
      <w:szCs w:val="20"/>
      <w:lang w:val="en-US" w:eastAsia="en-US"/>
    </w:rPr>
  </w:style>
  <w:style w:type="character" w:styleId="SubtleReference">
    <w:name w:val="Subtle Reference"/>
    <w:uiPriority w:val="31"/>
    <w:qFormat/>
    <w:rsid w:val="007E2556"/>
    <w:rPr>
      <w:smallCaps/>
      <w:color w:val="auto"/>
      <w:u w:val="single"/>
    </w:rPr>
  </w:style>
  <w:style w:type="character" w:styleId="IntenseReference">
    <w:name w:val="Intense Reference"/>
    <w:uiPriority w:val="32"/>
    <w:qFormat/>
    <w:rsid w:val="007E2556"/>
    <w:rPr>
      <w:b/>
      <w:bCs/>
      <w:smallCaps/>
      <w:color w:val="auto"/>
      <w:spacing w:val="5"/>
      <w:u w:val="single"/>
    </w:rPr>
  </w:style>
  <w:style w:type="paragraph" w:customStyle="1" w:styleId="2ColumnHeading">
    <w:name w:val="2Column Heading"/>
    <w:basedOn w:val="BodyText"/>
    <w:qFormat/>
    <w:rsid w:val="007E2556"/>
    <w:pPr>
      <w:spacing w:after="60"/>
      <w:ind w:left="-2268"/>
    </w:pPr>
    <w:rPr>
      <w:b/>
    </w:rPr>
  </w:style>
  <w:style w:type="paragraph" w:customStyle="1" w:styleId="Heading1TOC">
    <w:name w:val="Heading1 TOC"/>
    <w:basedOn w:val="Normal"/>
    <w:qFormat/>
    <w:rsid w:val="007E2556"/>
    <w:pPr>
      <w:spacing w:before="240" w:after="120"/>
    </w:pPr>
    <w:rPr>
      <w:rFonts w:ascii="Times New Roman" w:hAnsi="Times New Roman"/>
      <w:b/>
      <w:sz w:val="32"/>
    </w:rPr>
  </w:style>
  <w:style w:type="paragraph" w:customStyle="1" w:styleId="Heading2TOC">
    <w:name w:val="Heading2 TOC"/>
    <w:basedOn w:val="Normal"/>
    <w:qFormat/>
    <w:rsid w:val="007E2556"/>
    <w:pPr>
      <w:spacing w:before="240" w:after="60"/>
    </w:pPr>
    <w:rPr>
      <w:rFonts w:ascii="Times New Roman" w:hAnsi="Times New Roman"/>
      <w:b/>
      <w:sz w:val="28"/>
    </w:rPr>
  </w:style>
  <w:style w:type="character" w:customStyle="1" w:styleId="Underline">
    <w:name w:val="Underline"/>
    <w:qFormat/>
    <w:rsid w:val="007E2556"/>
    <w:rPr>
      <w:u w:val="single"/>
    </w:rPr>
  </w:style>
  <w:style w:type="character" w:customStyle="1" w:styleId="BoldandItalics">
    <w:name w:val="Bold and Italics"/>
    <w:qFormat/>
    <w:rsid w:val="007E2556"/>
    <w:rPr>
      <w:b/>
      <w:i/>
      <w:u w:val="none"/>
    </w:rPr>
  </w:style>
  <w:style w:type="paragraph" w:styleId="BalloonText">
    <w:name w:val="Balloon Text"/>
    <w:basedOn w:val="Normal"/>
    <w:link w:val="BalloonTextChar"/>
    <w:rsid w:val="007E2556"/>
    <w:rPr>
      <w:rFonts w:ascii="Tahoma" w:hAnsi="Tahoma" w:cs="Tahoma"/>
      <w:sz w:val="16"/>
      <w:szCs w:val="16"/>
    </w:rPr>
  </w:style>
  <w:style w:type="character" w:customStyle="1" w:styleId="BalloonTextChar">
    <w:name w:val="Balloon Text Char"/>
    <w:link w:val="BalloonText"/>
    <w:rsid w:val="007E25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255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255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1622</Words>
  <Characters>9623</Characters>
  <Application>Microsoft Office Word</Application>
  <DocSecurity>0</DocSecurity>
  <Lines>295</Lines>
  <Paragraphs>173</Paragraphs>
  <ScaleCrop>false</ScaleCrop>
  <Company>Author-it Software Corporation Ltd.</Company>
  <LinksUpToDate>false</LinksUpToDate>
  <CharactersWithSpaces>11164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PMAOPS202B Operate fluid mixing equipment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2012-05-26T18:58:00Z</dcterms:created>
  <dcterms:modified xsi:type="dcterms:W3CDTF">2012-05-26T18:58:00Z</dcterms:modified>
</cp:coreProperties>
</file>