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107" w:rsidP="00F94107">
      <w:pPr>
        <w:pStyle w:val="Title"/>
      </w:pPr>
      <w:r>
        <w:fldChar w:fldCharType="begin"/>
      </w:r>
      <w:r>
        <w:instrText xml:space="preserve"> TITLE   \* MERGEFORMAT </w:instrText>
      </w:r>
      <w:r>
        <w:fldChar w:fldCharType="separate"/>
      </w:r>
      <w:r>
        <w:t>PMAOMIR449B Monitor legal compliance obligations during incidents</w:t>
      </w:r>
      <w:r>
        <w:fldChar w:fldCharType="end"/>
      </w:r>
    </w:p>
    <w:p w:rsidR="00F94107" w:rsidP="00F94107">
      <w:pPr>
        <w:pStyle w:val="Version"/>
        <w:sectPr w:rsidSect="007150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50AC" w:rsidP="007150AC">
      <w:pPr>
        <w:pStyle w:val="SuperHeading"/>
      </w:pPr>
      <w:r w:rsidRPr="007150AC">
        <w:t>PMAOMIR449B Monitor legal compliance obligations during incidents</w:t>
      </w:r>
    </w:p>
    <w:p w:rsidR="00000000" w:rsidRPr="007150AC" w:rsidP="007150AC">
      <w:pPr>
        <w:pStyle w:val="SuperHeading"/>
      </w:pPr>
    </w:p>
    <w:p w:rsidR="00000000" w:rsidRPr="007150AC" w:rsidP="007150AC">
      <w:pPr>
        <w:pStyle w:val="Heading1"/>
      </w:pPr>
      <w:bookmarkStart w:id="1" w:name="O_106443"/>
      <w:bookmarkEnd w:id="1"/>
      <w:r w:rsidRPr="007150AC">
        <w:t>Modification History</w:t>
      </w:r>
    </w:p>
    <w:p w:rsidR="00000000" w:rsidRPr="007150AC" w:rsidP="007150AC">
      <w:pPr>
        <w:pStyle w:val="BodyText"/>
      </w:pPr>
      <w:r w:rsidRPr="007150AC">
        <w:t>Not applicable.</w:t>
      </w:r>
    </w:p>
    <w:p w:rsidR="00000000" w:rsidRPr="007150AC" w:rsidP="007150AC">
      <w:pPr>
        <w:pStyle w:val="AllowPageBreak"/>
      </w:pPr>
    </w:p>
    <w:p w:rsidR="00000000" w:rsidRPr="007150AC" w:rsidP="007150AC">
      <w:pPr>
        <w:pStyle w:val="Heading1"/>
      </w:pPr>
      <w:bookmarkStart w:id="2" w:name="O_106444"/>
      <w:bookmarkEnd w:id="2"/>
      <w:r w:rsidRPr="007150AC">
        <w:t>Unit Descriptor</w:t>
      </w:r>
    </w:p>
    <w:tbl>
      <w:tblPr>
        <w:tblW w:w="0" w:type="auto"/>
        <w:tblCellMar>
          <w:left w:w="62" w:type="dxa"/>
          <w:right w:w="62" w:type="dxa"/>
        </w:tblCellMar>
        <w:tblLook w:val="0000"/>
      </w:tblPr>
      <w:tblGrid>
        <w:gridCol w:w="2479"/>
        <w:gridCol w:w="6717"/>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In a typical scenario, a person oversights the operations of an incident or a crisi</w:t>
            </w:r>
            <w:r w:rsidRPr="007150AC">
              <w:t xml:space="preserve">s management team to preclude possible breaches of legislation and regulations during incidents on sites administered by the organisation and advises on compliance issues. </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3" w:name="O_106445"/>
      <w:bookmarkEnd w:id="3"/>
      <w:r w:rsidRPr="007150AC">
        <w:t>Application of the Unit</w:t>
      </w:r>
    </w:p>
    <w:tbl>
      <w:tblPr>
        <w:tblW w:w="0" w:type="auto"/>
        <w:tblCellMar>
          <w:left w:w="62" w:type="dxa"/>
          <w:right w:w="62" w:type="dxa"/>
        </w:tblCellMar>
        <w:tblLook w:val="0000"/>
      </w:tblPr>
      <w:tblGrid>
        <w:gridCol w:w="2479"/>
        <w:gridCol w:w="6717"/>
      </w:tblGrid>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 xml:space="preserve">Typically this person may be a company legal officer, environmental officer or a site/facility safety officer. </w:t>
            </w:r>
          </w:p>
          <w:p w:rsidR="00000000" w:rsidRPr="007150AC" w:rsidP="007150AC">
            <w:pPr>
              <w:pStyle w:val="BodyText"/>
            </w:pPr>
            <w:r w:rsidRPr="007150AC">
              <w:t>Such incidents might include:</w:t>
            </w:r>
          </w:p>
          <w:p w:rsidR="00000000" w:rsidRPr="007150AC" w:rsidP="007150AC">
            <w:pPr>
              <w:pStyle w:val="ListBullet"/>
            </w:pPr>
            <w:r w:rsidRPr="007150AC">
              <w:t>loss of containment such as spills or gas/vapour release</w:t>
            </w:r>
          </w:p>
          <w:p w:rsidR="00000000" w:rsidRPr="007150AC" w:rsidP="007150AC">
            <w:pPr>
              <w:pStyle w:val="ListBullet"/>
            </w:pPr>
            <w:r w:rsidRPr="007150AC">
              <w:t>fire</w:t>
            </w:r>
          </w:p>
          <w:p w:rsidR="00000000" w:rsidRPr="007150AC" w:rsidP="007150AC">
            <w:pPr>
              <w:pStyle w:val="ListBullet"/>
            </w:pPr>
            <w:r w:rsidRPr="007150AC">
              <w:t xml:space="preserve">environmental incident or damage occurring through </w:t>
            </w:r>
            <w:r w:rsidRPr="007150AC">
              <w:t>actions taken to resolve an incident</w:t>
            </w:r>
          </w:p>
          <w:p w:rsidR="00000000" w:rsidRPr="007150AC" w:rsidP="007150AC">
            <w:pPr>
              <w:pStyle w:val="ListBullet"/>
            </w:pPr>
            <w:r w:rsidRPr="007150AC">
              <w:t>catastrophic failure of plant, assets or equipment</w:t>
            </w:r>
          </w:p>
          <w:p w:rsidR="00000000" w:rsidRPr="007150AC" w:rsidP="007150AC">
            <w:pPr>
              <w:pStyle w:val="ListBullet"/>
            </w:pPr>
            <w:r w:rsidRPr="007150AC">
              <w:t>loss of life or occurrence of serious injury</w:t>
            </w:r>
          </w:p>
          <w:p w:rsidR="00000000" w:rsidRPr="007150AC" w:rsidP="007150AC">
            <w:pPr>
              <w:pStyle w:val="BodyText"/>
            </w:pPr>
            <w:r w:rsidRPr="007150AC">
              <w:t>The individual would:</w:t>
            </w:r>
          </w:p>
          <w:p w:rsidR="00000000" w:rsidRPr="007150AC" w:rsidP="007150AC">
            <w:pPr>
              <w:pStyle w:val="ListBullet"/>
            </w:pPr>
            <w:r w:rsidRPr="007150AC">
              <w:t>advise the management team concerning potential breaches of legislation</w:t>
            </w:r>
          </w:p>
          <w:p w:rsidR="00000000" w:rsidRPr="007150AC" w:rsidP="007150AC">
            <w:pPr>
              <w:pStyle w:val="ListBullet"/>
            </w:pPr>
            <w:r w:rsidRPr="007150AC">
              <w:t>monitor the organisations efforts during recovery to maintain compliance</w:t>
            </w:r>
          </w:p>
          <w:p w:rsidR="00000000" w:rsidRPr="007150AC" w:rsidP="007150AC">
            <w:pPr>
              <w:pStyle w:val="ListBullet"/>
            </w:pPr>
            <w:r w:rsidRPr="007150AC">
              <w:t>negotiate controls for restoration and clean up activities or other actions</w:t>
            </w:r>
          </w:p>
          <w:p w:rsidR="00000000" w:rsidRPr="007150AC" w:rsidP="007150AC">
            <w:pPr>
              <w:pStyle w:val="ListBullet"/>
            </w:pPr>
            <w:r w:rsidRPr="007150AC">
              <w:t>submit organisational reports and prepare for legal proceedings</w:t>
            </w:r>
          </w:p>
          <w:p w:rsidR="00000000" w:rsidRPr="007150AC" w:rsidP="007150AC">
            <w:pPr>
              <w:pStyle w:val="BodyText"/>
            </w:pPr>
            <w:r w:rsidRPr="007150AC">
              <w:t>Generally the individual would be part of a</w:t>
            </w:r>
            <w:r w:rsidRPr="007150AC">
              <w:t xml:space="preserve"> crisis management team during any incident however may work independently in some circumstances.  At all times they would be liaising and cooperating with other members of the crisis management team.</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4" w:name="O_106446"/>
      <w:bookmarkEnd w:id="4"/>
      <w:r w:rsidRPr="007150AC">
        <w:t>Licensing/Regulatory Information</w:t>
      </w:r>
    </w:p>
    <w:p w:rsidR="00000000" w:rsidRPr="007150AC" w:rsidP="007150AC">
      <w:pPr>
        <w:pStyle w:val="BodyText"/>
      </w:pPr>
      <w:r w:rsidRPr="007150AC">
        <w:t>Not</w:t>
      </w:r>
      <w:r w:rsidRPr="007150AC">
        <w:t xml:space="preserve"> applicable.</w:t>
      </w:r>
    </w:p>
    <w:p w:rsidR="00000000" w:rsidRPr="007150AC" w:rsidP="007150AC">
      <w:pPr>
        <w:pStyle w:val="AllowPageBreak"/>
      </w:pPr>
    </w:p>
    <w:p w:rsidR="00000000" w:rsidRPr="007150AC" w:rsidP="007150AC">
      <w:pPr>
        <w:pStyle w:val="Heading1"/>
      </w:pPr>
      <w:bookmarkStart w:id="5" w:name="O_106447"/>
      <w:bookmarkEnd w:id="5"/>
      <w:r w:rsidRPr="007150AC">
        <w:t>Pre-Requisites</w:t>
      </w:r>
    </w:p>
    <w:tbl>
      <w:tblPr>
        <w:tblW w:w="0" w:type="auto"/>
        <w:tblCellMar>
          <w:left w:w="62" w:type="dxa"/>
          <w:right w:w="62" w:type="dxa"/>
        </w:tblCellMar>
        <w:tblLook w:val="0000"/>
      </w:tblPr>
      <w:tblGrid>
        <w:gridCol w:w="2479"/>
        <w:gridCol w:w="3358"/>
        <w:gridCol w:w="3359"/>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6" w:name="O_106448"/>
      <w:bookmarkEnd w:id="6"/>
      <w:r w:rsidRPr="007150AC">
        <w:t>Employability Skills Information</w:t>
      </w:r>
    </w:p>
    <w:tbl>
      <w:tblPr>
        <w:tblW w:w="0" w:type="auto"/>
        <w:tblCellMar>
          <w:left w:w="62" w:type="dxa"/>
          <w:right w:w="62" w:type="dxa"/>
        </w:tblCellMar>
        <w:tblLook w:val="0000"/>
      </w:tblPr>
      <w:tblGrid>
        <w:gridCol w:w="2479"/>
        <w:gridCol w:w="6717"/>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This unit contains employability skills.</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7" w:name="O_106449"/>
      <w:bookmarkEnd w:id="7"/>
      <w:r w:rsidRPr="007150AC">
        <w:t>Elements and Performance Criteria Pre-Content</w:t>
      </w:r>
    </w:p>
    <w:tbl>
      <w:tblPr>
        <w:tblW w:w="0" w:type="auto"/>
        <w:tblCellMar>
          <w:left w:w="62" w:type="dxa"/>
          <w:right w:w="62" w:type="dxa"/>
        </w:tblCellMar>
        <w:tblLook w:val="0000"/>
      </w:tblPr>
      <w:tblGrid>
        <w:gridCol w:w="2644"/>
        <w:gridCol w:w="6552"/>
      </w:tblGrid>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Performance criteria describe the performance needed to demonstrate achievement of the element.  Where bold italicised text is used, further information is detailed in the required skills an</w:t>
            </w:r>
            <w:r w:rsidRPr="007150AC">
              <w:t>d knowledge section and the range statement.  Assessment of performance is to be consistent with the evidence guide.</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8" w:name="O_106450"/>
      <w:bookmarkEnd w:id="8"/>
      <w:r w:rsidRPr="007150AC">
        <w:t>Elements and Performance Criteria</w:t>
      </w:r>
    </w:p>
    <w:tbl>
      <w:tblPr>
        <w:tblW w:w="0" w:type="auto"/>
        <w:tblCellMar>
          <w:left w:w="62" w:type="dxa"/>
          <w:right w:w="62" w:type="dxa"/>
        </w:tblCellMar>
        <w:tblLook w:val="0000"/>
      </w:tblPr>
      <w:tblGrid>
        <w:gridCol w:w="2644"/>
        <w:gridCol w:w="6552"/>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PERFORMANCE CRITERIA</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List"/>
              <w:rPr>
                <w:lang w:val="en-NZ"/>
              </w:rPr>
            </w:pPr>
            <w:r w:rsidRPr="007150AC">
              <w:t>1.</w:t>
            </w:r>
            <w:r w:rsidRPr="007150AC">
              <w:tab/>
              <w:t>Review incident response plans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List2"/>
            </w:pPr>
            <w:r w:rsidRPr="007150AC">
              <w:t>1.1.</w:t>
            </w:r>
            <w:r w:rsidRPr="007150AC">
              <w:tab/>
            </w:r>
            <w:r w:rsidRPr="007150AC">
              <w:t>Identify legislation and regulations relevant to possible incident scenarios</w:t>
            </w:r>
          </w:p>
          <w:p w:rsidR="00000000" w:rsidRPr="007150AC" w:rsidP="007150AC">
            <w:pPr>
              <w:pStyle w:val="List2"/>
            </w:pPr>
            <w:r w:rsidRPr="007150AC">
              <w:t>1.2.</w:t>
            </w:r>
            <w:r w:rsidRPr="007150AC">
              <w:tab/>
              <w:t>Determine possible compliance issues with planned responses</w:t>
            </w:r>
          </w:p>
          <w:p w:rsidR="00000000" w:rsidRPr="007150AC" w:rsidP="007150AC">
            <w:pPr>
              <w:pStyle w:val="List2"/>
            </w:pPr>
            <w:r w:rsidRPr="007150AC">
              <w:t>1.3.</w:t>
            </w:r>
            <w:r w:rsidRPr="007150AC">
              <w:tab/>
              <w:t>Negotiate alternative response plans which do not raise compliance issues</w:t>
            </w:r>
          </w:p>
          <w:p w:rsidR="00000000" w:rsidP="007150AC">
            <w:pPr>
              <w:pStyle w:val="List2"/>
              <w:rPr>
                <w:lang w:val="en-NZ"/>
              </w:rPr>
            </w:pPr>
            <w:r w:rsidRPr="007150AC">
              <w:t>1.4.</w:t>
            </w:r>
            <w:r w:rsidRPr="007150AC">
              <w:tab/>
              <w:t>Ensure plans, equipment and tr</w:t>
            </w:r>
            <w:r w:rsidRPr="007150AC">
              <w:t>aining are modified to reflect changed response plans.</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List"/>
              <w:rPr>
                <w:lang w:val="en-NZ"/>
              </w:rPr>
            </w:pPr>
            <w:r w:rsidRPr="007150AC">
              <w:t>2.</w:t>
            </w:r>
            <w:r w:rsidRPr="007150AC">
              <w:tab/>
              <w:t>Oversee the operations of the incident management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List2"/>
            </w:pPr>
            <w:r w:rsidRPr="007150AC">
              <w:t>2.1.</w:t>
            </w:r>
            <w:r w:rsidRPr="007150AC">
              <w:tab/>
              <w:t>Ensure that the incident team is aware of legislation that needs to be complied with during the incident</w:t>
            </w:r>
          </w:p>
          <w:p w:rsidR="00000000" w:rsidRPr="007150AC" w:rsidP="007150AC">
            <w:pPr>
              <w:pStyle w:val="List2"/>
            </w:pPr>
            <w:r w:rsidRPr="007150AC">
              <w:t>2.2.</w:t>
            </w:r>
            <w:r w:rsidRPr="007150AC">
              <w:tab/>
            </w:r>
            <w:r w:rsidRPr="007150AC">
              <w:t>Obtain information concerning legal ramifications as required in accordance with organisation's policies</w:t>
            </w:r>
          </w:p>
          <w:p w:rsidR="00000000" w:rsidRPr="007150AC" w:rsidP="007150AC">
            <w:pPr>
              <w:pStyle w:val="List2"/>
            </w:pPr>
            <w:r w:rsidRPr="007150AC">
              <w:t>2.3.</w:t>
            </w:r>
            <w:r w:rsidRPr="007150AC">
              <w:tab/>
              <w:t>Ensure accurate recording of all relevant details of all agreed actions</w:t>
            </w:r>
          </w:p>
          <w:p w:rsidR="00000000" w:rsidP="007150AC">
            <w:pPr>
              <w:pStyle w:val="List2"/>
              <w:rPr>
                <w:lang w:val="en-NZ"/>
              </w:rPr>
            </w:pPr>
            <w:r w:rsidRPr="007150AC">
              <w:t>2.4.</w:t>
            </w:r>
            <w:r w:rsidRPr="007150AC">
              <w:tab/>
              <w:t>Assess actions taken and proposed against relevant legislation to det</w:t>
            </w:r>
            <w:r w:rsidRPr="007150AC">
              <w:t>ermine compliance and possible impacts on the company</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List"/>
              <w:rPr>
                <w:lang w:val="en-NZ"/>
              </w:rPr>
            </w:pPr>
            <w:r w:rsidRPr="007150AC">
              <w:t>3.</w:t>
            </w:r>
            <w:r w:rsidRPr="007150AC">
              <w:tab/>
              <w:t>Advise appropriate action to facilitate compliance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List2"/>
            </w:pPr>
            <w:r w:rsidRPr="007150AC">
              <w:t>3.1.</w:t>
            </w:r>
            <w:r w:rsidRPr="007150AC">
              <w:tab/>
              <w:t>Undertake consultations with regulatory authorities to facilitate minimal impact resolutions</w:t>
            </w:r>
          </w:p>
          <w:p w:rsidR="00000000" w:rsidRPr="007150AC" w:rsidP="007150AC">
            <w:pPr>
              <w:pStyle w:val="List2"/>
            </w:pPr>
            <w:r w:rsidRPr="007150AC">
              <w:t>3.2.</w:t>
            </w:r>
            <w:r w:rsidRPr="007150AC">
              <w:tab/>
              <w:t>Advise management of options that are availa</w:t>
            </w:r>
            <w:r w:rsidRPr="007150AC">
              <w:t>ble to remain compliant</w:t>
            </w:r>
          </w:p>
          <w:p w:rsidR="00000000" w:rsidP="007150AC">
            <w:pPr>
              <w:pStyle w:val="List2"/>
              <w:rPr>
                <w:lang w:val="en-NZ"/>
              </w:rPr>
            </w:pPr>
            <w:r w:rsidRPr="007150AC">
              <w:t>3.3.</w:t>
            </w:r>
            <w:r w:rsidRPr="007150AC">
              <w:tab/>
              <w:t>Provide advice on actions to achieve compliance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List"/>
              <w:rPr>
                <w:lang w:val="en-NZ"/>
              </w:rPr>
            </w:pPr>
            <w:r w:rsidRPr="007150AC">
              <w:t>4.</w:t>
            </w:r>
            <w:r w:rsidRPr="007150AC">
              <w:tab/>
              <w:t>Monitor actions taken to achieve compliance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List2"/>
            </w:pPr>
            <w:r w:rsidRPr="007150AC">
              <w:t>4.1.</w:t>
            </w:r>
            <w:r w:rsidRPr="007150AC">
              <w:tab/>
              <w:t>Monitor company actions to resolve incidents and achieve compliance or remain compliant</w:t>
            </w:r>
          </w:p>
          <w:p w:rsidR="00000000" w:rsidRPr="007150AC" w:rsidP="007150AC">
            <w:pPr>
              <w:pStyle w:val="List2"/>
            </w:pPr>
            <w:r w:rsidRPr="007150AC">
              <w:t>4.2.</w:t>
            </w:r>
            <w:r w:rsidRPr="007150AC">
              <w:tab/>
              <w:t>Document actions taken by the org</w:t>
            </w:r>
            <w:r w:rsidRPr="007150AC">
              <w:t xml:space="preserve">anisation to remain compliant </w:t>
            </w:r>
          </w:p>
          <w:p w:rsidR="00000000" w:rsidRPr="007150AC" w:rsidP="007150AC">
            <w:pPr>
              <w:pStyle w:val="List2"/>
            </w:pPr>
            <w:r w:rsidRPr="007150AC">
              <w:t>4.3.</w:t>
            </w:r>
            <w:r w:rsidRPr="007150AC">
              <w:tab/>
              <w:t>Prepare reports for management regarding outcomes from the incident and any material breaches of legislation that have occurred</w:t>
            </w:r>
          </w:p>
          <w:p w:rsidR="00000000" w:rsidP="007150AC">
            <w:pPr>
              <w:pStyle w:val="List2"/>
              <w:rPr>
                <w:lang w:val="en-NZ"/>
              </w:rPr>
            </w:pPr>
            <w:r w:rsidRPr="007150AC">
              <w:t>4.4.</w:t>
            </w:r>
            <w:r w:rsidRPr="007150AC">
              <w:tab/>
              <w:t>Prepare for possible legal proceedings within required timeframe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List"/>
              <w:rPr>
                <w:lang w:val="en-NZ"/>
              </w:rPr>
            </w:pPr>
            <w:r w:rsidRPr="007150AC">
              <w:t>5.</w:t>
            </w:r>
            <w:r w:rsidRPr="007150AC">
              <w:tab/>
              <w:t xml:space="preserve">Seek improvements </w:t>
            </w:r>
            <w:r w:rsidRPr="007150AC">
              <w:t>to incident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List2"/>
            </w:pPr>
            <w:r w:rsidRPr="007150AC">
              <w:t>5.1.</w:t>
            </w:r>
            <w:r w:rsidRPr="007150AC">
              <w:tab/>
              <w:t>Identify possible areas for improvement</w:t>
            </w:r>
          </w:p>
          <w:p w:rsidR="00000000" w:rsidRPr="007150AC" w:rsidP="007150AC">
            <w:pPr>
              <w:pStyle w:val="List2"/>
            </w:pPr>
            <w:r w:rsidRPr="007150AC">
              <w:t>5.2.</w:t>
            </w:r>
            <w:r w:rsidRPr="007150AC">
              <w:tab/>
              <w:t>Develop improved responses in liaison with relevant people</w:t>
            </w:r>
          </w:p>
          <w:p w:rsidR="00000000" w:rsidRPr="007150AC" w:rsidP="007150AC">
            <w:pPr>
              <w:pStyle w:val="List2"/>
            </w:pPr>
            <w:r w:rsidRPr="007150AC">
              <w:t>5.3.</w:t>
            </w:r>
            <w:r w:rsidRPr="007150AC">
              <w:tab/>
              <w:t>Ensure plans, equipment and training are modified to reflect improved response plans.</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9" w:name="O_106451"/>
      <w:bookmarkEnd w:id="9"/>
      <w:r w:rsidRPr="007150AC">
        <w:t>Required Skills and Knowledge</w:t>
      </w:r>
    </w:p>
    <w:tbl>
      <w:tblPr>
        <w:tblW w:w="0" w:type="auto"/>
        <w:tblCellMar>
          <w:left w:w="62" w:type="dxa"/>
          <w:right w:w="62" w:type="dxa"/>
        </w:tblCellMar>
        <w:tblLook w:val="0000"/>
      </w:tblPr>
      <w:tblGrid>
        <w:gridCol w:w="9196"/>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REQUIRED SKILLS AND KNOWLEDGE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This describes the essential skills and knowledge and their level, required for this unit.</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Required skills</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Competence includes the ability to isolate the causes of issues within the incident response system and to be able to distinguish between causes of issues indicated by:</w:t>
            </w:r>
          </w:p>
          <w:p w:rsidR="00000000" w:rsidRPr="007150AC" w:rsidP="007150AC">
            <w:pPr>
              <w:pStyle w:val="ListBullet"/>
            </w:pPr>
            <w:r w:rsidRPr="007150AC">
              <w:t>failed compliance measures</w:t>
            </w:r>
          </w:p>
          <w:p w:rsidR="00000000" w:rsidRPr="007150AC" w:rsidP="007150AC">
            <w:pPr>
              <w:pStyle w:val="ListBullet"/>
            </w:pPr>
            <w:r w:rsidRPr="007150AC">
              <w:t>inability to locate relevant legislation</w:t>
            </w:r>
          </w:p>
          <w:p w:rsidR="00000000" w:rsidP="007150AC">
            <w:pPr>
              <w:pStyle w:val="ListBullet"/>
              <w:rPr>
                <w:lang w:val="en-NZ"/>
              </w:rPr>
            </w:pPr>
            <w:r w:rsidRPr="007150AC">
              <w:t xml:space="preserve">failure to comply </w:t>
            </w:r>
            <w:r w:rsidRPr="007150AC">
              <w:t>with timeframes dictated by legislation or regulation.</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Required knowledge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The knowledge referred to in the Evidence Guide for this unit includes:</w:t>
            </w:r>
          </w:p>
          <w:p w:rsidR="00000000" w:rsidRPr="007150AC" w:rsidP="007150AC">
            <w:pPr>
              <w:pStyle w:val="ListBullet"/>
            </w:pPr>
            <w:r w:rsidRPr="007150AC">
              <w:t>relevant legislation and regulations</w:t>
            </w:r>
          </w:p>
          <w:p w:rsidR="00000000" w:rsidRPr="007150AC" w:rsidP="007150AC">
            <w:pPr>
              <w:pStyle w:val="ListBullet"/>
            </w:pPr>
            <w:r w:rsidRPr="007150AC">
              <w:t>allowable defences for apparent compliance breaches</w:t>
            </w:r>
          </w:p>
          <w:p w:rsidR="00000000" w:rsidRPr="007150AC" w:rsidP="007150AC">
            <w:pPr>
              <w:pStyle w:val="ListBullet"/>
            </w:pPr>
            <w:r w:rsidRPr="007150AC">
              <w:t>organisational pol</w:t>
            </w:r>
            <w:r w:rsidRPr="007150AC">
              <w:t xml:space="preserve">icies and procedures </w:t>
            </w:r>
          </w:p>
          <w:p w:rsidR="00000000" w:rsidRPr="007150AC" w:rsidP="007150AC">
            <w:pPr>
              <w:pStyle w:val="ListBullet"/>
            </w:pPr>
            <w:r w:rsidRPr="007150AC">
              <w:t>organisational policy and procedures concerning release of information to external bodies</w:t>
            </w:r>
          </w:p>
          <w:p w:rsidR="00000000" w:rsidRPr="007150AC" w:rsidP="007150AC">
            <w:pPr>
              <w:pStyle w:val="ListBullet"/>
            </w:pPr>
            <w:r w:rsidRPr="007150AC">
              <w:t>the limits imposed by the organisation's negotiating parameters.</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10" w:name="O_106452"/>
      <w:bookmarkEnd w:id="10"/>
      <w:r w:rsidRPr="007150AC">
        <w:t>Evidence Guide</w:t>
      </w:r>
    </w:p>
    <w:tbl>
      <w:tblPr>
        <w:tblW w:w="0" w:type="auto"/>
        <w:tblCellMar>
          <w:left w:w="62" w:type="dxa"/>
          <w:right w:w="62" w:type="dxa"/>
        </w:tblCellMar>
        <w:tblLook w:val="0000"/>
      </w:tblPr>
      <w:tblGrid>
        <w:gridCol w:w="2515"/>
        <w:gridCol w:w="6681"/>
      </w:tblGrid>
      <w:tr w:rsidTr="00F9410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EVIDENCE GUIDE</w:t>
            </w:r>
          </w:p>
        </w:tc>
      </w:tr>
      <w:tr w:rsidTr="00F9410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The Ev</w:t>
            </w:r>
            <w:r w:rsidRPr="007150AC">
              <w:t>idence Guide provides advice on assessment and must be read in conjunction with the Performance Criteria, Required Skills and Knowledge, the Range Statement and the Assessment Guidelines for the Training Package.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 xml:space="preserve">Assessment for this unit of competency will be by way of simulation or under incident conditions.  The unit will be assessed in as holistic a manner as is practical and may be integrated with the assessment of other relevant units of competency. </w:t>
            </w:r>
          </w:p>
          <w:p w:rsidR="00000000" w:rsidRPr="007150AC" w:rsidP="007150AC">
            <w:pPr>
              <w:pStyle w:val="BodyText"/>
            </w:pPr>
            <w:r w:rsidRPr="007150AC">
              <w:t>Assessmen</w:t>
            </w:r>
            <w:r w:rsidRPr="007150AC">
              <w:t>t will occur over a range of situations which can include a variety of incident circumstances.</w:t>
            </w:r>
          </w:p>
          <w:p w:rsidR="00000000" w:rsidRPr="007150AC" w:rsidP="007150AC">
            <w:pPr>
              <w:pStyle w:val="BodyText"/>
            </w:pPr>
            <w:r w:rsidRPr="007150AC">
              <w:t>Simulations must, as closely as possible, approximate actual incident conditions and should be based on the actual facility.  Assessments should include walk-thr</w:t>
            </w:r>
            <w:r w:rsidRPr="007150AC">
              <w:t>oughs of the relevant competency components and may include the use of case studies/scenarios and role plays.</w:t>
            </w:r>
          </w:p>
          <w:p w:rsidR="00000000" w:rsidP="007150AC">
            <w:pPr>
              <w:pStyle w:val="BodyText"/>
              <w:rPr>
                <w:lang w:val="en-NZ"/>
              </w:rPr>
            </w:pPr>
            <w:r w:rsidRPr="007150AC">
              <w:t>This unit of competency requires a significant body of knowledge which will be assessed through questioning and the use of 'what-if' scenarios bot</w:t>
            </w:r>
            <w:r w:rsidRPr="007150AC">
              <w:t>h in the facility (during demonstration of normal operations and walk-throughs of abnormal operations) and off the site.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Competence must be demonstrated in the ab</w:t>
            </w:r>
            <w:r w:rsidRPr="007150AC">
              <w:t>ility to correctly respond to incident situations and in implementing appropriate action.  The emphasis should be on the ability to stay ahead of the problem rather than to have to take drastic action in order to recover the situation. In particular look t</w:t>
            </w:r>
            <w:r w:rsidRPr="007150AC">
              <w:t>o see that:</w:t>
            </w:r>
          </w:p>
          <w:p w:rsidR="00000000" w:rsidRPr="007150AC" w:rsidP="007150AC">
            <w:pPr>
              <w:pStyle w:val="ListBullet"/>
            </w:pPr>
            <w:r w:rsidRPr="007150AC">
              <w:t>incident response plans are compliant and training and procedures reflect those plans</w:t>
            </w:r>
          </w:p>
          <w:p w:rsidR="00000000" w:rsidRPr="007150AC" w:rsidP="007150AC">
            <w:pPr>
              <w:pStyle w:val="ListBullet"/>
            </w:pPr>
            <w:r w:rsidRPr="007150AC">
              <w:t>incidents are monitored and advise obtained where required and given to minimise/ prevent non-compliance</w:t>
            </w:r>
          </w:p>
          <w:p w:rsidR="00000000" w:rsidRPr="007150AC" w:rsidP="007150AC">
            <w:pPr>
              <w:pStyle w:val="ListBullet"/>
            </w:pPr>
            <w:r w:rsidRPr="007150AC">
              <w:t>the safety and/or successful recovery of the individual and others affected by the incident response is afforded priority in the actions taken</w:t>
            </w:r>
          </w:p>
          <w:p w:rsidR="00000000" w:rsidRPr="007150AC" w:rsidP="007150AC">
            <w:pPr>
              <w:pStyle w:val="ListBullet"/>
            </w:pPr>
            <w:r w:rsidRPr="007150AC">
              <w:t>actions taken do not inhibit incident response effectiveness or further contribute to the incident</w:t>
            </w:r>
          </w:p>
          <w:p w:rsidR="00000000" w:rsidRPr="007150AC" w:rsidP="007150AC">
            <w:pPr>
              <w:pStyle w:val="ListBullet"/>
            </w:pPr>
            <w:r w:rsidRPr="007150AC">
              <w:t>appropriate do</w:t>
            </w:r>
            <w:r w:rsidRPr="007150AC">
              <w:t>cumentation including reports, journal entries, logs and/or clearances are completed in accordance with procedures</w:t>
            </w:r>
          </w:p>
          <w:p w:rsidR="00000000" w:rsidP="007150AC">
            <w:pPr>
              <w:pStyle w:val="BodyText"/>
              <w:rPr>
                <w:lang w:val="en-NZ"/>
              </w:rPr>
            </w:pPr>
            <w:r w:rsidRPr="007150AC">
              <w:t>These aspects may be best assessed using a range of scenarios/case studies/what-ifs as the stimulus with a walk through forming part of the r</w:t>
            </w:r>
            <w:r w:rsidRPr="007150AC">
              <w:t>esponse.  These assessment activities should include a range of problems, including new, unusual and improbable situations which may have been generated from the past incident history of the plant, incidents on similar plants around the world, hazard analy</w:t>
            </w:r>
            <w:r w:rsidRPr="007150AC">
              <w:t>sis activities and similar sources.</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Assessment will require (1) access to an accurately simulated environment in the absence of an on-site incident environment, or (2) a suitable method of gathering evidenc</w:t>
            </w:r>
            <w:r w:rsidRPr="007150AC">
              <w:t>e of responding ability over a range of situations.  A bank of scenarios/case studies/what-ifs will be required as will a bank of questions which will be used to probe the reasoning behind the observable actions.</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Method of assessment</w:t>
            </w:r>
            <w:r w:rsidRPr="007150AC">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In all workplace env</w:t>
            </w:r>
            <w:r w:rsidRPr="007150AC">
              <w:t xml:space="preserve">ironments it may be appropriate to assess this unit concurrently with other relevant units. </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Assessment processes and techniques must be culturally appropriate and appropriate to the oracy, language and literacy capacit</w:t>
            </w:r>
            <w:r w:rsidRPr="007150AC">
              <w:t>y of the assessee and the work being performed.</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11" w:name="O_106453"/>
      <w:bookmarkEnd w:id="11"/>
      <w:r w:rsidRPr="007150AC">
        <w:t>Range Statement</w:t>
      </w:r>
    </w:p>
    <w:tbl>
      <w:tblPr>
        <w:tblW w:w="0" w:type="auto"/>
        <w:tblCellMar>
          <w:left w:w="62" w:type="dxa"/>
          <w:right w:w="62" w:type="dxa"/>
        </w:tblCellMar>
        <w:tblLook w:val="0000"/>
      </w:tblPr>
      <w:tblGrid>
        <w:gridCol w:w="2510"/>
        <w:gridCol w:w="6686"/>
      </w:tblGrid>
      <w:tr w:rsidTr="00F94107">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RANGE STATEMENT</w:t>
            </w:r>
          </w:p>
        </w:tc>
      </w:tr>
      <w:tr w:rsidTr="00F94107">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 xml:space="preserve">The Range Statement relates to the unit of competency as a whole. It allows for different work environments and situations that may affect </w:t>
            </w:r>
            <w:r w:rsidRPr="007150AC">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7150AC">
              <w:t>the item, and local industry and regional contexts.</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Codes of practice</w:t>
            </w:r>
            <w:r w:rsidRPr="007150AC">
              <w:t xml:space="preserve">/ </w:t>
            </w:r>
            <w:r w:rsidRPr="007150AC">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Where reference is made to industry codes of practice, and/or Australian/international standards, the latest version must be used.</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This unit of competency includes all such items of equipment and unit operations which form part of the incident response system.  In your facility this may include (select relevant items):</w:t>
            </w:r>
          </w:p>
          <w:p w:rsidR="00000000" w:rsidRPr="007150AC" w:rsidP="007150AC">
            <w:pPr>
              <w:pStyle w:val="ListBullet"/>
            </w:pPr>
            <w:r w:rsidRPr="007150AC">
              <w:t>computers</w:t>
            </w:r>
          </w:p>
          <w:p w:rsidR="00000000" w:rsidRPr="007150AC" w:rsidP="007150AC">
            <w:pPr>
              <w:pStyle w:val="ListBullet"/>
            </w:pPr>
            <w:r w:rsidRPr="007150AC">
              <w:t>recording equipment</w:t>
            </w:r>
          </w:p>
          <w:p w:rsidR="00000000" w:rsidRPr="007150AC" w:rsidP="007150AC">
            <w:pPr>
              <w:pStyle w:val="ListBullet"/>
            </w:pPr>
            <w:r w:rsidRPr="007150AC">
              <w:t>legislation and regulations</w:t>
            </w:r>
          </w:p>
          <w:p w:rsidR="00000000" w:rsidRPr="007150AC" w:rsidP="007150AC">
            <w:pPr>
              <w:pStyle w:val="BodyText"/>
            </w:pPr>
            <w:r w:rsidRPr="007150AC">
              <w:t>Typical</w:t>
            </w:r>
            <w:r w:rsidRPr="007150AC">
              <w:t xml:space="preserve"> problems for your facility may include:</w:t>
            </w:r>
          </w:p>
          <w:p w:rsidR="00000000" w:rsidRPr="007150AC" w:rsidP="007150AC">
            <w:pPr>
              <w:pStyle w:val="ListBullet"/>
            </w:pPr>
            <w:r w:rsidRPr="007150AC">
              <w:t>difficulties tracking and identifying relevant legislation or amendments</w:t>
            </w:r>
          </w:p>
          <w:p w:rsidR="00000000" w:rsidRPr="007150AC" w:rsidP="007150AC">
            <w:pPr>
              <w:pStyle w:val="ListBullet"/>
            </w:pPr>
            <w:r w:rsidRPr="007150AC">
              <w:t>managing evidence for later investigations or enquiries</w:t>
            </w:r>
          </w:p>
          <w:p w:rsidR="00000000" w:rsidRPr="007150AC" w:rsidP="007150AC">
            <w:pPr>
              <w:pStyle w:val="ListBullet"/>
            </w:pPr>
            <w:r w:rsidRPr="007150AC">
              <w:t>interpersonal conflicts</w:t>
            </w:r>
          </w:p>
          <w:p w:rsidR="00000000" w:rsidP="007150AC">
            <w:pPr>
              <w:pStyle w:val="ListBullet"/>
              <w:rPr>
                <w:lang w:val="en-NZ"/>
              </w:rPr>
            </w:pPr>
            <w:r w:rsidRPr="007150AC">
              <w:t>conflicts of interest</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Health</w:t>
            </w:r>
            <w:r w:rsidRPr="007150AC">
              <w:t xml:space="preserve">, </w:t>
            </w:r>
            <w:r w:rsidRPr="007150AC">
              <w:rPr>
                <w:rStyle w:val="SpecialBold"/>
              </w:rPr>
              <w:t>safety and environment</w:t>
            </w:r>
            <w:r w:rsidRPr="007150AC">
              <w:t xml:space="preserve"> (</w:t>
            </w:r>
            <w:r w:rsidRPr="007150AC">
              <w:rPr>
                <w:rStyle w:val="SpecialBold"/>
              </w:rPr>
              <w:t>HSE</w:t>
            </w:r>
            <w:r w:rsidRPr="007150AC">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t>All operations to which this unit applies are subject to stringent health, safety and environment requirements, which may be imposed through State or Federal legislation, and these must not be compromised at any time.  Where there is an apparent conflict b</w:t>
            </w:r>
            <w:r w:rsidRPr="007150AC">
              <w:t>etween Performance Criteria and HSE requirements, the HSE requirements take precedence.</w:t>
            </w:r>
          </w:p>
        </w:tc>
      </w:tr>
      <w:tr w:rsidTr="00F9410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Organisations within the Chemical, Hydrocarbons and Oil Refining industries may find themselves falling under the pro</w:t>
            </w:r>
            <w:r w:rsidRPr="007150AC">
              <w:t>visions of various Major Hazard Facilities legislation.  In developing this unit consideration has been given to the requirements of Sections 8 and 9 of the National Standard for the Control of Major Hazard Facilities [NOHSC:1014(2002)] and the National Co</w:t>
            </w:r>
            <w:r w:rsidRPr="007150AC">
              <w:t>de of Practice for the Control of Major Hazard Facilities [NOHSC:2016(1996)].</w:t>
            </w:r>
          </w:p>
          <w:p w:rsidR="00000000" w:rsidRPr="007150AC" w:rsidP="007150AC">
            <w:pPr>
              <w:pStyle w:val="BodyText"/>
            </w:pPr>
            <w:r w:rsidRPr="007150AC">
              <w:t>This unit will assist individuals to meet some of their obligations under the relevant State or Territory legislation.  Responsibility for appropriate contextualisation and appli</w:t>
            </w:r>
            <w:r w:rsidRPr="007150AC">
              <w:t>cation of the unit to ensure compliance however, remains with the individual organisation.</w:t>
            </w:r>
          </w:p>
        </w:tc>
      </w:tr>
    </w:tbl>
    <w:p w:rsidR="00F94107" w:rsidP="007150AC">
      <w:pPr>
        <w:pStyle w:val="BodyText"/>
      </w:pPr>
    </w:p>
    <w:p w:rsidR="00F94107" w:rsidP="007150AC">
      <w:pPr>
        <w:pStyle w:val="BodyText"/>
      </w:pPr>
    </w:p>
    <w:p w:rsidR="00000000" w:rsidRPr="007150AC" w:rsidP="007150AC">
      <w:pPr>
        <w:pStyle w:val="Heading1"/>
      </w:pPr>
      <w:bookmarkStart w:id="12" w:name="O_106454"/>
      <w:bookmarkEnd w:id="12"/>
      <w:r w:rsidRPr="007150AC">
        <w:t>Unit Sector(s)</w:t>
      </w:r>
    </w:p>
    <w:tbl>
      <w:tblPr>
        <w:tblW w:w="0" w:type="auto"/>
        <w:tblCellMar>
          <w:left w:w="62" w:type="dxa"/>
          <w:right w:w="62" w:type="dxa"/>
        </w:tblCellMar>
        <w:tblLook w:val="0000"/>
      </w:tblPr>
      <w:tblGrid>
        <w:gridCol w:w="2479"/>
        <w:gridCol w:w="6717"/>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r w:rsidRPr="007150AC">
              <w:t>Support/generic</w:t>
            </w: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13" w:name="O_159863"/>
      <w:bookmarkEnd w:id="13"/>
      <w:r w:rsidRPr="007150AC">
        <w:t>Competency field</w:t>
      </w:r>
    </w:p>
    <w:tbl>
      <w:tblPr>
        <w:tblW w:w="0" w:type="auto"/>
        <w:tblCellMar>
          <w:left w:w="62" w:type="dxa"/>
          <w:right w:w="62" w:type="dxa"/>
        </w:tblCellMar>
        <w:tblLook w:val="0000"/>
      </w:tblPr>
      <w:tblGrid>
        <w:gridCol w:w="2479"/>
        <w:gridCol w:w="6717"/>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p>
        </w:tc>
      </w:tr>
    </w:tbl>
    <w:p w:rsidR="00000000" w:rsidRPr="007150AC" w:rsidP="007150AC">
      <w:pPr>
        <w:pStyle w:val="BodyText"/>
      </w:pPr>
    </w:p>
    <w:p w:rsidR="00000000" w:rsidRPr="007150AC" w:rsidP="007150AC">
      <w:pPr>
        <w:pStyle w:val="AllowPageBreak"/>
      </w:pPr>
    </w:p>
    <w:p w:rsidR="00000000" w:rsidRPr="007150AC" w:rsidP="007150AC">
      <w:pPr>
        <w:pStyle w:val="Heading1"/>
      </w:pPr>
      <w:bookmarkStart w:id="14" w:name="O_159862"/>
      <w:bookmarkEnd w:id="14"/>
      <w:r w:rsidRPr="007150AC">
        <w:t>Co-requisite units</w:t>
      </w:r>
    </w:p>
    <w:tbl>
      <w:tblPr>
        <w:tblW w:w="0" w:type="auto"/>
        <w:tblCellMar>
          <w:left w:w="62" w:type="dxa"/>
          <w:right w:w="62" w:type="dxa"/>
        </w:tblCellMar>
        <w:tblLook w:val="0000"/>
      </w:tblPr>
      <w:tblGrid>
        <w:gridCol w:w="2479"/>
        <w:gridCol w:w="3358"/>
        <w:gridCol w:w="3359"/>
      </w:tblGrid>
      <w:tr w:rsidTr="00F9410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50AC">
            <w:pPr>
              <w:pStyle w:val="BodyText"/>
              <w:rPr>
                <w:lang w:val="en-NZ"/>
              </w:rPr>
            </w:pPr>
            <w:r w:rsidRPr="007150AC">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50AC" w:rsidP="007150AC">
            <w:pPr>
              <w:pStyle w:val="BodyText"/>
            </w:pPr>
          </w:p>
        </w:tc>
      </w:tr>
    </w:tbl>
    <w:p w:rsidR="00000000" w:rsidRPr="007150AC" w:rsidP="007150AC">
      <w:pPr>
        <w:pStyle w:val="BodyText"/>
      </w:pPr>
    </w:p>
    <w:p w:rsidR="00000000" w:rsidRPr="007150AC" w:rsidP="007150AC"/>
    <w:sectPr w:rsidSect="007150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107" w:rsidP="00F941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07" w:rsidP="007150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4107" w:rsidP="007150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4107" w:rsidP="007150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4107" w:rsidP="00F941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0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07" w:rsidP="007150AC">
    <w:pPr>
      <w:pStyle w:val="Header"/>
      <w:framePr w:wrap="around"/>
    </w:pPr>
    <w:r>
      <w:fldChar w:fldCharType="begin"/>
    </w:r>
    <w:r>
      <w:instrText xml:space="preserve"> TITLE   \* MERGEFORMAT </w:instrText>
    </w:r>
    <w:r>
      <w:fldChar w:fldCharType="separate"/>
    </w:r>
    <w:r>
      <w:t>PMAOMIR449B Monitor legal compliance obligations during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4107" w:rsidP="007150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6AB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D610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0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50AC"/>
    <w:pPr>
      <w:spacing w:before="360" w:after="60"/>
      <w:outlineLvl w:val="0"/>
    </w:pPr>
    <w:rPr>
      <w:sz w:val="32"/>
    </w:rPr>
  </w:style>
  <w:style w:type="paragraph" w:styleId="Heading2">
    <w:name w:val="heading 2"/>
    <w:basedOn w:val="HeadingBase"/>
    <w:next w:val="BodyText"/>
    <w:link w:val="Heading2Char"/>
    <w:qFormat/>
    <w:rsid w:val="007150AC"/>
    <w:pPr>
      <w:keepLines/>
      <w:spacing w:before="240" w:after="120"/>
      <w:outlineLvl w:val="1"/>
    </w:pPr>
    <w:rPr>
      <w:sz w:val="28"/>
      <w:szCs w:val="40"/>
    </w:rPr>
  </w:style>
  <w:style w:type="paragraph" w:styleId="Heading3">
    <w:name w:val="heading 3"/>
    <w:basedOn w:val="HeadingBase"/>
    <w:next w:val="BodyText"/>
    <w:link w:val="Heading3Char"/>
    <w:qFormat/>
    <w:rsid w:val="007150AC"/>
    <w:pPr>
      <w:spacing w:before="180" w:after="120"/>
      <w:outlineLvl w:val="2"/>
    </w:pPr>
    <w:rPr>
      <w:spacing w:val="-10"/>
      <w:kern w:val="32"/>
    </w:rPr>
  </w:style>
  <w:style w:type="paragraph" w:styleId="Heading4">
    <w:name w:val="heading 4"/>
    <w:basedOn w:val="HeadingBase"/>
    <w:next w:val="BodyText"/>
    <w:link w:val="Heading4Char"/>
    <w:qFormat/>
    <w:rsid w:val="007150AC"/>
    <w:pPr>
      <w:spacing w:before="160" w:after="120"/>
      <w:outlineLvl w:val="3"/>
    </w:pPr>
    <w:rPr>
      <w:sz w:val="22"/>
    </w:rPr>
  </w:style>
  <w:style w:type="paragraph" w:styleId="Heading5">
    <w:name w:val="heading 5"/>
    <w:basedOn w:val="HeadingBase"/>
    <w:next w:val="Normal"/>
    <w:link w:val="Heading5Char"/>
    <w:qFormat/>
    <w:rsid w:val="007150AC"/>
    <w:pPr>
      <w:spacing w:before="80"/>
      <w:outlineLvl w:val="4"/>
    </w:pPr>
    <w:rPr>
      <w:color w:val="918585"/>
      <w:sz w:val="20"/>
    </w:rPr>
  </w:style>
  <w:style w:type="paragraph" w:styleId="Heading6">
    <w:name w:val="heading 6"/>
    <w:basedOn w:val="HeadingBase"/>
    <w:next w:val="Normal"/>
    <w:link w:val="Heading6Char"/>
    <w:qFormat/>
    <w:rsid w:val="007150AC"/>
    <w:pPr>
      <w:spacing w:before="60"/>
      <w:outlineLvl w:val="5"/>
    </w:pPr>
    <w:rPr>
      <w:color w:val="918585"/>
      <w:sz w:val="20"/>
    </w:rPr>
  </w:style>
  <w:style w:type="paragraph" w:styleId="Heading7">
    <w:name w:val="heading 7"/>
    <w:basedOn w:val="Normal"/>
    <w:next w:val="Normal"/>
    <w:link w:val="Heading7Char"/>
    <w:qFormat/>
    <w:rsid w:val="007150AC"/>
    <w:pPr>
      <w:ind w:left="720"/>
      <w:outlineLvl w:val="6"/>
    </w:pPr>
    <w:rPr>
      <w:i/>
    </w:rPr>
  </w:style>
  <w:style w:type="paragraph" w:styleId="Heading8">
    <w:name w:val="heading 8"/>
    <w:basedOn w:val="Normal"/>
    <w:next w:val="Normal"/>
    <w:link w:val="Heading8Char"/>
    <w:qFormat/>
    <w:rsid w:val="007150AC"/>
    <w:pPr>
      <w:ind w:left="720"/>
      <w:outlineLvl w:val="7"/>
    </w:pPr>
    <w:rPr>
      <w:i/>
    </w:rPr>
  </w:style>
  <w:style w:type="paragraph" w:styleId="Heading9">
    <w:name w:val="heading 9"/>
    <w:basedOn w:val="Normal"/>
    <w:next w:val="Normal"/>
    <w:link w:val="Heading9Char"/>
    <w:qFormat/>
    <w:rsid w:val="007150AC"/>
    <w:pPr>
      <w:ind w:left="720"/>
      <w:outlineLvl w:val="8"/>
    </w:pPr>
    <w:rPr>
      <w:i/>
    </w:rPr>
  </w:style>
  <w:style w:type="character" w:default="1" w:styleId="DefaultParagraphFont">
    <w:name w:val="Default Paragraph Font"/>
    <w:uiPriority w:val="1"/>
    <w:unhideWhenUsed/>
    <w:rsid w:val="007150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0AC"/>
  </w:style>
  <w:style w:type="character" w:customStyle="1" w:styleId="Heading1Char">
    <w:name w:val="Heading 1 Char"/>
    <w:basedOn w:val="DefaultParagraphFont"/>
    <w:link w:val="Heading1"/>
    <w:rsid w:val="007150AC"/>
    <w:rPr>
      <w:rFonts w:ascii="Times New Roman" w:eastAsia="Times New Roman" w:hAnsi="Times New Roman" w:cs="Times New Roman"/>
      <w:b/>
      <w:sz w:val="32"/>
      <w:szCs w:val="20"/>
      <w:lang w:eastAsia="en-US"/>
    </w:rPr>
  </w:style>
  <w:style w:type="paragraph" w:styleId="BodyText">
    <w:name w:val="Body Text"/>
    <w:basedOn w:val="Normal"/>
    <w:link w:val="BodyTextChar"/>
    <w:rsid w:val="007150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50AC"/>
    <w:rPr>
      <w:rFonts w:ascii="Times New Roman" w:eastAsia="Times New Roman" w:hAnsi="Times New Roman" w:cs="Times New Roman"/>
      <w:sz w:val="24"/>
      <w:lang w:val="en-US" w:eastAsia="en-US"/>
    </w:rPr>
  </w:style>
  <w:style w:type="paragraph" w:styleId="Footer">
    <w:name w:val="footer"/>
    <w:basedOn w:val="Normal"/>
    <w:link w:val="FooterChar"/>
    <w:rsid w:val="007150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0AC"/>
    <w:rPr>
      <w:rFonts w:ascii="Times New Roman" w:eastAsia="Times New Roman" w:hAnsi="Times New Roman" w:cs="Times New Roman"/>
      <w:sz w:val="16"/>
      <w:lang w:val="en-US" w:eastAsia="en-US"/>
    </w:rPr>
  </w:style>
  <w:style w:type="paragraph" w:styleId="List">
    <w:name w:val="List"/>
    <w:basedOn w:val="BodyText"/>
    <w:next w:val="BodyText"/>
    <w:rsid w:val="007150AC"/>
    <w:pPr>
      <w:tabs>
        <w:tab w:val="left" w:pos="340"/>
      </w:tabs>
      <w:spacing w:before="60" w:after="60"/>
      <w:ind w:left="340" w:hanging="340"/>
    </w:pPr>
  </w:style>
  <w:style w:type="paragraph" w:styleId="ListBullet">
    <w:name w:val="List Bullet"/>
    <w:basedOn w:val="List"/>
    <w:rsid w:val="007150AC"/>
    <w:pPr>
      <w:numPr>
        <w:numId w:val="12"/>
      </w:numPr>
      <w:tabs>
        <w:tab w:val="clear" w:pos="340"/>
      </w:tabs>
      <w:spacing w:before="40" w:after="40"/>
    </w:pPr>
  </w:style>
  <w:style w:type="character" w:customStyle="1" w:styleId="SpecialBold">
    <w:name w:val="Special Bold"/>
    <w:basedOn w:val="DefaultParagraphFont"/>
    <w:rsid w:val="007150AC"/>
    <w:rPr>
      <w:b/>
      <w:spacing w:val="0"/>
    </w:rPr>
  </w:style>
  <w:style w:type="paragraph" w:styleId="Header">
    <w:name w:val="header"/>
    <w:basedOn w:val="Normal"/>
    <w:link w:val="HeaderChar"/>
    <w:rsid w:val="007150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0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50AC"/>
    <w:pPr>
      <w:spacing w:before="240" w:after="120"/>
      <w:outlineLvl w:val="0"/>
    </w:pPr>
    <w:rPr>
      <w:rFonts w:ascii="Times New Roman" w:hAnsi="Times New Roman"/>
      <w:b/>
      <w:sz w:val="28"/>
    </w:rPr>
  </w:style>
  <w:style w:type="paragraph" w:customStyle="1" w:styleId="AllowPageBreak">
    <w:name w:val="AllowPageBreak"/>
    <w:rsid w:val="007150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150AC"/>
    <w:pPr>
      <w:tabs>
        <w:tab w:val="left" w:pos="680"/>
      </w:tabs>
      <w:spacing w:before="60" w:after="60"/>
      <w:ind w:left="680" w:hanging="340"/>
    </w:pPr>
  </w:style>
  <w:style w:type="character" w:customStyle="1" w:styleId="Heading2Char">
    <w:name w:val="Heading 2 Char"/>
    <w:basedOn w:val="DefaultParagraphFont"/>
    <w:link w:val="Heading2"/>
    <w:rsid w:val="007150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0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0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0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0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0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50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50AC"/>
    <w:rPr>
      <w:rFonts w:ascii="Courier New" w:eastAsia="Times New Roman" w:hAnsi="Courier New" w:cs="Times New Roman"/>
      <w:i/>
      <w:szCs w:val="20"/>
      <w:lang w:val="en-US" w:eastAsia="en-US"/>
    </w:rPr>
  </w:style>
  <w:style w:type="paragraph" w:customStyle="1" w:styleId="HeadingBase">
    <w:name w:val="Heading Base"/>
    <w:rsid w:val="007150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0AC"/>
    <w:pPr>
      <w:tabs>
        <w:tab w:val="right" w:leader="dot" w:pos="9072"/>
      </w:tabs>
      <w:ind w:left="567"/>
    </w:pPr>
    <w:rPr>
      <w:szCs w:val="22"/>
    </w:rPr>
  </w:style>
  <w:style w:type="paragraph" w:customStyle="1" w:styleId="TOCBase">
    <w:name w:val="TOC Base"/>
    <w:rsid w:val="007150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0AC"/>
    <w:pPr>
      <w:tabs>
        <w:tab w:val="right" w:leader="dot" w:pos="9072"/>
      </w:tabs>
      <w:spacing w:before="40" w:after="40"/>
      <w:ind w:left="284"/>
    </w:pPr>
    <w:rPr>
      <w:rFonts w:ascii="Times New Roman" w:hAnsi="Times New Roman"/>
    </w:rPr>
  </w:style>
  <w:style w:type="paragraph" w:styleId="TOC1">
    <w:name w:val="toc 1"/>
    <w:basedOn w:val="TOCBase"/>
    <w:next w:val="Normal"/>
    <w:rsid w:val="007150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50AC"/>
    <w:pPr>
      <w:spacing w:before="5040"/>
      <w:jc w:val="center"/>
    </w:pPr>
    <w:rPr>
      <w:sz w:val="48"/>
      <w:szCs w:val="72"/>
      <w:lang w:val="en-US"/>
    </w:rPr>
  </w:style>
  <w:style w:type="character" w:customStyle="1" w:styleId="TitleChar">
    <w:name w:val="Title Char"/>
    <w:basedOn w:val="DefaultParagraphFont"/>
    <w:link w:val="Title"/>
    <w:rsid w:val="007150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0AC"/>
    <w:pPr>
      <w:tabs>
        <w:tab w:val="left" w:pos="3600"/>
        <w:tab w:val="left" w:pos="3958"/>
      </w:tabs>
    </w:pPr>
  </w:style>
  <w:style w:type="paragraph" w:customStyle="1" w:styleId="Note">
    <w:name w:val="Note"/>
    <w:basedOn w:val="BodyText"/>
    <w:rsid w:val="007150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50AC"/>
    <w:pPr>
      <w:framePr w:wrap="auto" w:hAnchor="text" w:y="6049"/>
    </w:pPr>
    <w:rPr>
      <w:color w:val="000000"/>
      <w:sz w:val="40"/>
    </w:rPr>
  </w:style>
  <w:style w:type="paragraph" w:customStyle="1" w:styleId="TOCTitle">
    <w:name w:val="TOCTitle"/>
    <w:basedOn w:val="Heading1"/>
    <w:rsid w:val="007150AC"/>
    <w:pPr>
      <w:spacing w:after="240"/>
      <w:jc w:val="center"/>
      <w:outlineLvl w:val="9"/>
    </w:pPr>
    <w:rPr>
      <w:caps/>
    </w:rPr>
  </w:style>
  <w:style w:type="paragraph" w:customStyle="1" w:styleId="Version">
    <w:name w:val="Version"/>
    <w:rsid w:val="007150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50AC"/>
    <w:pPr>
      <w:numPr>
        <w:numId w:val="13"/>
      </w:numPr>
      <w:tabs>
        <w:tab w:val="clear" w:pos="680"/>
      </w:tabs>
    </w:pPr>
  </w:style>
  <w:style w:type="paragraph" w:styleId="Index1">
    <w:name w:val="index 1"/>
    <w:basedOn w:val="Normal"/>
    <w:next w:val="Normal"/>
    <w:semiHidden/>
    <w:rsid w:val="007150AC"/>
    <w:pPr>
      <w:keepNext w:val="0"/>
      <w:tabs>
        <w:tab w:val="right" w:pos="4176"/>
      </w:tabs>
      <w:ind w:left="198" w:hanging="198"/>
    </w:pPr>
    <w:rPr>
      <w:rFonts w:ascii="Garamond" w:hAnsi="Garamond"/>
    </w:rPr>
  </w:style>
  <w:style w:type="paragraph" w:styleId="IndexHeading">
    <w:name w:val="index heading"/>
    <w:basedOn w:val="Normal"/>
    <w:next w:val="Index1"/>
    <w:semiHidden/>
    <w:rsid w:val="007150AC"/>
    <w:pPr>
      <w:spacing w:before="120" w:after="120"/>
    </w:pPr>
    <w:rPr>
      <w:rFonts w:ascii="Arial" w:hAnsi="Arial"/>
      <w:b/>
      <w:color w:val="918585"/>
      <w:sz w:val="24"/>
    </w:rPr>
  </w:style>
  <w:style w:type="paragraph" w:customStyle="1" w:styleId="Chapter">
    <w:name w:val="Chapter"/>
    <w:basedOn w:val="Normal"/>
    <w:rsid w:val="007150AC"/>
    <w:pPr>
      <w:spacing w:before="240"/>
    </w:pPr>
    <w:rPr>
      <w:rFonts w:ascii="Times New Roman" w:hAnsi="Times New Roman"/>
      <w:smallCaps/>
      <w:spacing w:val="80"/>
      <w:sz w:val="28"/>
    </w:rPr>
  </w:style>
  <w:style w:type="paragraph" w:customStyle="1" w:styleId="InChapter">
    <w:name w:val="InChapter"/>
    <w:basedOn w:val="Heading3"/>
    <w:rsid w:val="007150AC"/>
    <w:pPr>
      <w:spacing w:after="240"/>
      <w:outlineLvl w:val="9"/>
    </w:pPr>
    <w:rPr>
      <w:noProof/>
    </w:rPr>
  </w:style>
  <w:style w:type="paragraph" w:styleId="Index2">
    <w:name w:val="index 2"/>
    <w:basedOn w:val="Normal"/>
    <w:next w:val="Normal"/>
    <w:semiHidden/>
    <w:rsid w:val="007150AC"/>
    <w:pPr>
      <w:tabs>
        <w:tab w:val="right" w:pos="4176"/>
      </w:tabs>
      <w:ind w:left="568" w:hanging="284"/>
    </w:pPr>
    <w:rPr>
      <w:rFonts w:ascii="Garamond" w:hAnsi="Garamond"/>
    </w:rPr>
  </w:style>
  <w:style w:type="paragraph" w:customStyle="1" w:styleId="Byline">
    <w:name w:val="Byline"/>
    <w:rsid w:val="007150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0AC"/>
    <w:pPr>
      <w:tabs>
        <w:tab w:val="clear" w:pos="3600"/>
        <w:tab w:val="clear" w:pos="3958"/>
      </w:tabs>
      <w:jc w:val="right"/>
    </w:pPr>
  </w:style>
  <w:style w:type="character" w:styleId="Emphasis">
    <w:name w:val="Emphasis"/>
    <w:basedOn w:val="DefaultParagraphFont"/>
    <w:qFormat/>
    <w:rsid w:val="007150AC"/>
    <w:rPr>
      <w:i/>
    </w:rPr>
  </w:style>
  <w:style w:type="paragraph" w:styleId="Caption">
    <w:name w:val="caption"/>
    <w:basedOn w:val="BodyText"/>
    <w:next w:val="Normal"/>
    <w:qFormat/>
    <w:rsid w:val="007150AC"/>
    <w:pPr>
      <w:framePr w:w="2268" w:hSpace="181" w:vSpace="181" w:wrap="around" w:vAnchor="text" w:hAnchor="page" w:x="1135" w:y="285" w:anchorLock="1"/>
    </w:pPr>
    <w:rPr>
      <w:i/>
    </w:rPr>
  </w:style>
  <w:style w:type="paragraph" w:customStyle="1" w:styleId="MiniTOCTitle">
    <w:name w:val="MiniTOCTitle"/>
    <w:basedOn w:val="Heading4"/>
    <w:rsid w:val="007150AC"/>
    <w:pPr>
      <w:spacing w:before="240"/>
      <w:outlineLvl w:val="9"/>
    </w:pPr>
    <w:rPr>
      <w:noProof/>
      <w:sz w:val="24"/>
    </w:rPr>
  </w:style>
  <w:style w:type="paragraph" w:customStyle="1" w:styleId="MiniTOCItem">
    <w:name w:val="MiniTOCItem"/>
    <w:basedOn w:val="ListBullet"/>
    <w:rsid w:val="007150AC"/>
    <w:pPr>
      <w:numPr>
        <w:numId w:val="0"/>
      </w:numPr>
      <w:tabs>
        <w:tab w:val="right" w:leader="dot" w:pos="6521"/>
      </w:tabs>
      <w:spacing w:before="0" w:after="0"/>
    </w:pPr>
  </w:style>
  <w:style w:type="paragraph" w:customStyle="1" w:styleId="TOFTitle">
    <w:name w:val="TOFTitle"/>
    <w:basedOn w:val="TOCTitle"/>
    <w:rsid w:val="007150AC"/>
  </w:style>
  <w:style w:type="paragraph" w:styleId="TableofFigures">
    <w:name w:val="table of figures"/>
    <w:basedOn w:val="Normal"/>
    <w:next w:val="Normal"/>
    <w:semiHidden/>
    <w:rsid w:val="007150AC"/>
    <w:pPr>
      <w:tabs>
        <w:tab w:val="right" w:leader="dot" w:pos="9072"/>
      </w:tabs>
      <w:ind w:left="970" w:hanging="403"/>
    </w:pPr>
    <w:rPr>
      <w:rFonts w:ascii="Times New Roman" w:hAnsi="Times New Roman"/>
      <w:b/>
    </w:rPr>
  </w:style>
  <w:style w:type="paragraph" w:styleId="ListNumber">
    <w:name w:val="List Number"/>
    <w:basedOn w:val="List"/>
    <w:rsid w:val="007150AC"/>
    <w:pPr>
      <w:numPr>
        <w:numId w:val="10"/>
      </w:numPr>
    </w:pPr>
  </w:style>
  <w:style w:type="character" w:customStyle="1" w:styleId="WingdingSymbols">
    <w:name w:val="Wingding Symbols"/>
    <w:rsid w:val="007150AC"/>
    <w:rPr>
      <w:rFonts w:ascii="Wingdings" w:hAnsi="Wingdings"/>
    </w:rPr>
  </w:style>
  <w:style w:type="paragraph" w:customStyle="1" w:styleId="TableHeading">
    <w:name w:val="Table Heading"/>
    <w:basedOn w:val="HeadingBase"/>
    <w:rsid w:val="007150AC"/>
    <w:pPr>
      <w:keepLines/>
      <w:pBdr>
        <w:bottom w:val="single" w:sz="6" w:space="1" w:color="918585"/>
      </w:pBdr>
      <w:spacing w:before="240"/>
    </w:pPr>
  </w:style>
  <w:style w:type="character" w:customStyle="1" w:styleId="HotSpot">
    <w:name w:val="HotSpot"/>
    <w:rsid w:val="007150AC"/>
    <w:rPr>
      <w:color w:val="0033CC"/>
      <w:u w:val="none"/>
    </w:rPr>
  </w:style>
  <w:style w:type="paragraph" w:customStyle="1" w:styleId="BodyTextRight">
    <w:name w:val="Body Text Right"/>
    <w:basedOn w:val="BodyText"/>
    <w:rsid w:val="007150AC"/>
    <w:pPr>
      <w:spacing w:before="0" w:after="0"/>
      <w:jc w:val="right"/>
    </w:pPr>
  </w:style>
  <w:style w:type="paragraph" w:styleId="Index3">
    <w:name w:val="index 3"/>
    <w:basedOn w:val="ListNumber2"/>
    <w:next w:val="Normal"/>
    <w:semiHidden/>
    <w:rsid w:val="007150AC"/>
    <w:pPr>
      <w:numPr>
        <w:numId w:val="0"/>
      </w:numPr>
      <w:tabs>
        <w:tab w:val="right" w:leader="dot" w:pos="4176"/>
      </w:tabs>
    </w:pPr>
  </w:style>
  <w:style w:type="paragraph" w:styleId="ListNumber2">
    <w:name w:val="List Number 2"/>
    <w:basedOn w:val="List2"/>
    <w:rsid w:val="007150AC"/>
    <w:pPr>
      <w:numPr>
        <w:numId w:val="9"/>
      </w:numPr>
      <w:tabs>
        <w:tab w:val="clear" w:pos="1060"/>
      </w:tabs>
    </w:pPr>
  </w:style>
  <w:style w:type="paragraph" w:customStyle="1" w:styleId="MarginNote">
    <w:name w:val="Margin Note"/>
    <w:basedOn w:val="BodyText"/>
    <w:rsid w:val="007150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0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0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50AC"/>
    <w:rPr>
      <w:sz w:val="32"/>
    </w:rPr>
  </w:style>
  <w:style w:type="paragraph" w:customStyle="1" w:styleId="HeadingProcedure">
    <w:name w:val="Heading Procedure"/>
    <w:basedOn w:val="HeadingBase"/>
    <w:next w:val="Normal"/>
    <w:rsid w:val="007150AC"/>
    <w:pPr>
      <w:tabs>
        <w:tab w:val="left" w:pos="0"/>
      </w:tabs>
      <w:spacing w:before="120" w:after="60"/>
    </w:pPr>
    <w:rPr>
      <w:i/>
      <w:color w:val="918585"/>
      <w:sz w:val="22"/>
    </w:rPr>
  </w:style>
  <w:style w:type="paragraph" w:customStyle="1" w:styleId="TableBodyText">
    <w:name w:val="Table Body Text"/>
    <w:basedOn w:val="BodyText"/>
    <w:rsid w:val="007150AC"/>
    <w:pPr>
      <w:spacing w:before="60" w:after="60"/>
    </w:pPr>
  </w:style>
  <w:style w:type="paragraph" w:styleId="ListContinue">
    <w:name w:val="List Continue"/>
    <w:basedOn w:val="List"/>
    <w:rsid w:val="007150AC"/>
    <w:pPr>
      <w:ind w:firstLine="0"/>
    </w:pPr>
  </w:style>
  <w:style w:type="paragraph" w:customStyle="1" w:styleId="ListNote">
    <w:name w:val="List Note"/>
    <w:basedOn w:val="List"/>
    <w:rsid w:val="007150AC"/>
    <w:pPr>
      <w:pBdr>
        <w:top w:val="single" w:sz="6" w:space="2" w:color="918585"/>
        <w:bottom w:val="single" w:sz="6" w:space="2" w:color="918585"/>
      </w:pBdr>
      <w:tabs>
        <w:tab w:val="left" w:pos="1021"/>
      </w:tabs>
      <w:ind w:firstLine="0"/>
    </w:pPr>
  </w:style>
  <w:style w:type="paragraph" w:customStyle="1" w:styleId="Warning">
    <w:name w:val="Warning"/>
    <w:basedOn w:val="BodyText"/>
    <w:rsid w:val="007150AC"/>
    <w:pPr>
      <w:shd w:val="clear" w:color="auto" w:fill="D9D9D9"/>
      <w:tabs>
        <w:tab w:val="left" w:pos="992"/>
      </w:tabs>
      <w:ind w:left="119" w:right="119"/>
    </w:pPr>
    <w:rPr>
      <w:sz w:val="20"/>
    </w:rPr>
  </w:style>
  <w:style w:type="paragraph" w:customStyle="1" w:styleId="MarginIcons">
    <w:name w:val="Margin Icons"/>
    <w:basedOn w:val="BodyText"/>
    <w:rsid w:val="007150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0AC"/>
    <w:rPr>
      <w:rFonts w:ascii="Courier New" w:hAnsi="Courier New"/>
    </w:rPr>
  </w:style>
  <w:style w:type="paragraph" w:customStyle="1" w:styleId="NoteBullet">
    <w:name w:val="Note Bullet"/>
    <w:basedOn w:val="Note"/>
    <w:rsid w:val="007150AC"/>
    <w:pPr>
      <w:tabs>
        <w:tab w:val="clear" w:pos="680"/>
      </w:tabs>
      <w:spacing w:before="60" w:after="60"/>
    </w:pPr>
  </w:style>
  <w:style w:type="paragraph" w:customStyle="1" w:styleId="SubHeading2">
    <w:name w:val="SubHeading2"/>
    <w:basedOn w:val="HeadingBase"/>
    <w:rsid w:val="007150AC"/>
    <w:pPr>
      <w:spacing w:before="240" w:after="60"/>
    </w:pPr>
    <w:rPr>
      <w:sz w:val="20"/>
    </w:rPr>
  </w:style>
  <w:style w:type="paragraph" w:customStyle="1" w:styleId="SubHeading1">
    <w:name w:val="SubHeading1"/>
    <w:basedOn w:val="HeadingBase"/>
    <w:rsid w:val="007150AC"/>
    <w:pPr>
      <w:spacing w:before="240" w:after="60"/>
    </w:pPr>
    <w:rPr>
      <w:color w:val="918585"/>
      <w:sz w:val="22"/>
    </w:rPr>
  </w:style>
  <w:style w:type="paragraph" w:customStyle="1" w:styleId="SideHeading">
    <w:name w:val="Side Heading"/>
    <w:basedOn w:val="HeadingBase"/>
    <w:rsid w:val="007150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0AC"/>
    <w:pPr>
      <w:tabs>
        <w:tab w:val="num" w:pos="360"/>
      </w:tabs>
    </w:pPr>
  </w:style>
  <w:style w:type="paragraph" w:styleId="PlainText">
    <w:name w:val="Plain Text"/>
    <w:basedOn w:val="Normal"/>
    <w:link w:val="PlainTextChar"/>
    <w:rsid w:val="007150AC"/>
    <w:rPr>
      <w:sz w:val="20"/>
    </w:rPr>
  </w:style>
  <w:style w:type="character" w:customStyle="1" w:styleId="PlainTextChar">
    <w:name w:val="Plain Text Char"/>
    <w:basedOn w:val="DefaultParagraphFont"/>
    <w:link w:val="PlainText"/>
    <w:rsid w:val="007150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50AC"/>
    <w:rPr>
      <w:b/>
      <w:smallCaps/>
    </w:rPr>
  </w:style>
  <w:style w:type="paragraph" w:customStyle="1" w:styleId="TableListNumber">
    <w:name w:val="Table List Number"/>
    <w:basedOn w:val="ListNumber"/>
    <w:rsid w:val="007150AC"/>
    <w:pPr>
      <w:numPr>
        <w:numId w:val="0"/>
      </w:numPr>
    </w:pPr>
  </w:style>
  <w:style w:type="paragraph" w:styleId="TOC4">
    <w:name w:val="toc 4"/>
    <w:basedOn w:val="TOCBase"/>
    <w:next w:val="Normal"/>
    <w:semiHidden/>
    <w:rsid w:val="007150AC"/>
    <w:pPr>
      <w:tabs>
        <w:tab w:val="right" w:leader="dot" w:pos="9071"/>
      </w:tabs>
      <w:ind w:left="1701"/>
    </w:pPr>
  </w:style>
  <w:style w:type="paragraph" w:customStyle="1" w:styleId="ListAlpha">
    <w:name w:val="List Alpha"/>
    <w:basedOn w:val="List"/>
    <w:rsid w:val="007150AC"/>
    <w:pPr>
      <w:numPr>
        <w:numId w:val="8"/>
      </w:numPr>
    </w:pPr>
  </w:style>
  <w:style w:type="paragraph" w:customStyle="1" w:styleId="ListAlpha2">
    <w:name w:val="List Alpha 2"/>
    <w:basedOn w:val="List2"/>
    <w:rsid w:val="007150AC"/>
    <w:pPr>
      <w:numPr>
        <w:numId w:val="7"/>
      </w:numPr>
    </w:pPr>
  </w:style>
  <w:style w:type="paragraph" w:styleId="List3">
    <w:name w:val="List 3"/>
    <w:basedOn w:val="BodyText"/>
    <w:rsid w:val="007150AC"/>
    <w:pPr>
      <w:tabs>
        <w:tab w:val="left" w:pos="1021"/>
      </w:tabs>
      <w:spacing w:before="60" w:after="60"/>
      <w:ind w:left="1020" w:hanging="340"/>
    </w:pPr>
  </w:style>
  <w:style w:type="paragraph" w:styleId="List4">
    <w:name w:val="List 4"/>
    <w:basedOn w:val="BodyText"/>
    <w:rsid w:val="007150AC"/>
    <w:pPr>
      <w:tabs>
        <w:tab w:val="left" w:pos="1361"/>
      </w:tabs>
      <w:spacing w:before="60" w:after="60"/>
      <w:ind w:left="1361" w:hanging="340"/>
    </w:pPr>
  </w:style>
  <w:style w:type="paragraph" w:styleId="List5">
    <w:name w:val="List 5"/>
    <w:basedOn w:val="BodyText"/>
    <w:rsid w:val="007150AC"/>
    <w:pPr>
      <w:tabs>
        <w:tab w:val="left" w:pos="1701"/>
      </w:tabs>
      <w:spacing w:before="60" w:after="60"/>
      <w:ind w:left="1701" w:hanging="340"/>
    </w:pPr>
  </w:style>
  <w:style w:type="paragraph" w:styleId="ListBullet3">
    <w:name w:val="List Bullet 3"/>
    <w:basedOn w:val="List3"/>
    <w:rsid w:val="007150AC"/>
    <w:pPr>
      <w:numPr>
        <w:numId w:val="14"/>
      </w:numPr>
      <w:tabs>
        <w:tab w:val="clear" w:pos="1021"/>
      </w:tabs>
      <w:ind w:left="1037" w:hanging="357"/>
    </w:pPr>
  </w:style>
  <w:style w:type="paragraph" w:styleId="ListBullet4">
    <w:name w:val="List Bullet 4"/>
    <w:basedOn w:val="List4"/>
    <w:rsid w:val="007150AC"/>
    <w:pPr>
      <w:numPr>
        <w:numId w:val="2"/>
      </w:numPr>
    </w:pPr>
  </w:style>
  <w:style w:type="paragraph" w:styleId="ListBullet5">
    <w:name w:val="List Bullet 5"/>
    <w:basedOn w:val="List5"/>
    <w:rsid w:val="007150AC"/>
    <w:pPr>
      <w:numPr>
        <w:numId w:val="3"/>
      </w:numPr>
    </w:pPr>
  </w:style>
  <w:style w:type="paragraph" w:styleId="ListContinue2">
    <w:name w:val="List Continue 2"/>
    <w:basedOn w:val="List2"/>
    <w:rsid w:val="007150AC"/>
    <w:pPr>
      <w:ind w:firstLine="0"/>
    </w:pPr>
  </w:style>
  <w:style w:type="paragraph" w:styleId="ListContinue3">
    <w:name w:val="List Continue 3"/>
    <w:basedOn w:val="List3"/>
    <w:rsid w:val="007150AC"/>
    <w:pPr>
      <w:ind w:left="1021" w:firstLine="0"/>
    </w:pPr>
  </w:style>
  <w:style w:type="paragraph" w:styleId="ListContinue4">
    <w:name w:val="List Continue 4"/>
    <w:basedOn w:val="List4"/>
    <w:rsid w:val="007150AC"/>
    <w:pPr>
      <w:ind w:firstLine="0"/>
    </w:pPr>
  </w:style>
  <w:style w:type="paragraph" w:styleId="ListContinue5">
    <w:name w:val="List Continue 5"/>
    <w:basedOn w:val="List5"/>
    <w:rsid w:val="007150AC"/>
    <w:pPr>
      <w:ind w:firstLine="0"/>
    </w:pPr>
  </w:style>
  <w:style w:type="paragraph" w:styleId="ListNumber3">
    <w:name w:val="List Number 3"/>
    <w:basedOn w:val="List3"/>
    <w:rsid w:val="007150AC"/>
    <w:pPr>
      <w:numPr>
        <w:numId w:val="4"/>
      </w:numPr>
    </w:pPr>
  </w:style>
  <w:style w:type="paragraph" w:styleId="ListNumber4">
    <w:name w:val="List Number 4"/>
    <w:basedOn w:val="List4"/>
    <w:rsid w:val="007150AC"/>
    <w:pPr>
      <w:numPr>
        <w:numId w:val="5"/>
      </w:numPr>
    </w:pPr>
  </w:style>
  <w:style w:type="paragraph" w:styleId="ListNumber5">
    <w:name w:val="List Number 5"/>
    <w:basedOn w:val="List5"/>
    <w:rsid w:val="007150AC"/>
    <w:pPr>
      <w:numPr>
        <w:numId w:val="6"/>
      </w:numPr>
    </w:pPr>
  </w:style>
  <w:style w:type="paragraph" w:styleId="BlockText">
    <w:name w:val="Block Text"/>
    <w:basedOn w:val="Normal"/>
    <w:rsid w:val="007150AC"/>
    <w:pPr>
      <w:spacing w:after="120"/>
      <w:ind w:left="1440" w:right="1440"/>
    </w:pPr>
  </w:style>
  <w:style w:type="character" w:customStyle="1" w:styleId="Subscript">
    <w:name w:val="Subscript"/>
    <w:basedOn w:val="DefaultParagraphFont"/>
    <w:rsid w:val="007150AC"/>
    <w:rPr>
      <w:sz w:val="16"/>
      <w:vertAlign w:val="subscript"/>
    </w:rPr>
  </w:style>
  <w:style w:type="character" w:customStyle="1" w:styleId="Superscript">
    <w:name w:val="Superscript"/>
    <w:basedOn w:val="DefaultParagraphFont"/>
    <w:rsid w:val="007150AC"/>
    <w:rPr>
      <w:sz w:val="16"/>
      <w:vertAlign w:val="superscript"/>
    </w:rPr>
  </w:style>
  <w:style w:type="character" w:customStyle="1" w:styleId="Symbols">
    <w:name w:val="Symbols"/>
    <w:basedOn w:val="DefaultParagraphFont"/>
    <w:rsid w:val="007150AC"/>
    <w:rPr>
      <w:rFonts w:ascii="Symbol" w:hAnsi="Symbol"/>
    </w:rPr>
  </w:style>
  <w:style w:type="character" w:customStyle="1" w:styleId="MenuOptions">
    <w:name w:val="Menu Options"/>
    <w:basedOn w:val="DefaultParagraphFont"/>
    <w:rsid w:val="007150AC"/>
    <w:rPr>
      <w:rFonts w:ascii="Arial Narrow" w:hAnsi="Arial Narrow"/>
      <w:smallCaps/>
    </w:rPr>
  </w:style>
  <w:style w:type="character" w:customStyle="1" w:styleId="Buttons">
    <w:name w:val="Buttons"/>
    <w:basedOn w:val="DefaultParagraphFont"/>
    <w:rsid w:val="007150AC"/>
    <w:rPr>
      <w:b/>
    </w:rPr>
  </w:style>
  <w:style w:type="character" w:customStyle="1" w:styleId="Underlined">
    <w:name w:val="Underlined"/>
    <w:basedOn w:val="DefaultParagraphFont"/>
    <w:rsid w:val="007150AC"/>
    <w:rPr>
      <w:u w:val="single"/>
    </w:rPr>
  </w:style>
  <w:style w:type="paragraph" w:customStyle="1" w:styleId="TableBodyTextRight">
    <w:name w:val="Table Body Text Right"/>
    <w:basedOn w:val="TableBodyText"/>
    <w:rsid w:val="007150AC"/>
    <w:pPr>
      <w:widowControl w:val="0"/>
      <w:autoSpaceDE w:val="0"/>
      <w:autoSpaceDN w:val="0"/>
      <w:adjustRightInd w:val="0"/>
      <w:jc w:val="right"/>
    </w:pPr>
    <w:rPr>
      <w:rFonts w:cs="Arial"/>
      <w:szCs w:val="18"/>
    </w:rPr>
  </w:style>
  <w:style w:type="paragraph" w:customStyle="1" w:styleId="CopyrightText">
    <w:name w:val="Copyright Text"/>
    <w:basedOn w:val="BodyText"/>
    <w:rsid w:val="007150AC"/>
    <w:rPr>
      <w:sz w:val="18"/>
    </w:rPr>
  </w:style>
  <w:style w:type="paragraph" w:customStyle="1" w:styleId="BodySmallRight">
    <w:name w:val="Body Small Right"/>
    <w:basedOn w:val="BodyTextRight"/>
    <w:rsid w:val="007150AC"/>
    <w:rPr>
      <w:sz w:val="18"/>
      <w:szCs w:val="18"/>
    </w:rPr>
  </w:style>
  <w:style w:type="paragraph" w:customStyle="1" w:styleId="MarginEdition">
    <w:name w:val="Margin Edition"/>
    <w:basedOn w:val="MarginNote"/>
    <w:rsid w:val="007150AC"/>
    <w:pPr>
      <w:spacing w:before="0" w:after="0"/>
    </w:pPr>
    <w:rPr>
      <w:rFonts w:ascii="Times New Roman" w:hAnsi="Times New Roman"/>
      <w:color w:val="999999"/>
    </w:rPr>
  </w:style>
  <w:style w:type="paragraph" w:customStyle="1" w:styleId="Spacer">
    <w:name w:val="Spacer"/>
    <w:basedOn w:val="Normal"/>
    <w:rsid w:val="007150AC"/>
    <w:rPr>
      <w:sz w:val="2"/>
      <w:szCs w:val="2"/>
    </w:rPr>
  </w:style>
  <w:style w:type="character" w:customStyle="1" w:styleId="Small">
    <w:name w:val="Small"/>
    <w:basedOn w:val="DefaultParagraphFont"/>
    <w:rsid w:val="007150AC"/>
    <w:rPr>
      <w:sz w:val="16"/>
    </w:rPr>
  </w:style>
  <w:style w:type="paragraph" w:customStyle="1" w:styleId="WideTable">
    <w:name w:val="Wide Table"/>
    <w:basedOn w:val="Normal"/>
    <w:rsid w:val="007150AC"/>
    <w:pPr>
      <w:ind w:left="-1418"/>
    </w:pPr>
    <w:rPr>
      <w:sz w:val="2"/>
      <w:szCs w:val="2"/>
    </w:rPr>
  </w:style>
  <w:style w:type="character" w:styleId="PageNumber">
    <w:name w:val="page number"/>
    <w:basedOn w:val="DefaultParagraphFont"/>
    <w:rsid w:val="007150AC"/>
  </w:style>
  <w:style w:type="paragraph" w:styleId="Quote">
    <w:name w:val="Quote"/>
    <w:basedOn w:val="Heading1"/>
    <w:link w:val="QuoteChar"/>
    <w:qFormat/>
    <w:rsid w:val="007150AC"/>
    <w:rPr>
      <w:b w:val="0"/>
      <w:sz w:val="72"/>
      <w:szCs w:val="72"/>
      <w:lang w:val="en-NZ"/>
    </w:rPr>
  </w:style>
  <w:style w:type="character" w:customStyle="1" w:styleId="QuoteChar">
    <w:name w:val="Quote Char"/>
    <w:basedOn w:val="DefaultParagraphFont"/>
    <w:link w:val="Quote"/>
    <w:rsid w:val="007150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0AC"/>
    <w:pPr>
      <w:pageBreakBefore/>
    </w:pPr>
  </w:style>
  <w:style w:type="paragraph" w:customStyle="1" w:styleId="Border">
    <w:name w:val="Border"/>
    <w:basedOn w:val="Normal"/>
    <w:qFormat/>
    <w:rsid w:val="007150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0AC"/>
    <w:rPr>
      <w:b/>
      <w:bCs/>
      <w:i/>
      <w:iCs/>
      <w:color w:val="auto"/>
    </w:rPr>
  </w:style>
  <w:style w:type="paragraph" w:styleId="IntenseQuote">
    <w:name w:val="Intense Quote"/>
    <w:basedOn w:val="Normal"/>
    <w:next w:val="Normal"/>
    <w:link w:val="IntenseQuoteChar"/>
    <w:uiPriority w:val="30"/>
    <w:qFormat/>
    <w:rsid w:val="007150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0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50AC"/>
    <w:rPr>
      <w:smallCaps/>
      <w:color w:val="auto"/>
      <w:u w:val="single"/>
    </w:rPr>
  </w:style>
  <w:style w:type="character" w:styleId="IntenseReference">
    <w:name w:val="Intense Reference"/>
    <w:basedOn w:val="DefaultParagraphFont"/>
    <w:uiPriority w:val="32"/>
    <w:qFormat/>
    <w:rsid w:val="007150AC"/>
    <w:rPr>
      <w:b/>
      <w:bCs/>
      <w:smallCaps/>
      <w:color w:val="auto"/>
      <w:spacing w:val="5"/>
      <w:u w:val="single"/>
    </w:rPr>
  </w:style>
  <w:style w:type="paragraph" w:customStyle="1" w:styleId="2ColumnHeading">
    <w:name w:val="2Column Heading"/>
    <w:basedOn w:val="BodyText"/>
    <w:qFormat/>
    <w:rsid w:val="007150AC"/>
    <w:pPr>
      <w:spacing w:after="60"/>
      <w:ind w:left="-2268"/>
    </w:pPr>
    <w:rPr>
      <w:b/>
    </w:rPr>
  </w:style>
  <w:style w:type="paragraph" w:customStyle="1" w:styleId="Heading1TOC">
    <w:name w:val="Heading1 TOC"/>
    <w:basedOn w:val="Normal"/>
    <w:qFormat/>
    <w:rsid w:val="007150AC"/>
    <w:pPr>
      <w:spacing w:before="240" w:after="120"/>
    </w:pPr>
    <w:rPr>
      <w:rFonts w:ascii="Times New Roman" w:hAnsi="Times New Roman"/>
      <w:b/>
      <w:sz w:val="32"/>
    </w:rPr>
  </w:style>
  <w:style w:type="paragraph" w:customStyle="1" w:styleId="Heading2TOC">
    <w:name w:val="Heading2 TOC"/>
    <w:basedOn w:val="Normal"/>
    <w:qFormat/>
    <w:rsid w:val="007150AC"/>
    <w:pPr>
      <w:spacing w:before="240" w:after="60"/>
    </w:pPr>
    <w:rPr>
      <w:rFonts w:ascii="Times New Roman" w:hAnsi="Times New Roman"/>
      <w:b/>
      <w:sz w:val="28"/>
    </w:rPr>
  </w:style>
  <w:style w:type="character" w:customStyle="1" w:styleId="Underline">
    <w:name w:val="Underline"/>
    <w:basedOn w:val="DefaultParagraphFont"/>
    <w:qFormat/>
    <w:rsid w:val="007150AC"/>
    <w:rPr>
      <w:u w:val="single"/>
    </w:rPr>
  </w:style>
  <w:style w:type="character" w:customStyle="1" w:styleId="BoldandItalics">
    <w:name w:val="Bold and Italics"/>
    <w:qFormat/>
    <w:rsid w:val="007150AC"/>
    <w:rPr>
      <w:b/>
      <w:i/>
      <w:u w:val="none"/>
    </w:rPr>
  </w:style>
  <w:style w:type="paragraph" w:styleId="BalloonText">
    <w:name w:val="Balloon Text"/>
    <w:basedOn w:val="Normal"/>
    <w:link w:val="BalloonTextChar"/>
    <w:rsid w:val="007150AC"/>
    <w:rPr>
      <w:rFonts w:ascii="Tahoma" w:hAnsi="Tahoma" w:cs="Tahoma"/>
      <w:sz w:val="16"/>
      <w:szCs w:val="16"/>
    </w:rPr>
  </w:style>
  <w:style w:type="character" w:customStyle="1" w:styleId="BalloonTextChar">
    <w:name w:val="Balloon Text Char"/>
    <w:basedOn w:val="DefaultParagraphFont"/>
    <w:link w:val="BalloonText"/>
    <w:rsid w:val="007150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50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50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1482</Words>
  <Characters>8988</Characters>
  <Application>Microsoft Office Word</Application>
  <DocSecurity>0</DocSecurity>
  <Lines>262</Lines>
  <Paragraphs>123</Paragraphs>
  <ScaleCrop>false</ScaleCrop>
  <Company>Author-it Software Corporation Ltd.</Company>
  <LinksUpToDate>false</LinksUpToDate>
  <CharactersWithSpaces>10394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PMAOMIR449B Monitor legal compliance obligations during incidents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2012-05-26T07:57:00Z</dcterms:created>
  <dcterms:modified xsi:type="dcterms:W3CDTF">2012-05-26T07:57:00Z</dcterms:modified>
</cp:coreProperties>
</file>