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427" w:rsidP="005E7427">
      <w:pPr>
        <w:pStyle w:val="Title"/>
      </w:pPr>
      <w:r>
        <w:fldChar w:fldCharType="begin"/>
      </w:r>
      <w:r>
        <w:instrText xml:space="preserve"> TITLE   \* MERGEFORMAT </w:instrText>
      </w:r>
      <w:r>
        <w:fldChar w:fldCharType="separate"/>
      </w:r>
      <w:r>
        <w:t>PMAOMIR424B Develop and maintain community relationships</w:t>
      </w:r>
      <w:r>
        <w:fldChar w:fldCharType="end"/>
      </w:r>
    </w:p>
    <w:p w:rsidR="005E7427" w:rsidP="005E7427">
      <w:pPr>
        <w:pStyle w:val="Version"/>
        <w:sectPr w:rsidSect="00B22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2342" w:rsidP="00B22342">
      <w:pPr>
        <w:pStyle w:val="SuperHeading"/>
      </w:pPr>
      <w:r w:rsidRPr="00B22342">
        <w:t>PMAOMIR424B Develop and maintain community relationships</w:t>
      </w:r>
    </w:p>
    <w:p w:rsidR="00000000" w:rsidRPr="00B22342" w:rsidP="00B22342">
      <w:pPr>
        <w:pStyle w:val="SuperHeading"/>
      </w:pPr>
    </w:p>
    <w:p w:rsidR="00000000" w:rsidRPr="00B22342" w:rsidP="00B22342">
      <w:pPr>
        <w:pStyle w:val="Heading1"/>
      </w:pPr>
      <w:bookmarkStart w:id="1" w:name="O_106407"/>
      <w:bookmarkEnd w:id="1"/>
      <w:r w:rsidRPr="00B22342">
        <w:t>Modification History</w:t>
      </w:r>
    </w:p>
    <w:p w:rsidR="00000000" w:rsidRPr="00B22342" w:rsidP="00B22342">
      <w:pPr>
        <w:pStyle w:val="BodyText"/>
      </w:pPr>
      <w:r w:rsidRPr="00B22342">
        <w:t>Not applicable.</w:t>
      </w:r>
    </w:p>
    <w:p w:rsidR="00000000" w:rsidRPr="00B22342" w:rsidP="00B22342">
      <w:pPr>
        <w:pStyle w:val="AllowPageBreak"/>
      </w:pPr>
    </w:p>
    <w:p w:rsidR="00000000" w:rsidRPr="00B22342" w:rsidP="00B22342">
      <w:pPr>
        <w:pStyle w:val="Heading1"/>
      </w:pPr>
      <w:bookmarkStart w:id="2" w:name="O_106408"/>
      <w:bookmarkEnd w:id="2"/>
      <w:r w:rsidRPr="00B22342">
        <w:t>Unit Descriptor</w:t>
      </w:r>
    </w:p>
    <w:tbl>
      <w:tblPr>
        <w:tblW w:w="0" w:type="auto"/>
        <w:tblCellMar>
          <w:left w:w="62" w:type="dxa"/>
          <w:right w:w="62" w:type="dxa"/>
        </w:tblCellMar>
        <w:tblLook w:val="0000"/>
      </w:tblPr>
      <w:tblGrid>
        <w:gridCol w:w="2649"/>
        <w:gridCol w:w="6547"/>
      </w:tblGrid>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This unit covers the establishment of workable arrangements which engage and inform the comm</w:t>
            </w:r>
            <w:r w:rsidRPr="00B22342">
              <w:t>unity about aspects of the plant's operations and incident response systems.  This could apply to information about the products the operation produces, critical events on the organisation's calendar such as incident response practices and means by which t</w:t>
            </w:r>
            <w:r w:rsidRPr="00B22342">
              <w:t>he community would be kept informed during an incident.</w:t>
            </w: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3" w:name="O_106409"/>
      <w:bookmarkEnd w:id="3"/>
      <w:r w:rsidRPr="00B22342">
        <w:t>Application of the Unit</w:t>
      </w:r>
    </w:p>
    <w:tbl>
      <w:tblPr>
        <w:tblW w:w="0" w:type="auto"/>
        <w:tblCellMar>
          <w:left w:w="62" w:type="dxa"/>
          <w:right w:w="62" w:type="dxa"/>
        </w:tblCellMar>
        <w:tblLook w:val="0000"/>
      </w:tblPr>
      <w:tblGrid>
        <w:gridCol w:w="2649"/>
        <w:gridCol w:w="6547"/>
      </w:tblGrid>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In a typical scenario the person is a member of the incident room team and is designated with the task of ensuring the preparedness of the communities surrounding and/or affected by the facility to respond to an incident.  For example the organisation is p</w:t>
            </w:r>
            <w:r w:rsidRPr="00B22342">
              <w:t>reparing to shut down part of the plant for routine maintenance and as part of that process some of the gas will be flared off.  This will create a spectacular plume over the plant but because the community is alerted to both timing and what to expect, com</w:t>
            </w:r>
            <w:r w:rsidRPr="00B22342">
              <w:t>munity panic and concern is limited.</w:t>
            </w:r>
          </w:p>
          <w:p w:rsidR="00000000" w:rsidRPr="00B22342" w:rsidP="00B22342">
            <w:pPr>
              <w:pStyle w:val="BodyText"/>
            </w:pPr>
            <w:r w:rsidRPr="00B22342">
              <w:t>Key aspects of the competency include:</w:t>
            </w:r>
          </w:p>
          <w:p w:rsidR="00000000" w:rsidRPr="00B22342" w:rsidP="00B22342">
            <w:pPr>
              <w:pStyle w:val="ListBullet"/>
            </w:pPr>
            <w:r w:rsidRPr="00B22342">
              <w:t>gathering and disseminating key information to the community</w:t>
            </w:r>
          </w:p>
          <w:p w:rsidR="00000000" w:rsidRPr="00B22342" w:rsidP="00B22342">
            <w:pPr>
              <w:pStyle w:val="ListBullet"/>
            </w:pPr>
            <w:r w:rsidRPr="00B22342">
              <w:t>identifying key organisations in the community with which communication links need to be established</w:t>
            </w:r>
          </w:p>
          <w:p w:rsidR="00000000" w:rsidRPr="00B22342" w:rsidP="00B22342">
            <w:pPr>
              <w:pStyle w:val="ListBullet"/>
            </w:pPr>
            <w:r w:rsidRPr="00B22342">
              <w:t>establishing incl</w:t>
            </w:r>
            <w:r w:rsidRPr="00B22342">
              <w:t>usive strategies concerning both routine and non-routine events.</w:t>
            </w:r>
          </w:p>
          <w:p w:rsidR="00000000" w:rsidRPr="00B22342" w:rsidP="00B22342">
            <w:pPr>
              <w:pStyle w:val="BodyText"/>
            </w:pPr>
            <w:r w:rsidRPr="00B22342">
              <w:t>This person would:</w:t>
            </w:r>
          </w:p>
          <w:p w:rsidR="00000000" w:rsidRPr="00B22342" w:rsidP="00B22342">
            <w:pPr>
              <w:pStyle w:val="ListBullet"/>
            </w:pPr>
            <w:r w:rsidRPr="00B22342">
              <w:t>establish networks within the community</w:t>
            </w:r>
          </w:p>
          <w:p w:rsidR="00000000" w:rsidRPr="00B22342" w:rsidP="00B22342">
            <w:pPr>
              <w:pStyle w:val="ListBullet"/>
            </w:pPr>
            <w:r w:rsidRPr="00B22342">
              <w:t>design and conduct public safety awareness activities that will establish community preparedness by enhancing awareness.</w:t>
            </w:r>
          </w:p>
          <w:p w:rsidR="00000000" w:rsidRPr="00B22342" w:rsidP="00B22342">
            <w:pPr>
              <w:pStyle w:val="BodyText"/>
            </w:pPr>
            <w:r w:rsidRPr="00B22342">
              <w:t>While inde</w:t>
            </w:r>
            <w:r w:rsidRPr="00B22342">
              <w:t>pendent action may sometimes be required, the person is expected to liaise, cooperate and consult with other members of the incident management team as necessary.</w:t>
            </w: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4" w:name="O_106410"/>
      <w:bookmarkEnd w:id="4"/>
      <w:r w:rsidRPr="00B22342">
        <w:t>Licensing/Regulatory Information</w:t>
      </w:r>
    </w:p>
    <w:p w:rsidR="00000000" w:rsidRPr="00B22342" w:rsidP="00B22342">
      <w:pPr>
        <w:pStyle w:val="BodyText"/>
      </w:pPr>
      <w:r w:rsidRPr="00B22342">
        <w:t>Not applicable.</w:t>
      </w:r>
    </w:p>
    <w:p w:rsidR="00000000" w:rsidRPr="00B22342" w:rsidP="00B22342">
      <w:pPr>
        <w:pStyle w:val="AllowPageBreak"/>
      </w:pPr>
    </w:p>
    <w:p w:rsidR="00000000" w:rsidRPr="00B22342" w:rsidP="00B22342">
      <w:pPr>
        <w:pStyle w:val="Heading1"/>
      </w:pPr>
      <w:bookmarkStart w:id="5" w:name="O_106411"/>
      <w:bookmarkEnd w:id="5"/>
      <w:r w:rsidRPr="00B22342">
        <w:t>Pre-Requisites</w:t>
      </w:r>
    </w:p>
    <w:tbl>
      <w:tblPr>
        <w:tblW w:w="0" w:type="auto"/>
        <w:tblCellMar>
          <w:left w:w="62" w:type="dxa"/>
          <w:right w:w="62" w:type="dxa"/>
        </w:tblCellMar>
        <w:tblLook w:val="0000"/>
      </w:tblPr>
      <w:tblGrid>
        <w:gridCol w:w="2649"/>
        <w:gridCol w:w="3273"/>
        <w:gridCol w:w="3274"/>
      </w:tblGrid>
      <w:tr w:rsidTr="005E742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6" w:name="O_106412"/>
      <w:bookmarkEnd w:id="6"/>
      <w:r w:rsidRPr="00B22342">
        <w:t>Employability Skills Information</w:t>
      </w:r>
    </w:p>
    <w:tbl>
      <w:tblPr>
        <w:tblW w:w="0" w:type="auto"/>
        <w:tblCellMar>
          <w:left w:w="62" w:type="dxa"/>
          <w:right w:w="62" w:type="dxa"/>
        </w:tblCellMar>
        <w:tblLook w:val="0000"/>
      </w:tblPr>
      <w:tblGrid>
        <w:gridCol w:w="2649"/>
        <w:gridCol w:w="6547"/>
      </w:tblGrid>
      <w:tr w:rsidTr="005E742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This unit contains employability skills.</w:t>
            </w: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7" w:name="O_106413"/>
      <w:bookmarkEnd w:id="7"/>
      <w:r w:rsidRPr="00B22342">
        <w:t>Elements and Performance Criteria Pre-Content</w:t>
      </w:r>
    </w:p>
    <w:tbl>
      <w:tblPr>
        <w:tblW w:w="0" w:type="auto"/>
        <w:tblCellMar>
          <w:left w:w="62" w:type="dxa"/>
          <w:right w:w="62" w:type="dxa"/>
        </w:tblCellMar>
        <w:tblLook w:val="0000"/>
      </w:tblPr>
      <w:tblGrid>
        <w:gridCol w:w="2644"/>
        <w:gridCol w:w="6552"/>
      </w:tblGrid>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Performance criteria describe the performance needed to demonstrate achievement of the element.  Where bold italicised text is used, further information is detailed in the required skills an</w:t>
            </w:r>
            <w:r w:rsidRPr="00B22342">
              <w:t>d knowledge section and the range statement.  Assessment of performance is to be consistent with the evidence guide.</w:t>
            </w: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8" w:name="O_106414"/>
      <w:bookmarkEnd w:id="8"/>
      <w:r w:rsidRPr="00B22342">
        <w:t>Elements and Performance Criteria</w:t>
      </w:r>
    </w:p>
    <w:tbl>
      <w:tblPr>
        <w:tblW w:w="0" w:type="auto"/>
        <w:tblCellMar>
          <w:left w:w="62" w:type="dxa"/>
          <w:right w:w="62" w:type="dxa"/>
        </w:tblCellMar>
        <w:tblLook w:val="0000"/>
      </w:tblPr>
      <w:tblGrid>
        <w:gridCol w:w="2644"/>
        <w:gridCol w:w="6552"/>
      </w:tblGrid>
      <w:tr w:rsidTr="005E742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PERFORMANCE CRITERIA</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List"/>
              <w:rPr>
                <w:lang w:val="en-NZ"/>
              </w:rPr>
            </w:pPr>
            <w:r w:rsidRPr="00B22342">
              <w:t>1.</w:t>
            </w:r>
            <w:r w:rsidRPr="00B22342">
              <w:tab/>
            </w:r>
            <w:r w:rsidRPr="00B22342">
              <w:t>Identify information that needs to be disseminated to the community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List2"/>
            </w:pPr>
            <w:r w:rsidRPr="00B22342">
              <w:t>1.1.</w:t>
            </w:r>
            <w:r w:rsidRPr="00B22342">
              <w:tab/>
              <w:t>Access and examine incident response plans</w:t>
            </w:r>
          </w:p>
          <w:p w:rsidR="00000000" w:rsidP="00B22342">
            <w:pPr>
              <w:pStyle w:val="List2"/>
              <w:rPr>
                <w:lang w:val="en-NZ"/>
              </w:rPr>
            </w:pPr>
            <w:r w:rsidRPr="00B22342">
              <w:t>1.2.</w:t>
            </w:r>
            <w:r w:rsidRPr="00B22342">
              <w:tab/>
              <w:t>Conduct consultations with appropriate personnel as necessary</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List"/>
              <w:rPr>
                <w:lang w:val="en-NZ"/>
              </w:rPr>
            </w:pPr>
            <w:r w:rsidRPr="00B22342">
              <w:t>2.</w:t>
            </w:r>
            <w:r w:rsidRPr="00B22342">
              <w:tab/>
              <w:t>Establish networks within the community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List2"/>
            </w:pPr>
            <w:r w:rsidRPr="00B22342">
              <w:t>2.1.</w:t>
            </w:r>
            <w:r w:rsidRPr="00B22342">
              <w:tab/>
              <w:t>Identify stakeholders wi</w:t>
            </w:r>
            <w:r w:rsidRPr="00B22342">
              <w:t xml:space="preserve">thin the community </w:t>
            </w:r>
          </w:p>
          <w:p w:rsidR="00000000" w:rsidRPr="00B22342" w:rsidP="00B22342">
            <w:pPr>
              <w:pStyle w:val="List2"/>
            </w:pPr>
            <w:r w:rsidRPr="00B22342">
              <w:t>2.2.</w:t>
            </w:r>
            <w:r w:rsidRPr="00B22342">
              <w:tab/>
              <w:t>Initiate contact with key community stakeholders</w:t>
            </w:r>
          </w:p>
          <w:p w:rsidR="00000000" w:rsidRPr="00B22342" w:rsidP="00B22342">
            <w:pPr>
              <w:pStyle w:val="List2"/>
            </w:pPr>
            <w:r w:rsidRPr="00B22342">
              <w:t>2.3.</w:t>
            </w:r>
            <w:r w:rsidRPr="00B22342">
              <w:tab/>
              <w:t xml:space="preserve">Establish and maintain rapport </w:t>
            </w:r>
          </w:p>
          <w:p w:rsidR="00000000" w:rsidP="00B22342">
            <w:pPr>
              <w:pStyle w:val="List2"/>
              <w:rPr>
                <w:lang w:val="en-NZ"/>
              </w:rPr>
            </w:pPr>
            <w:r w:rsidRPr="00B22342">
              <w:t>2.4.</w:t>
            </w:r>
            <w:r w:rsidRPr="00B22342">
              <w:tab/>
              <w:t>Enlist cooperation and support in organising and conducting public safety awareness activities</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List"/>
              <w:rPr>
                <w:lang w:val="en-NZ"/>
              </w:rPr>
            </w:pPr>
            <w:r w:rsidRPr="00B22342">
              <w:t>3.</w:t>
            </w:r>
            <w:r w:rsidRPr="00B22342">
              <w:tab/>
              <w:t>Design and conduct public safety awarenes</w:t>
            </w:r>
            <w:r w:rsidRPr="00B22342">
              <w:t>s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List2"/>
            </w:pPr>
            <w:r w:rsidRPr="00B22342">
              <w:t>3.1.</w:t>
            </w:r>
            <w:r w:rsidRPr="00B22342">
              <w:tab/>
              <w:t>Develop a plan in consultation with stakeholders and appropriate personnel</w:t>
            </w:r>
          </w:p>
          <w:p w:rsidR="00000000" w:rsidRPr="00B22342" w:rsidP="00B22342">
            <w:pPr>
              <w:pStyle w:val="List2"/>
            </w:pPr>
            <w:r w:rsidRPr="00B22342">
              <w:t>3.2.</w:t>
            </w:r>
            <w:r w:rsidRPr="00B22342">
              <w:tab/>
              <w:t>Design activities to support the plan in consultation with stakeholders and appropriate personnel</w:t>
            </w:r>
          </w:p>
          <w:p w:rsidR="00000000" w:rsidRPr="00B22342" w:rsidP="00B22342">
            <w:pPr>
              <w:pStyle w:val="List2"/>
            </w:pPr>
            <w:r w:rsidRPr="00B22342">
              <w:t>3.3.</w:t>
            </w:r>
            <w:r w:rsidRPr="00B22342">
              <w:tab/>
              <w:t xml:space="preserve">Clearly identify measures for assessing the outcome of </w:t>
            </w:r>
            <w:r w:rsidRPr="00B22342">
              <w:t xml:space="preserve">activities </w:t>
            </w:r>
          </w:p>
          <w:p w:rsidR="00000000" w:rsidRPr="00B22342" w:rsidP="00B22342">
            <w:pPr>
              <w:pStyle w:val="List2"/>
            </w:pPr>
            <w:r w:rsidRPr="00B22342">
              <w:t>3.4.</w:t>
            </w:r>
            <w:r w:rsidRPr="00B22342">
              <w:tab/>
              <w:t xml:space="preserve">Develop and distribute marketing materials and educational materials/resources appropriate to the context, issue and audience </w:t>
            </w:r>
          </w:p>
          <w:p w:rsidR="00000000" w:rsidRPr="00B22342" w:rsidP="00B22342">
            <w:pPr>
              <w:pStyle w:val="List2"/>
            </w:pPr>
            <w:r w:rsidRPr="00B22342">
              <w:t>3.5.</w:t>
            </w:r>
            <w:r w:rsidRPr="00B22342">
              <w:tab/>
              <w:t xml:space="preserve">Identify and secure other resources required </w:t>
            </w:r>
          </w:p>
          <w:p w:rsidR="00000000" w:rsidRPr="00B22342" w:rsidP="00B22342">
            <w:pPr>
              <w:pStyle w:val="List2"/>
            </w:pPr>
            <w:r w:rsidRPr="00B22342">
              <w:t>3.6.</w:t>
            </w:r>
            <w:r w:rsidRPr="00B22342">
              <w:tab/>
            </w:r>
            <w:r w:rsidRPr="00B22342">
              <w:t>Develop and implement strategies for delivery of the project to ensure maximum effectiveness</w:t>
            </w:r>
          </w:p>
          <w:p w:rsidR="00000000" w:rsidP="00B22342">
            <w:pPr>
              <w:pStyle w:val="List2"/>
              <w:rPr>
                <w:lang w:val="en-NZ"/>
              </w:rPr>
            </w:pPr>
            <w:r w:rsidRPr="00B22342">
              <w:t>3.7.</w:t>
            </w:r>
            <w:r w:rsidRPr="00B22342">
              <w:tab/>
              <w:t>Make adjustments as required to meet the needs of specific groups</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List"/>
              <w:rPr>
                <w:lang w:val="en-NZ"/>
              </w:rPr>
            </w:pPr>
            <w:r w:rsidRPr="00B22342">
              <w:t>4.</w:t>
            </w:r>
            <w:r w:rsidRPr="00B22342">
              <w:tab/>
              <w:t>Evaluate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List2"/>
            </w:pPr>
            <w:r w:rsidRPr="00B22342">
              <w:t>4.1.</w:t>
            </w:r>
            <w:r w:rsidRPr="00B22342">
              <w:tab/>
              <w:t>Assess activity outcome against the planned goals/objectives an</w:t>
            </w:r>
            <w:r w:rsidRPr="00B22342">
              <w:t>d measures</w:t>
            </w:r>
          </w:p>
          <w:p w:rsidR="00000000" w:rsidRPr="00B22342" w:rsidP="00B22342">
            <w:pPr>
              <w:pStyle w:val="List2"/>
            </w:pPr>
            <w:r w:rsidRPr="00B22342">
              <w:t>4.2.</w:t>
            </w:r>
            <w:r w:rsidRPr="00B22342">
              <w:tab/>
              <w:t>Complete reports detailing activities, results and recommendations according to procedures</w:t>
            </w: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9" w:name="O_106415"/>
      <w:bookmarkEnd w:id="9"/>
      <w:r w:rsidRPr="00B22342">
        <w:t>Required Skills and Knowledge</w:t>
      </w:r>
    </w:p>
    <w:tbl>
      <w:tblPr>
        <w:tblW w:w="0" w:type="auto"/>
        <w:tblCellMar>
          <w:left w:w="62" w:type="dxa"/>
          <w:right w:w="62" w:type="dxa"/>
        </w:tblCellMar>
        <w:tblLook w:val="0000"/>
      </w:tblPr>
      <w:tblGrid>
        <w:gridCol w:w="9196"/>
      </w:tblGrid>
      <w:tr w:rsidTr="005E742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REQUIRED SKILLS AND KNOWLEDGE</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t>This describes the essential skills and knowledge and their level, required for this unit.</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Required skills</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 xml:space="preserve">Competence includes the ability to isolate the causes of problems within the incident response system and to be able to distinguish between causes </w:t>
            </w:r>
            <w:r w:rsidRPr="00B22342">
              <w:t>of problems indicated by:</w:t>
            </w:r>
          </w:p>
          <w:p w:rsidR="00000000" w:rsidRPr="00B22342" w:rsidP="00B22342">
            <w:pPr>
              <w:pStyle w:val="ListBullet"/>
            </w:pPr>
            <w:r w:rsidRPr="00B22342">
              <w:t>expressions of community concern about a lack of communication with the organisation</w:t>
            </w:r>
          </w:p>
          <w:p w:rsidR="00000000" w:rsidRPr="00B22342" w:rsidP="00B22342">
            <w:pPr>
              <w:pStyle w:val="ListBullet"/>
            </w:pPr>
            <w:r w:rsidRPr="00B22342">
              <w:t>an atmosphere of mistrust existing between the community and the organisation</w:t>
            </w:r>
          </w:p>
          <w:p w:rsidR="00000000" w:rsidRPr="00B22342" w:rsidP="00B22342">
            <w:pPr>
              <w:pStyle w:val="ListBullet"/>
            </w:pPr>
            <w:r w:rsidRPr="00B22342">
              <w:t>constant referrals of organisational activities to local, State or</w:t>
            </w:r>
            <w:r w:rsidRPr="00B22342">
              <w:t xml:space="preserve"> Commonwealth authorities</w:t>
            </w:r>
          </w:p>
          <w:p w:rsidR="00000000" w:rsidRPr="00B22342" w:rsidP="00B22342">
            <w:pPr>
              <w:pStyle w:val="ListBullet"/>
            </w:pPr>
            <w:r w:rsidRPr="00B22342">
              <w:t>the volume of requests for information received from community groups or individuals</w:t>
            </w:r>
          </w:p>
          <w:p w:rsidR="00000000" w:rsidP="00B22342">
            <w:pPr>
              <w:pStyle w:val="ListBullet"/>
              <w:rPr>
                <w:lang w:val="en-NZ"/>
              </w:rPr>
            </w:pPr>
            <w:r w:rsidRPr="00B22342">
              <w:t>protest meetings or rallies by concerned residents.</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Required knowledge</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The knowledge referred to in the Evidence Guide for this unit includes:</w:t>
            </w:r>
          </w:p>
          <w:p w:rsidR="00000000" w:rsidRPr="00B22342" w:rsidP="00B22342">
            <w:pPr>
              <w:pStyle w:val="ListBullet"/>
            </w:pPr>
            <w:r w:rsidRPr="00B22342">
              <w:t>relevant legislation</w:t>
            </w:r>
          </w:p>
          <w:p w:rsidR="00000000" w:rsidRPr="00B22342" w:rsidP="00B22342">
            <w:pPr>
              <w:pStyle w:val="ListBullet"/>
            </w:pPr>
            <w:r w:rsidRPr="00B22342">
              <w:t xml:space="preserve">incident response plans and management systems (particularly warning signals and evacuation procedures) </w:t>
            </w:r>
          </w:p>
          <w:p w:rsidR="00000000" w:rsidRPr="00B22342" w:rsidP="00B22342">
            <w:pPr>
              <w:pStyle w:val="ListBullet"/>
            </w:pPr>
            <w:r w:rsidRPr="00B22342">
              <w:t>promotional techniques and methods</w:t>
            </w:r>
          </w:p>
          <w:p w:rsidR="00000000" w:rsidRPr="00B22342" w:rsidP="00B22342">
            <w:pPr>
              <w:pStyle w:val="ListBullet"/>
            </w:pPr>
            <w:r w:rsidRPr="00B22342">
              <w:t>group dynamics</w:t>
            </w:r>
          </w:p>
          <w:p w:rsidR="00000000" w:rsidRPr="00B22342" w:rsidP="00B22342">
            <w:pPr>
              <w:pStyle w:val="ListBullet"/>
            </w:pPr>
            <w:r w:rsidRPr="00B22342">
              <w:t>a range of presentation strategies and techniques</w:t>
            </w:r>
          </w:p>
          <w:p w:rsidR="00000000" w:rsidRPr="00B22342" w:rsidP="00B22342">
            <w:pPr>
              <w:pStyle w:val="ListBullet"/>
            </w:pPr>
            <w:r w:rsidRPr="00B22342">
              <w:t>protocols and procedures</w:t>
            </w:r>
          </w:p>
          <w:p w:rsidR="00000000" w:rsidRPr="00B22342" w:rsidP="00B22342">
            <w:pPr>
              <w:pStyle w:val="ListBullet"/>
            </w:pPr>
            <w:r w:rsidRPr="00B22342">
              <w:t>rele</w:t>
            </w:r>
            <w:r w:rsidRPr="00B22342">
              <w:t>vant organisational policies.</w:t>
            </w: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10" w:name="O_106416"/>
      <w:bookmarkEnd w:id="10"/>
      <w:r w:rsidRPr="00B22342">
        <w:t>Evidence Guide</w:t>
      </w:r>
    </w:p>
    <w:tbl>
      <w:tblPr>
        <w:tblW w:w="0" w:type="auto"/>
        <w:tblCellMar>
          <w:left w:w="62" w:type="dxa"/>
          <w:right w:w="62" w:type="dxa"/>
        </w:tblCellMar>
        <w:tblLook w:val="0000"/>
      </w:tblPr>
      <w:tblGrid>
        <w:gridCol w:w="2515"/>
        <w:gridCol w:w="6681"/>
      </w:tblGrid>
      <w:tr w:rsidTr="005E742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EVIDENCE GUIDE</w:t>
            </w:r>
          </w:p>
        </w:tc>
      </w:tr>
      <w:tr w:rsidTr="005E742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t xml:space="preserve">The Evidence Guide provides advice on assessment and must be read in conjunction with the Performance Criteria, Required Skills and Knowledge, </w:t>
            </w:r>
            <w:r w:rsidRPr="00B22342">
              <w:t>the Range Statement and the Assessment Guidelines for the Training Package.</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Assessment for this unit of competency will be by way of simulation or observation under incident conditions.  The unit will be assessed in as holistic a m</w:t>
            </w:r>
            <w:r w:rsidRPr="00B22342">
              <w:t>anner as is practical and may be integrated with the assessment of other relevant units of competency.  Assessment will occur over a range of situations which can include a variety of incident circumstances.</w:t>
            </w:r>
          </w:p>
          <w:p w:rsidR="00000000" w:rsidRPr="00B22342" w:rsidP="00B22342">
            <w:pPr>
              <w:pStyle w:val="BodyText"/>
            </w:pPr>
            <w:r w:rsidRPr="00B22342">
              <w:t>Simulations must, as closely as possible, approx</w:t>
            </w:r>
            <w:r w:rsidRPr="00B22342">
              <w:t>imate actual incident conditions and should be based on the actual facility.  Assessments should include walk-throughs of the relevant competency components and may include the use of case studies/scenarios and role plays.</w:t>
            </w:r>
          </w:p>
          <w:p w:rsidR="00000000" w:rsidP="00B22342">
            <w:pPr>
              <w:pStyle w:val="BodyText"/>
              <w:rPr>
                <w:lang w:val="en-NZ"/>
              </w:rPr>
            </w:pPr>
            <w:r w:rsidRPr="00B22342">
              <w:t xml:space="preserve">This unit of competency requires </w:t>
            </w:r>
            <w:r w:rsidRPr="00B22342">
              <w:t>a significant body of knowledge which will be assessed through questioning and the use of 'what-if' scenarios both in the facility (during demonstration of normal operations and walk-throughs of abnormal operations) and off the site.</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Consistent performance should be demonstrated.  In particular look to see that competence in this unit reflects successful assessment in the critical aspects of:</w:t>
            </w:r>
          </w:p>
          <w:p w:rsidR="00000000" w:rsidRPr="00B22342" w:rsidP="00B22342">
            <w:pPr>
              <w:pStyle w:val="ListBullet"/>
            </w:pPr>
            <w:r w:rsidRPr="00B22342">
              <w:t>identification of networks critical to the development and implementation of public safety awareness activities</w:t>
            </w:r>
          </w:p>
          <w:p w:rsidR="00000000" w:rsidRPr="00B22342" w:rsidP="00B22342">
            <w:pPr>
              <w:pStyle w:val="ListBullet"/>
            </w:pPr>
            <w:r w:rsidRPr="00B22342">
              <w:t>design, conduct and evaluation of public safety awareness activities</w:t>
            </w:r>
          </w:p>
          <w:p w:rsidR="00000000" w:rsidRPr="00B22342" w:rsidP="00B22342">
            <w:pPr>
              <w:pStyle w:val="ListBullet"/>
            </w:pPr>
            <w:r w:rsidRPr="00B22342">
              <w:t>effective communication skills</w:t>
            </w:r>
          </w:p>
          <w:p w:rsidR="00000000" w:rsidP="00B22342">
            <w:pPr>
              <w:pStyle w:val="BodyText"/>
              <w:rPr>
                <w:lang w:val="en-NZ"/>
              </w:rPr>
            </w:pPr>
            <w:r w:rsidRPr="00B22342">
              <w:t>These assessment activities should include a</w:t>
            </w:r>
            <w:r w:rsidRPr="00B22342">
              <w:t xml:space="preserve"> range of problems, including new, unusual and improbable situations which may have been generated from past workplace incident history, incidents in similar workplaces around the world, hazard analysis activities and/or similar sources.</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Context of and sp</w:t>
            </w:r>
            <w:r w:rsidRPr="00B22342">
              <w:rPr>
                <w:rStyle w:val="SpecialBold"/>
              </w:rPr>
              <w:t>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t>Assessment will require (1) access to an accurately simulated environment or (2) a suitable method of gathering evidence of responding ability over a range of situations.  A bank of scenarios/case studies/what-ifs and a bank</w:t>
            </w:r>
            <w:r w:rsidRPr="00B22342">
              <w:t xml:space="preserve"> of questions to probe the reasoning behind the observable actions will likewise be required.</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Method of assessment</w:t>
            </w:r>
            <w:r w:rsidRPr="00B2234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t>It may be appropriate to assess this unit concurrently with other relevant units.</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Assessment processes</w:t>
            </w:r>
            <w:r w:rsidRPr="00B22342">
              <w:t xml:space="preserve"> and techniques must be culturally appropriate and appropriate to the oracy, language and literacy capacity of the assessee and the work being performed.</w:t>
            </w: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11" w:name="O_106417"/>
      <w:bookmarkEnd w:id="11"/>
      <w:r w:rsidRPr="00B22342">
        <w:t>Range Statement</w:t>
      </w:r>
    </w:p>
    <w:tbl>
      <w:tblPr>
        <w:tblW w:w="0" w:type="auto"/>
        <w:tblCellMar>
          <w:left w:w="62" w:type="dxa"/>
          <w:right w:w="62" w:type="dxa"/>
        </w:tblCellMar>
        <w:tblLook w:val="0000"/>
      </w:tblPr>
      <w:tblGrid>
        <w:gridCol w:w="2510"/>
        <w:gridCol w:w="6686"/>
      </w:tblGrid>
      <w:tr w:rsidTr="005E742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RANGE STATEMENT</w:t>
            </w:r>
          </w:p>
        </w:tc>
      </w:tr>
      <w:tr w:rsidTr="005E742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t>The Range Statement relates to the unit of competency as a whole. It allows for different work environments and situations that may affect performance. Bold italicised wording, if used in the Performance Criteria, is detailed below. Add any essential opera</w:t>
            </w:r>
            <w:r w:rsidRPr="00B22342">
              <w:t>ting conditions that may be present with training and assessment depending on the work situation, needs if the candidate, accessibility of the item, and local industry and regional contexts.</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Codes of practice</w:t>
            </w:r>
            <w:r w:rsidRPr="00B22342">
              <w:t xml:space="preserve">/ </w:t>
            </w:r>
            <w:r w:rsidRPr="00B2234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t>Where reference is made to indu</w:t>
            </w:r>
            <w:r w:rsidRPr="00B22342">
              <w:t>stry codes of practice, and/or Australian/international standards, the latest version must be used.</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Public safety awareness activities may include:</w:t>
            </w:r>
          </w:p>
          <w:p w:rsidR="00000000" w:rsidRPr="00B22342" w:rsidP="00B22342">
            <w:pPr>
              <w:pStyle w:val="ListBullet"/>
            </w:pPr>
            <w:r w:rsidRPr="00B22342">
              <w:t>distribution of educational materials/resources</w:t>
            </w:r>
          </w:p>
          <w:p w:rsidR="00000000" w:rsidRPr="00B22342" w:rsidP="00B22342">
            <w:pPr>
              <w:pStyle w:val="ListBullet"/>
            </w:pPr>
            <w:r w:rsidRPr="00B22342">
              <w:t>use of media to disseminate information</w:t>
            </w:r>
          </w:p>
          <w:p w:rsidR="00000000" w:rsidRPr="00B22342" w:rsidP="00B22342">
            <w:pPr>
              <w:pStyle w:val="ListBullet"/>
            </w:pPr>
            <w:r w:rsidRPr="00B22342">
              <w:t>public edu</w:t>
            </w:r>
            <w:r w:rsidRPr="00B22342">
              <w:t>cational presentations</w:t>
            </w:r>
          </w:p>
          <w:p w:rsidR="00000000" w:rsidRPr="00B22342" w:rsidP="00B22342">
            <w:pPr>
              <w:pStyle w:val="ListBullet"/>
            </w:pPr>
            <w:r w:rsidRPr="00B22342">
              <w:t>conduct of or attendance in community meetings/forums</w:t>
            </w:r>
          </w:p>
          <w:p w:rsidR="00000000" w:rsidRPr="00B22342" w:rsidP="00B22342">
            <w:pPr>
              <w:pStyle w:val="ListBullet"/>
            </w:pPr>
            <w:r w:rsidRPr="00B22342">
              <w:t>incident exercises</w:t>
            </w:r>
          </w:p>
          <w:p w:rsidR="00000000" w:rsidRPr="00B22342" w:rsidP="00B22342">
            <w:pPr>
              <w:pStyle w:val="BodyText"/>
            </w:pPr>
            <w:r w:rsidRPr="00B22342">
              <w:t>Relevant information may include:</w:t>
            </w:r>
          </w:p>
          <w:p w:rsidR="00000000" w:rsidRPr="00B22342" w:rsidP="00B22342">
            <w:pPr>
              <w:pStyle w:val="ListBullet"/>
            </w:pPr>
            <w:r w:rsidRPr="00B22342">
              <w:t>incident response plan and management systems in place to prevent an incident</w:t>
            </w:r>
          </w:p>
          <w:p w:rsidR="00000000" w:rsidRPr="00B22342" w:rsidP="00B22342">
            <w:pPr>
              <w:pStyle w:val="ListBullet"/>
            </w:pPr>
            <w:r w:rsidRPr="00B22342">
              <w:t>warning signals in the event of an incident</w:t>
            </w:r>
          </w:p>
          <w:p w:rsidR="00000000" w:rsidRPr="00B22342" w:rsidP="00B22342">
            <w:pPr>
              <w:pStyle w:val="ListBullet"/>
            </w:pPr>
            <w:r w:rsidRPr="00B22342">
              <w:t>procedures to be followed in the event of an incident relating to evacuation and welfare operations</w:t>
            </w:r>
          </w:p>
          <w:p w:rsidR="00000000" w:rsidRPr="00B22342" w:rsidP="00B22342">
            <w:pPr>
              <w:pStyle w:val="ListBullet"/>
            </w:pPr>
            <w:r w:rsidRPr="00B22342">
              <w:t>appropriate people to contact and contact details</w:t>
            </w:r>
          </w:p>
          <w:p w:rsidR="00000000" w:rsidP="00B22342">
            <w:pPr>
              <w:pStyle w:val="ListBullet"/>
              <w:rPr>
                <w:lang w:val="en-NZ"/>
              </w:rPr>
            </w:pPr>
            <w:r w:rsidRPr="00B22342">
              <w:t>post-incident management systems</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Health</w:t>
            </w:r>
            <w:r w:rsidRPr="00B22342">
              <w:t xml:space="preserve">, </w:t>
            </w:r>
            <w:r w:rsidRPr="00B22342">
              <w:rPr>
                <w:rStyle w:val="SpecialBold"/>
              </w:rPr>
              <w:t>safety and environment</w:t>
            </w:r>
            <w:r w:rsidRPr="00B22342">
              <w:t xml:space="preserve"> (</w:t>
            </w:r>
            <w:r w:rsidRPr="00B22342">
              <w:rPr>
                <w:rStyle w:val="SpecialBold"/>
              </w:rPr>
              <w:t>HSE</w:t>
            </w:r>
            <w:r w:rsidRPr="00B2234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t>All operations to which this unit a</w:t>
            </w:r>
            <w:r w:rsidRPr="00B22342">
              <w:t>pplies are subject to stringent health, safety and environment requirements, which may be imposed through State or Federal legislation, and these must not be compromised at any time.  Where there is an apparent conflict between Performance Criteria and HSE</w:t>
            </w:r>
            <w:r w:rsidRPr="00B22342">
              <w:t xml:space="preserve"> requirements, the HSE requirements take precedence.</w:t>
            </w:r>
          </w:p>
        </w:tc>
      </w:tr>
      <w:tr w:rsidTr="005E7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Organisations within the Chemical, Hydrocarbons and Oil Refining industries may find themselves falling under the provisions of various Major Hazard Fac</w:t>
            </w:r>
            <w:r w:rsidRPr="00B22342">
              <w:t>ilities legislation.  In developing this unit consideration has been given to the requirements of Sections 8 and 9 of the National Standard for the Control of Major Hazard Facilities [NOHSC:1014(2002)] and the National Code of Practice for the Control of M</w:t>
            </w:r>
            <w:r w:rsidRPr="00B22342">
              <w:t>ajor Hazard Facilities [NOHSC:2016(1996)].</w:t>
            </w:r>
          </w:p>
          <w:p w:rsidR="00000000" w:rsidRPr="00B22342" w:rsidP="00B22342">
            <w:pPr>
              <w:pStyle w:val="BodyText"/>
            </w:pPr>
            <w:r w:rsidRPr="00B22342">
              <w:t>This unit will assist individuals to meet some of their obligations under the relevant State or Territory legislation.  Responsibility for appropriate contextualisation and application of the unit to ensure compli</w:t>
            </w:r>
            <w:r w:rsidRPr="00B22342">
              <w:t>ance however, remains with the individual organisation.</w:t>
            </w:r>
          </w:p>
        </w:tc>
      </w:tr>
    </w:tbl>
    <w:p w:rsidR="005E7427" w:rsidP="00B22342">
      <w:pPr>
        <w:pStyle w:val="BodyText"/>
      </w:pPr>
    </w:p>
    <w:p w:rsidR="005E7427" w:rsidP="00B22342">
      <w:pPr>
        <w:pStyle w:val="BodyText"/>
      </w:pPr>
    </w:p>
    <w:p w:rsidR="00000000" w:rsidRPr="00B22342" w:rsidP="00B22342">
      <w:pPr>
        <w:pStyle w:val="Heading1"/>
      </w:pPr>
      <w:bookmarkStart w:id="12" w:name="O_106418"/>
      <w:bookmarkEnd w:id="12"/>
      <w:r w:rsidRPr="00B22342">
        <w:t>Unit Sector(s)</w:t>
      </w:r>
    </w:p>
    <w:tbl>
      <w:tblPr>
        <w:tblW w:w="0" w:type="auto"/>
        <w:tblCellMar>
          <w:left w:w="62" w:type="dxa"/>
          <w:right w:w="62" w:type="dxa"/>
        </w:tblCellMar>
        <w:tblLook w:val="0000"/>
      </w:tblPr>
      <w:tblGrid>
        <w:gridCol w:w="2649"/>
        <w:gridCol w:w="6547"/>
      </w:tblGrid>
      <w:tr w:rsidTr="005E742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r w:rsidRPr="00B22342">
              <w:t>Support/generic</w:t>
            </w: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13" w:name="O_159857"/>
      <w:bookmarkEnd w:id="13"/>
      <w:r w:rsidRPr="00B22342">
        <w:t>Competency field</w:t>
      </w:r>
    </w:p>
    <w:tbl>
      <w:tblPr>
        <w:tblW w:w="0" w:type="auto"/>
        <w:tblCellMar>
          <w:left w:w="62" w:type="dxa"/>
          <w:right w:w="62" w:type="dxa"/>
        </w:tblCellMar>
        <w:tblLook w:val="0000"/>
      </w:tblPr>
      <w:tblGrid>
        <w:gridCol w:w="2649"/>
        <w:gridCol w:w="6547"/>
      </w:tblGrid>
      <w:tr w:rsidTr="005E742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p>
        </w:tc>
      </w:tr>
    </w:tbl>
    <w:p w:rsidR="00000000" w:rsidRPr="00B22342" w:rsidP="00B22342">
      <w:pPr>
        <w:pStyle w:val="BodyText"/>
      </w:pPr>
    </w:p>
    <w:p w:rsidR="00000000" w:rsidRPr="00B22342" w:rsidP="00B22342">
      <w:pPr>
        <w:pStyle w:val="AllowPageBreak"/>
      </w:pPr>
    </w:p>
    <w:p w:rsidR="00000000" w:rsidRPr="00B22342" w:rsidP="00B22342">
      <w:pPr>
        <w:pStyle w:val="Heading1"/>
      </w:pPr>
      <w:bookmarkStart w:id="14" w:name="O_159856"/>
      <w:bookmarkEnd w:id="14"/>
      <w:r w:rsidRPr="00B22342">
        <w:t>Co-requisite units</w:t>
      </w:r>
    </w:p>
    <w:tbl>
      <w:tblPr>
        <w:tblW w:w="0" w:type="auto"/>
        <w:tblCellMar>
          <w:left w:w="62" w:type="dxa"/>
          <w:right w:w="62" w:type="dxa"/>
        </w:tblCellMar>
        <w:tblLook w:val="0000"/>
      </w:tblPr>
      <w:tblGrid>
        <w:gridCol w:w="2649"/>
        <w:gridCol w:w="3273"/>
        <w:gridCol w:w="3274"/>
      </w:tblGrid>
      <w:tr w:rsidTr="005E742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42">
            <w:pPr>
              <w:pStyle w:val="BodyText"/>
              <w:rPr>
                <w:lang w:val="en-NZ"/>
              </w:rPr>
            </w:pPr>
            <w:r w:rsidRPr="00B2234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42" w:rsidP="00B22342">
            <w:pPr>
              <w:pStyle w:val="BodyText"/>
            </w:pPr>
          </w:p>
        </w:tc>
      </w:tr>
    </w:tbl>
    <w:p w:rsidR="00000000" w:rsidRPr="00B22342" w:rsidP="00B22342">
      <w:pPr>
        <w:pStyle w:val="BodyText"/>
      </w:pPr>
    </w:p>
    <w:p w:rsidR="00000000" w:rsidRPr="00B22342" w:rsidP="00B22342"/>
    <w:sectPr w:rsidSect="00B22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427" w:rsidP="005E7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27" w:rsidP="00B22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7427" w:rsidP="00B223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7427" w:rsidP="00B223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427" w:rsidP="005E74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27" w:rsidP="00B22342">
    <w:pPr>
      <w:pStyle w:val="Header"/>
      <w:framePr w:wrap="around"/>
    </w:pPr>
    <w:r>
      <w:fldChar w:fldCharType="begin"/>
    </w:r>
    <w:r>
      <w:instrText xml:space="preserve"> TITLE   \* MERGEFORMAT </w:instrText>
    </w:r>
    <w:r>
      <w:fldChar w:fldCharType="separate"/>
    </w:r>
    <w:r>
      <w:t>PMAOMIR424B Develop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7427" w:rsidP="00B223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F0D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227A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3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2342"/>
    <w:pPr>
      <w:spacing w:before="360" w:after="60"/>
      <w:outlineLvl w:val="0"/>
    </w:pPr>
    <w:rPr>
      <w:sz w:val="32"/>
    </w:rPr>
  </w:style>
  <w:style w:type="paragraph" w:styleId="Heading2">
    <w:name w:val="heading 2"/>
    <w:basedOn w:val="HeadingBase"/>
    <w:next w:val="BodyText"/>
    <w:link w:val="Heading2Char"/>
    <w:qFormat/>
    <w:rsid w:val="00B22342"/>
    <w:pPr>
      <w:keepLines/>
      <w:spacing w:before="240" w:after="120"/>
      <w:outlineLvl w:val="1"/>
    </w:pPr>
    <w:rPr>
      <w:sz w:val="28"/>
      <w:szCs w:val="40"/>
    </w:rPr>
  </w:style>
  <w:style w:type="paragraph" w:styleId="Heading3">
    <w:name w:val="heading 3"/>
    <w:basedOn w:val="HeadingBase"/>
    <w:next w:val="BodyText"/>
    <w:link w:val="Heading3Char"/>
    <w:qFormat/>
    <w:rsid w:val="00B22342"/>
    <w:pPr>
      <w:spacing w:before="180" w:after="120"/>
      <w:outlineLvl w:val="2"/>
    </w:pPr>
    <w:rPr>
      <w:spacing w:val="-10"/>
      <w:kern w:val="32"/>
    </w:rPr>
  </w:style>
  <w:style w:type="paragraph" w:styleId="Heading4">
    <w:name w:val="heading 4"/>
    <w:basedOn w:val="HeadingBase"/>
    <w:next w:val="BodyText"/>
    <w:link w:val="Heading4Char"/>
    <w:qFormat/>
    <w:rsid w:val="00B22342"/>
    <w:pPr>
      <w:spacing w:before="160" w:after="120"/>
      <w:outlineLvl w:val="3"/>
    </w:pPr>
    <w:rPr>
      <w:sz w:val="22"/>
    </w:rPr>
  </w:style>
  <w:style w:type="paragraph" w:styleId="Heading5">
    <w:name w:val="heading 5"/>
    <w:basedOn w:val="HeadingBase"/>
    <w:next w:val="Normal"/>
    <w:link w:val="Heading5Char"/>
    <w:qFormat/>
    <w:rsid w:val="00B22342"/>
    <w:pPr>
      <w:spacing w:before="80"/>
      <w:outlineLvl w:val="4"/>
    </w:pPr>
    <w:rPr>
      <w:color w:val="918585"/>
      <w:sz w:val="20"/>
    </w:rPr>
  </w:style>
  <w:style w:type="paragraph" w:styleId="Heading6">
    <w:name w:val="heading 6"/>
    <w:basedOn w:val="HeadingBase"/>
    <w:next w:val="Normal"/>
    <w:link w:val="Heading6Char"/>
    <w:qFormat/>
    <w:rsid w:val="00B22342"/>
    <w:pPr>
      <w:spacing w:before="60"/>
      <w:outlineLvl w:val="5"/>
    </w:pPr>
    <w:rPr>
      <w:color w:val="918585"/>
      <w:sz w:val="20"/>
    </w:rPr>
  </w:style>
  <w:style w:type="paragraph" w:styleId="Heading7">
    <w:name w:val="heading 7"/>
    <w:basedOn w:val="Normal"/>
    <w:next w:val="Normal"/>
    <w:link w:val="Heading7Char"/>
    <w:qFormat/>
    <w:rsid w:val="00B22342"/>
    <w:pPr>
      <w:ind w:left="720"/>
      <w:outlineLvl w:val="6"/>
    </w:pPr>
    <w:rPr>
      <w:i/>
    </w:rPr>
  </w:style>
  <w:style w:type="paragraph" w:styleId="Heading8">
    <w:name w:val="heading 8"/>
    <w:basedOn w:val="Normal"/>
    <w:next w:val="Normal"/>
    <w:link w:val="Heading8Char"/>
    <w:qFormat/>
    <w:rsid w:val="00B22342"/>
    <w:pPr>
      <w:ind w:left="720"/>
      <w:outlineLvl w:val="7"/>
    </w:pPr>
    <w:rPr>
      <w:i/>
    </w:rPr>
  </w:style>
  <w:style w:type="paragraph" w:styleId="Heading9">
    <w:name w:val="heading 9"/>
    <w:basedOn w:val="Normal"/>
    <w:next w:val="Normal"/>
    <w:link w:val="Heading9Char"/>
    <w:qFormat/>
    <w:rsid w:val="00B22342"/>
    <w:pPr>
      <w:ind w:left="720"/>
      <w:outlineLvl w:val="8"/>
    </w:pPr>
    <w:rPr>
      <w:i/>
    </w:rPr>
  </w:style>
  <w:style w:type="character" w:default="1" w:styleId="DefaultParagraphFont">
    <w:name w:val="Default Paragraph Font"/>
    <w:uiPriority w:val="1"/>
    <w:unhideWhenUsed/>
    <w:rsid w:val="00B22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342"/>
  </w:style>
  <w:style w:type="character" w:customStyle="1" w:styleId="Heading1Char">
    <w:name w:val="Heading 1 Char"/>
    <w:basedOn w:val="DefaultParagraphFont"/>
    <w:link w:val="Heading1"/>
    <w:rsid w:val="00B22342"/>
    <w:rPr>
      <w:rFonts w:ascii="Times New Roman" w:eastAsia="Times New Roman" w:hAnsi="Times New Roman" w:cs="Times New Roman"/>
      <w:b/>
      <w:sz w:val="32"/>
      <w:szCs w:val="20"/>
      <w:lang w:eastAsia="en-US"/>
    </w:rPr>
  </w:style>
  <w:style w:type="paragraph" w:styleId="BodyText">
    <w:name w:val="Body Text"/>
    <w:basedOn w:val="Normal"/>
    <w:link w:val="BodyTextChar"/>
    <w:rsid w:val="00B22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342"/>
    <w:rPr>
      <w:rFonts w:ascii="Times New Roman" w:eastAsia="Times New Roman" w:hAnsi="Times New Roman" w:cs="Times New Roman"/>
      <w:sz w:val="24"/>
      <w:lang w:val="en-US" w:eastAsia="en-US"/>
    </w:rPr>
  </w:style>
  <w:style w:type="paragraph" w:styleId="Footer">
    <w:name w:val="footer"/>
    <w:basedOn w:val="Normal"/>
    <w:link w:val="FooterChar"/>
    <w:rsid w:val="00B22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342"/>
    <w:rPr>
      <w:rFonts w:ascii="Times New Roman" w:eastAsia="Times New Roman" w:hAnsi="Times New Roman" w:cs="Times New Roman"/>
      <w:sz w:val="16"/>
      <w:lang w:val="en-US" w:eastAsia="en-US"/>
    </w:rPr>
  </w:style>
  <w:style w:type="paragraph" w:styleId="List">
    <w:name w:val="List"/>
    <w:basedOn w:val="BodyText"/>
    <w:next w:val="BodyText"/>
    <w:rsid w:val="00B22342"/>
    <w:pPr>
      <w:tabs>
        <w:tab w:val="left" w:pos="340"/>
      </w:tabs>
      <w:spacing w:before="60" w:after="60"/>
      <w:ind w:left="340" w:hanging="340"/>
    </w:pPr>
  </w:style>
  <w:style w:type="paragraph" w:styleId="ListBullet">
    <w:name w:val="List Bullet"/>
    <w:basedOn w:val="List"/>
    <w:rsid w:val="00B22342"/>
    <w:pPr>
      <w:numPr>
        <w:numId w:val="12"/>
      </w:numPr>
      <w:tabs>
        <w:tab w:val="clear" w:pos="340"/>
      </w:tabs>
      <w:spacing w:before="40" w:after="40"/>
    </w:pPr>
  </w:style>
  <w:style w:type="character" w:customStyle="1" w:styleId="SpecialBold">
    <w:name w:val="Special Bold"/>
    <w:basedOn w:val="DefaultParagraphFont"/>
    <w:rsid w:val="00B22342"/>
    <w:rPr>
      <w:b/>
      <w:spacing w:val="0"/>
    </w:rPr>
  </w:style>
  <w:style w:type="paragraph" w:styleId="Header">
    <w:name w:val="header"/>
    <w:basedOn w:val="Normal"/>
    <w:link w:val="HeaderChar"/>
    <w:rsid w:val="00B22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3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2342"/>
    <w:pPr>
      <w:spacing w:before="240" w:after="120"/>
      <w:outlineLvl w:val="0"/>
    </w:pPr>
    <w:rPr>
      <w:rFonts w:ascii="Times New Roman" w:hAnsi="Times New Roman"/>
      <w:b/>
      <w:sz w:val="28"/>
    </w:rPr>
  </w:style>
  <w:style w:type="paragraph" w:customStyle="1" w:styleId="AllowPageBreak">
    <w:name w:val="AllowPageBreak"/>
    <w:rsid w:val="00B223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2342"/>
    <w:pPr>
      <w:tabs>
        <w:tab w:val="left" w:pos="680"/>
      </w:tabs>
      <w:spacing w:before="60" w:after="60"/>
      <w:ind w:left="680" w:hanging="340"/>
    </w:pPr>
  </w:style>
  <w:style w:type="character" w:customStyle="1" w:styleId="Heading2Char">
    <w:name w:val="Heading 2 Char"/>
    <w:basedOn w:val="DefaultParagraphFont"/>
    <w:link w:val="Heading2"/>
    <w:rsid w:val="00B22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3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23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2342"/>
    <w:rPr>
      <w:rFonts w:ascii="Courier New" w:eastAsia="Times New Roman" w:hAnsi="Courier New" w:cs="Times New Roman"/>
      <w:i/>
      <w:szCs w:val="20"/>
      <w:lang w:val="en-US" w:eastAsia="en-US"/>
    </w:rPr>
  </w:style>
  <w:style w:type="paragraph" w:customStyle="1" w:styleId="HeadingBase">
    <w:name w:val="Heading Base"/>
    <w:rsid w:val="00B22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342"/>
    <w:pPr>
      <w:tabs>
        <w:tab w:val="right" w:leader="dot" w:pos="9072"/>
      </w:tabs>
      <w:ind w:left="567"/>
    </w:pPr>
    <w:rPr>
      <w:szCs w:val="22"/>
    </w:rPr>
  </w:style>
  <w:style w:type="paragraph" w:customStyle="1" w:styleId="TOCBase">
    <w:name w:val="TOC Base"/>
    <w:rsid w:val="00B22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342"/>
    <w:pPr>
      <w:tabs>
        <w:tab w:val="right" w:leader="dot" w:pos="9072"/>
      </w:tabs>
      <w:spacing w:before="40" w:after="40"/>
      <w:ind w:left="284"/>
    </w:pPr>
    <w:rPr>
      <w:rFonts w:ascii="Times New Roman" w:hAnsi="Times New Roman"/>
    </w:rPr>
  </w:style>
  <w:style w:type="paragraph" w:styleId="TOC1">
    <w:name w:val="toc 1"/>
    <w:basedOn w:val="TOCBase"/>
    <w:next w:val="Normal"/>
    <w:rsid w:val="00B223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342"/>
    <w:pPr>
      <w:spacing w:before="5040"/>
      <w:jc w:val="center"/>
    </w:pPr>
    <w:rPr>
      <w:sz w:val="48"/>
      <w:szCs w:val="72"/>
      <w:lang w:val="en-US"/>
    </w:rPr>
  </w:style>
  <w:style w:type="character" w:customStyle="1" w:styleId="TitleChar">
    <w:name w:val="Title Char"/>
    <w:basedOn w:val="DefaultParagraphFont"/>
    <w:link w:val="Title"/>
    <w:rsid w:val="00B22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342"/>
    <w:pPr>
      <w:tabs>
        <w:tab w:val="left" w:pos="3600"/>
        <w:tab w:val="left" w:pos="3958"/>
      </w:tabs>
    </w:pPr>
  </w:style>
  <w:style w:type="paragraph" w:customStyle="1" w:styleId="Note">
    <w:name w:val="Note"/>
    <w:basedOn w:val="BodyText"/>
    <w:rsid w:val="00B22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342"/>
    <w:pPr>
      <w:framePr w:wrap="auto" w:hAnchor="text" w:y="6049"/>
    </w:pPr>
    <w:rPr>
      <w:color w:val="000000"/>
      <w:sz w:val="40"/>
    </w:rPr>
  </w:style>
  <w:style w:type="paragraph" w:customStyle="1" w:styleId="TOCTitle">
    <w:name w:val="TOCTitle"/>
    <w:basedOn w:val="Heading1"/>
    <w:rsid w:val="00B22342"/>
    <w:pPr>
      <w:spacing w:after="240"/>
      <w:jc w:val="center"/>
      <w:outlineLvl w:val="9"/>
    </w:pPr>
    <w:rPr>
      <w:caps/>
    </w:rPr>
  </w:style>
  <w:style w:type="paragraph" w:customStyle="1" w:styleId="Version">
    <w:name w:val="Version"/>
    <w:rsid w:val="00B223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2342"/>
    <w:pPr>
      <w:numPr>
        <w:numId w:val="13"/>
      </w:numPr>
      <w:tabs>
        <w:tab w:val="clear" w:pos="680"/>
      </w:tabs>
    </w:pPr>
  </w:style>
  <w:style w:type="paragraph" w:styleId="Index1">
    <w:name w:val="index 1"/>
    <w:basedOn w:val="Normal"/>
    <w:next w:val="Normal"/>
    <w:semiHidden/>
    <w:rsid w:val="00B22342"/>
    <w:pPr>
      <w:keepNext w:val="0"/>
      <w:tabs>
        <w:tab w:val="right" w:pos="4176"/>
      </w:tabs>
      <w:ind w:left="198" w:hanging="198"/>
    </w:pPr>
    <w:rPr>
      <w:rFonts w:ascii="Garamond" w:hAnsi="Garamond"/>
    </w:rPr>
  </w:style>
  <w:style w:type="paragraph" w:styleId="IndexHeading">
    <w:name w:val="index heading"/>
    <w:basedOn w:val="Normal"/>
    <w:next w:val="Index1"/>
    <w:semiHidden/>
    <w:rsid w:val="00B22342"/>
    <w:pPr>
      <w:spacing w:before="120" w:after="120"/>
    </w:pPr>
    <w:rPr>
      <w:rFonts w:ascii="Arial" w:hAnsi="Arial"/>
      <w:b/>
      <w:color w:val="918585"/>
      <w:sz w:val="24"/>
    </w:rPr>
  </w:style>
  <w:style w:type="paragraph" w:customStyle="1" w:styleId="Chapter">
    <w:name w:val="Chapter"/>
    <w:basedOn w:val="Normal"/>
    <w:rsid w:val="00B22342"/>
    <w:pPr>
      <w:spacing w:before="240"/>
    </w:pPr>
    <w:rPr>
      <w:rFonts w:ascii="Times New Roman" w:hAnsi="Times New Roman"/>
      <w:smallCaps/>
      <w:spacing w:val="80"/>
      <w:sz w:val="28"/>
    </w:rPr>
  </w:style>
  <w:style w:type="paragraph" w:customStyle="1" w:styleId="InChapter">
    <w:name w:val="InChapter"/>
    <w:basedOn w:val="Heading3"/>
    <w:rsid w:val="00B22342"/>
    <w:pPr>
      <w:spacing w:after="240"/>
      <w:outlineLvl w:val="9"/>
    </w:pPr>
    <w:rPr>
      <w:noProof/>
    </w:rPr>
  </w:style>
  <w:style w:type="paragraph" w:styleId="Index2">
    <w:name w:val="index 2"/>
    <w:basedOn w:val="Normal"/>
    <w:next w:val="Normal"/>
    <w:semiHidden/>
    <w:rsid w:val="00B22342"/>
    <w:pPr>
      <w:tabs>
        <w:tab w:val="right" w:pos="4176"/>
      </w:tabs>
      <w:ind w:left="568" w:hanging="284"/>
    </w:pPr>
    <w:rPr>
      <w:rFonts w:ascii="Garamond" w:hAnsi="Garamond"/>
    </w:rPr>
  </w:style>
  <w:style w:type="paragraph" w:customStyle="1" w:styleId="Byline">
    <w:name w:val="Byline"/>
    <w:rsid w:val="00B22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342"/>
    <w:pPr>
      <w:tabs>
        <w:tab w:val="clear" w:pos="3600"/>
        <w:tab w:val="clear" w:pos="3958"/>
      </w:tabs>
      <w:jc w:val="right"/>
    </w:pPr>
  </w:style>
  <w:style w:type="character" w:styleId="Emphasis">
    <w:name w:val="Emphasis"/>
    <w:basedOn w:val="DefaultParagraphFont"/>
    <w:qFormat/>
    <w:rsid w:val="00B22342"/>
    <w:rPr>
      <w:i/>
    </w:rPr>
  </w:style>
  <w:style w:type="paragraph" w:styleId="Caption">
    <w:name w:val="caption"/>
    <w:basedOn w:val="BodyText"/>
    <w:next w:val="Normal"/>
    <w:qFormat/>
    <w:rsid w:val="00B22342"/>
    <w:pPr>
      <w:framePr w:w="2268" w:hSpace="181" w:vSpace="181" w:wrap="around" w:vAnchor="text" w:hAnchor="page" w:x="1135" w:y="285" w:anchorLock="1"/>
    </w:pPr>
    <w:rPr>
      <w:i/>
    </w:rPr>
  </w:style>
  <w:style w:type="paragraph" w:customStyle="1" w:styleId="MiniTOCTitle">
    <w:name w:val="MiniTOCTitle"/>
    <w:basedOn w:val="Heading4"/>
    <w:rsid w:val="00B22342"/>
    <w:pPr>
      <w:spacing w:before="240"/>
      <w:outlineLvl w:val="9"/>
    </w:pPr>
    <w:rPr>
      <w:noProof/>
      <w:sz w:val="24"/>
    </w:rPr>
  </w:style>
  <w:style w:type="paragraph" w:customStyle="1" w:styleId="MiniTOCItem">
    <w:name w:val="MiniTOCItem"/>
    <w:basedOn w:val="ListBullet"/>
    <w:rsid w:val="00B22342"/>
    <w:pPr>
      <w:numPr>
        <w:numId w:val="0"/>
      </w:numPr>
      <w:tabs>
        <w:tab w:val="right" w:leader="dot" w:pos="6521"/>
      </w:tabs>
      <w:spacing w:before="0" w:after="0"/>
    </w:pPr>
  </w:style>
  <w:style w:type="paragraph" w:customStyle="1" w:styleId="TOFTitle">
    <w:name w:val="TOFTitle"/>
    <w:basedOn w:val="TOCTitle"/>
    <w:rsid w:val="00B22342"/>
  </w:style>
  <w:style w:type="paragraph" w:styleId="TableofFigures">
    <w:name w:val="table of figures"/>
    <w:basedOn w:val="Normal"/>
    <w:next w:val="Normal"/>
    <w:semiHidden/>
    <w:rsid w:val="00B22342"/>
    <w:pPr>
      <w:tabs>
        <w:tab w:val="right" w:leader="dot" w:pos="9072"/>
      </w:tabs>
      <w:ind w:left="970" w:hanging="403"/>
    </w:pPr>
    <w:rPr>
      <w:rFonts w:ascii="Times New Roman" w:hAnsi="Times New Roman"/>
      <w:b/>
    </w:rPr>
  </w:style>
  <w:style w:type="paragraph" w:styleId="ListNumber">
    <w:name w:val="List Number"/>
    <w:basedOn w:val="List"/>
    <w:rsid w:val="00B22342"/>
    <w:pPr>
      <w:numPr>
        <w:numId w:val="10"/>
      </w:numPr>
    </w:pPr>
  </w:style>
  <w:style w:type="character" w:customStyle="1" w:styleId="WingdingSymbols">
    <w:name w:val="Wingding Symbols"/>
    <w:rsid w:val="00B22342"/>
    <w:rPr>
      <w:rFonts w:ascii="Wingdings" w:hAnsi="Wingdings"/>
    </w:rPr>
  </w:style>
  <w:style w:type="paragraph" w:customStyle="1" w:styleId="TableHeading">
    <w:name w:val="Table Heading"/>
    <w:basedOn w:val="HeadingBase"/>
    <w:rsid w:val="00B22342"/>
    <w:pPr>
      <w:keepLines/>
      <w:pBdr>
        <w:bottom w:val="single" w:sz="6" w:space="1" w:color="918585"/>
      </w:pBdr>
      <w:spacing w:before="240"/>
    </w:pPr>
  </w:style>
  <w:style w:type="character" w:customStyle="1" w:styleId="HotSpot">
    <w:name w:val="HotSpot"/>
    <w:rsid w:val="00B22342"/>
    <w:rPr>
      <w:color w:val="0033CC"/>
      <w:u w:val="none"/>
    </w:rPr>
  </w:style>
  <w:style w:type="paragraph" w:customStyle="1" w:styleId="BodyTextRight">
    <w:name w:val="Body Text Right"/>
    <w:basedOn w:val="BodyText"/>
    <w:rsid w:val="00B22342"/>
    <w:pPr>
      <w:spacing w:before="0" w:after="0"/>
      <w:jc w:val="right"/>
    </w:pPr>
  </w:style>
  <w:style w:type="paragraph" w:styleId="Index3">
    <w:name w:val="index 3"/>
    <w:basedOn w:val="ListNumber2"/>
    <w:next w:val="Normal"/>
    <w:semiHidden/>
    <w:rsid w:val="00B22342"/>
    <w:pPr>
      <w:numPr>
        <w:numId w:val="0"/>
      </w:numPr>
      <w:tabs>
        <w:tab w:val="right" w:leader="dot" w:pos="4176"/>
      </w:tabs>
    </w:pPr>
  </w:style>
  <w:style w:type="paragraph" w:styleId="ListNumber2">
    <w:name w:val="List Number 2"/>
    <w:basedOn w:val="List2"/>
    <w:rsid w:val="00B22342"/>
    <w:pPr>
      <w:numPr>
        <w:numId w:val="9"/>
      </w:numPr>
      <w:tabs>
        <w:tab w:val="clear" w:pos="1060"/>
      </w:tabs>
    </w:pPr>
  </w:style>
  <w:style w:type="paragraph" w:customStyle="1" w:styleId="MarginNote">
    <w:name w:val="Margin Note"/>
    <w:basedOn w:val="BodyText"/>
    <w:rsid w:val="00B22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3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2342"/>
    <w:rPr>
      <w:sz w:val="32"/>
    </w:rPr>
  </w:style>
  <w:style w:type="paragraph" w:customStyle="1" w:styleId="HeadingProcedure">
    <w:name w:val="Heading Procedure"/>
    <w:basedOn w:val="HeadingBase"/>
    <w:next w:val="Normal"/>
    <w:rsid w:val="00B22342"/>
    <w:pPr>
      <w:tabs>
        <w:tab w:val="left" w:pos="0"/>
      </w:tabs>
      <w:spacing w:before="120" w:after="60"/>
    </w:pPr>
    <w:rPr>
      <w:i/>
      <w:color w:val="918585"/>
      <w:sz w:val="22"/>
    </w:rPr>
  </w:style>
  <w:style w:type="paragraph" w:customStyle="1" w:styleId="TableBodyText">
    <w:name w:val="Table Body Text"/>
    <w:basedOn w:val="BodyText"/>
    <w:rsid w:val="00B22342"/>
    <w:pPr>
      <w:spacing w:before="60" w:after="60"/>
    </w:pPr>
  </w:style>
  <w:style w:type="paragraph" w:styleId="ListContinue">
    <w:name w:val="List Continue"/>
    <w:basedOn w:val="List"/>
    <w:rsid w:val="00B22342"/>
    <w:pPr>
      <w:ind w:firstLine="0"/>
    </w:pPr>
  </w:style>
  <w:style w:type="paragraph" w:customStyle="1" w:styleId="ListNote">
    <w:name w:val="List Note"/>
    <w:basedOn w:val="List"/>
    <w:rsid w:val="00B22342"/>
    <w:pPr>
      <w:pBdr>
        <w:top w:val="single" w:sz="6" w:space="2" w:color="918585"/>
        <w:bottom w:val="single" w:sz="6" w:space="2" w:color="918585"/>
      </w:pBdr>
      <w:tabs>
        <w:tab w:val="left" w:pos="1021"/>
      </w:tabs>
      <w:ind w:firstLine="0"/>
    </w:pPr>
  </w:style>
  <w:style w:type="paragraph" w:customStyle="1" w:styleId="Warning">
    <w:name w:val="Warning"/>
    <w:basedOn w:val="BodyText"/>
    <w:rsid w:val="00B22342"/>
    <w:pPr>
      <w:shd w:val="clear" w:color="auto" w:fill="D9D9D9"/>
      <w:tabs>
        <w:tab w:val="left" w:pos="992"/>
      </w:tabs>
      <w:ind w:left="119" w:right="119"/>
    </w:pPr>
    <w:rPr>
      <w:sz w:val="20"/>
    </w:rPr>
  </w:style>
  <w:style w:type="paragraph" w:customStyle="1" w:styleId="MarginIcons">
    <w:name w:val="Margin Icons"/>
    <w:basedOn w:val="BodyText"/>
    <w:rsid w:val="00B22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342"/>
    <w:rPr>
      <w:rFonts w:ascii="Courier New" w:hAnsi="Courier New"/>
    </w:rPr>
  </w:style>
  <w:style w:type="paragraph" w:customStyle="1" w:styleId="NoteBullet">
    <w:name w:val="Note Bullet"/>
    <w:basedOn w:val="Note"/>
    <w:rsid w:val="00B22342"/>
    <w:pPr>
      <w:tabs>
        <w:tab w:val="clear" w:pos="680"/>
      </w:tabs>
      <w:spacing w:before="60" w:after="60"/>
    </w:pPr>
  </w:style>
  <w:style w:type="paragraph" w:customStyle="1" w:styleId="SubHeading2">
    <w:name w:val="SubHeading2"/>
    <w:basedOn w:val="HeadingBase"/>
    <w:rsid w:val="00B22342"/>
    <w:pPr>
      <w:spacing w:before="240" w:after="60"/>
    </w:pPr>
    <w:rPr>
      <w:sz w:val="20"/>
    </w:rPr>
  </w:style>
  <w:style w:type="paragraph" w:customStyle="1" w:styleId="SubHeading1">
    <w:name w:val="SubHeading1"/>
    <w:basedOn w:val="HeadingBase"/>
    <w:rsid w:val="00B22342"/>
    <w:pPr>
      <w:spacing w:before="240" w:after="60"/>
    </w:pPr>
    <w:rPr>
      <w:color w:val="918585"/>
      <w:sz w:val="22"/>
    </w:rPr>
  </w:style>
  <w:style w:type="paragraph" w:customStyle="1" w:styleId="SideHeading">
    <w:name w:val="Side Heading"/>
    <w:basedOn w:val="HeadingBase"/>
    <w:rsid w:val="00B22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342"/>
    <w:pPr>
      <w:tabs>
        <w:tab w:val="num" w:pos="360"/>
      </w:tabs>
    </w:pPr>
  </w:style>
  <w:style w:type="paragraph" w:styleId="PlainText">
    <w:name w:val="Plain Text"/>
    <w:basedOn w:val="Normal"/>
    <w:link w:val="PlainTextChar"/>
    <w:rsid w:val="00B22342"/>
    <w:rPr>
      <w:sz w:val="20"/>
    </w:rPr>
  </w:style>
  <w:style w:type="character" w:customStyle="1" w:styleId="PlainTextChar">
    <w:name w:val="Plain Text Char"/>
    <w:basedOn w:val="DefaultParagraphFont"/>
    <w:link w:val="PlainText"/>
    <w:rsid w:val="00B223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2342"/>
    <w:rPr>
      <w:b/>
      <w:smallCaps/>
    </w:rPr>
  </w:style>
  <w:style w:type="paragraph" w:customStyle="1" w:styleId="TableListNumber">
    <w:name w:val="Table List Number"/>
    <w:basedOn w:val="ListNumber"/>
    <w:rsid w:val="00B22342"/>
    <w:pPr>
      <w:numPr>
        <w:numId w:val="0"/>
      </w:numPr>
    </w:pPr>
  </w:style>
  <w:style w:type="paragraph" w:styleId="TOC4">
    <w:name w:val="toc 4"/>
    <w:basedOn w:val="TOCBase"/>
    <w:next w:val="Normal"/>
    <w:semiHidden/>
    <w:rsid w:val="00B22342"/>
    <w:pPr>
      <w:tabs>
        <w:tab w:val="right" w:leader="dot" w:pos="9071"/>
      </w:tabs>
      <w:ind w:left="1701"/>
    </w:pPr>
  </w:style>
  <w:style w:type="paragraph" w:customStyle="1" w:styleId="ListAlpha">
    <w:name w:val="List Alpha"/>
    <w:basedOn w:val="List"/>
    <w:rsid w:val="00B22342"/>
    <w:pPr>
      <w:numPr>
        <w:numId w:val="8"/>
      </w:numPr>
    </w:pPr>
  </w:style>
  <w:style w:type="paragraph" w:customStyle="1" w:styleId="ListAlpha2">
    <w:name w:val="List Alpha 2"/>
    <w:basedOn w:val="List2"/>
    <w:rsid w:val="00B22342"/>
    <w:pPr>
      <w:numPr>
        <w:numId w:val="7"/>
      </w:numPr>
    </w:pPr>
  </w:style>
  <w:style w:type="paragraph" w:styleId="List3">
    <w:name w:val="List 3"/>
    <w:basedOn w:val="BodyText"/>
    <w:rsid w:val="00B22342"/>
    <w:pPr>
      <w:tabs>
        <w:tab w:val="left" w:pos="1021"/>
      </w:tabs>
      <w:spacing w:before="60" w:after="60"/>
      <w:ind w:left="1020" w:hanging="340"/>
    </w:pPr>
  </w:style>
  <w:style w:type="paragraph" w:styleId="List4">
    <w:name w:val="List 4"/>
    <w:basedOn w:val="BodyText"/>
    <w:rsid w:val="00B22342"/>
    <w:pPr>
      <w:tabs>
        <w:tab w:val="left" w:pos="1361"/>
      </w:tabs>
      <w:spacing w:before="60" w:after="60"/>
      <w:ind w:left="1361" w:hanging="340"/>
    </w:pPr>
  </w:style>
  <w:style w:type="paragraph" w:styleId="List5">
    <w:name w:val="List 5"/>
    <w:basedOn w:val="BodyText"/>
    <w:rsid w:val="00B22342"/>
    <w:pPr>
      <w:tabs>
        <w:tab w:val="left" w:pos="1701"/>
      </w:tabs>
      <w:spacing w:before="60" w:after="60"/>
      <w:ind w:left="1701" w:hanging="340"/>
    </w:pPr>
  </w:style>
  <w:style w:type="paragraph" w:styleId="ListBullet3">
    <w:name w:val="List Bullet 3"/>
    <w:basedOn w:val="List3"/>
    <w:rsid w:val="00B22342"/>
    <w:pPr>
      <w:numPr>
        <w:numId w:val="14"/>
      </w:numPr>
      <w:tabs>
        <w:tab w:val="clear" w:pos="1021"/>
      </w:tabs>
      <w:ind w:left="1037" w:hanging="357"/>
    </w:pPr>
  </w:style>
  <w:style w:type="paragraph" w:styleId="ListBullet4">
    <w:name w:val="List Bullet 4"/>
    <w:basedOn w:val="List4"/>
    <w:rsid w:val="00B22342"/>
    <w:pPr>
      <w:numPr>
        <w:numId w:val="2"/>
      </w:numPr>
    </w:pPr>
  </w:style>
  <w:style w:type="paragraph" w:styleId="ListBullet5">
    <w:name w:val="List Bullet 5"/>
    <w:basedOn w:val="List5"/>
    <w:rsid w:val="00B22342"/>
    <w:pPr>
      <w:numPr>
        <w:numId w:val="3"/>
      </w:numPr>
    </w:pPr>
  </w:style>
  <w:style w:type="paragraph" w:styleId="ListContinue2">
    <w:name w:val="List Continue 2"/>
    <w:basedOn w:val="List2"/>
    <w:rsid w:val="00B22342"/>
    <w:pPr>
      <w:ind w:firstLine="0"/>
    </w:pPr>
  </w:style>
  <w:style w:type="paragraph" w:styleId="ListContinue3">
    <w:name w:val="List Continue 3"/>
    <w:basedOn w:val="List3"/>
    <w:rsid w:val="00B22342"/>
    <w:pPr>
      <w:ind w:left="1021" w:firstLine="0"/>
    </w:pPr>
  </w:style>
  <w:style w:type="paragraph" w:styleId="ListContinue4">
    <w:name w:val="List Continue 4"/>
    <w:basedOn w:val="List4"/>
    <w:rsid w:val="00B22342"/>
    <w:pPr>
      <w:ind w:firstLine="0"/>
    </w:pPr>
  </w:style>
  <w:style w:type="paragraph" w:styleId="ListContinue5">
    <w:name w:val="List Continue 5"/>
    <w:basedOn w:val="List5"/>
    <w:rsid w:val="00B22342"/>
    <w:pPr>
      <w:ind w:firstLine="0"/>
    </w:pPr>
  </w:style>
  <w:style w:type="paragraph" w:styleId="ListNumber3">
    <w:name w:val="List Number 3"/>
    <w:basedOn w:val="List3"/>
    <w:rsid w:val="00B22342"/>
    <w:pPr>
      <w:numPr>
        <w:numId w:val="4"/>
      </w:numPr>
    </w:pPr>
  </w:style>
  <w:style w:type="paragraph" w:styleId="ListNumber4">
    <w:name w:val="List Number 4"/>
    <w:basedOn w:val="List4"/>
    <w:rsid w:val="00B22342"/>
    <w:pPr>
      <w:numPr>
        <w:numId w:val="5"/>
      </w:numPr>
    </w:pPr>
  </w:style>
  <w:style w:type="paragraph" w:styleId="ListNumber5">
    <w:name w:val="List Number 5"/>
    <w:basedOn w:val="List5"/>
    <w:rsid w:val="00B22342"/>
    <w:pPr>
      <w:numPr>
        <w:numId w:val="6"/>
      </w:numPr>
    </w:pPr>
  </w:style>
  <w:style w:type="paragraph" w:styleId="BlockText">
    <w:name w:val="Block Text"/>
    <w:basedOn w:val="Normal"/>
    <w:rsid w:val="00B22342"/>
    <w:pPr>
      <w:spacing w:after="120"/>
      <w:ind w:left="1440" w:right="1440"/>
    </w:pPr>
  </w:style>
  <w:style w:type="character" w:customStyle="1" w:styleId="Subscript">
    <w:name w:val="Subscript"/>
    <w:basedOn w:val="DefaultParagraphFont"/>
    <w:rsid w:val="00B22342"/>
    <w:rPr>
      <w:sz w:val="16"/>
      <w:vertAlign w:val="subscript"/>
    </w:rPr>
  </w:style>
  <w:style w:type="character" w:customStyle="1" w:styleId="Superscript">
    <w:name w:val="Superscript"/>
    <w:basedOn w:val="DefaultParagraphFont"/>
    <w:rsid w:val="00B22342"/>
    <w:rPr>
      <w:sz w:val="16"/>
      <w:vertAlign w:val="superscript"/>
    </w:rPr>
  </w:style>
  <w:style w:type="character" w:customStyle="1" w:styleId="Symbols">
    <w:name w:val="Symbols"/>
    <w:basedOn w:val="DefaultParagraphFont"/>
    <w:rsid w:val="00B22342"/>
    <w:rPr>
      <w:rFonts w:ascii="Symbol" w:hAnsi="Symbol"/>
    </w:rPr>
  </w:style>
  <w:style w:type="character" w:customStyle="1" w:styleId="MenuOptions">
    <w:name w:val="Menu Options"/>
    <w:basedOn w:val="DefaultParagraphFont"/>
    <w:rsid w:val="00B22342"/>
    <w:rPr>
      <w:rFonts w:ascii="Arial Narrow" w:hAnsi="Arial Narrow"/>
      <w:smallCaps/>
    </w:rPr>
  </w:style>
  <w:style w:type="character" w:customStyle="1" w:styleId="Buttons">
    <w:name w:val="Buttons"/>
    <w:basedOn w:val="DefaultParagraphFont"/>
    <w:rsid w:val="00B22342"/>
    <w:rPr>
      <w:b/>
    </w:rPr>
  </w:style>
  <w:style w:type="character" w:customStyle="1" w:styleId="Underlined">
    <w:name w:val="Underlined"/>
    <w:basedOn w:val="DefaultParagraphFont"/>
    <w:rsid w:val="00B22342"/>
    <w:rPr>
      <w:u w:val="single"/>
    </w:rPr>
  </w:style>
  <w:style w:type="paragraph" w:customStyle="1" w:styleId="TableBodyTextRight">
    <w:name w:val="Table Body Text Right"/>
    <w:basedOn w:val="TableBodyText"/>
    <w:rsid w:val="00B22342"/>
    <w:pPr>
      <w:widowControl w:val="0"/>
      <w:autoSpaceDE w:val="0"/>
      <w:autoSpaceDN w:val="0"/>
      <w:adjustRightInd w:val="0"/>
      <w:jc w:val="right"/>
    </w:pPr>
    <w:rPr>
      <w:rFonts w:cs="Arial"/>
      <w:szCs w:val="18"/>
    </w:rPr>
  </w:style>
  <w:style w:type="paragraph" w:customStyle="1" w:styleId="CopyrightText">
    <w:name w:val="Copyright Text"/>
    <w:basedOn w:val="BodyText"/>
    <w:rsid w:val="00B22342"/>
    <w:rPr>
      <w:sz w:val="18"/>
    </w:rPr>
  </w:style>
  <w:style w:type="paragraph" w:customStyle="1" w:styleId="BodySmallRight">
    <w:name w:val="Body Small Right"/>
    <w:basedOn w:val="BodyTextRight"/>
    <w:rsid w:val="00B22342"/>
    <w:rPr>
      <w:sz w:val="18"/>
      <w:szCs w:val="18"/>
    </w:rPr>
  </w:style>
  <w:style w:type="paragraph" w:customStyle="1" w:styleId="MarginEdition">
    <w:name w:val="Margin Edition"/>
    <w:basedOn w:val="MarginNote"/>
    <w:rsid w:val="00B22342"/>
    <w:pPr>
      <w:spacing w:before="0" w:after="0"/>
    </w:pPr>
    <w:rPr>
      <w:rFonts w:ascii="Times New Roman" w:hAnsi="Times New Roman"/>
      <w:color w:val="999999"/>
    </w:rPr>
  </w:style>
  <w:style w:type="paragraph" w:customStyle="1" w:styleId="Spacer">
    <w:name w:val="Spacer"/>
    <w:basedOn w:val="Normal"/>
    <w:rsid w:val="00B22342"/>
    <w:rPr>
      <w:sz w:val="2"/>
      <w:szCs w:val="2"/>
    </w:rPr>
  </w:style>
  <w:style w:type="character" w:customStyle="1" w:styleId="Small">
    <w:name w:val="Small"/>
    <w:basedOn w:val="DefaultParagraphFont"/>
    <w:rsid w:val="00B22342"/>
    <w:rPr>
      <w:sz w:val="16"/>
    </w:rPr>
  </w:style>
  <w:style w:type="paragraph" w:customStyle="1" w:styleId="WideTable">
    <w:name w:val="Wide Table"/>
    <w:basedOn w:val="Normal"/>
    <w:rsid w:val="00B22342"/>
    <w:pPr>
      <w:ind w:left="-1418"/>
    </w:pPr>
    <w:rPr>
      <w:sz w:val="2"/>
      <w:szCs w:val="2"/>
    </w:rPr>
  </w:style>
  <w:style w:type="character" w:styleId="PageNumber">
    <w:name w:val="page number"/>
    <w:basedOn w:val="DefaultParagraphFont"/>
    <w:rsid w:val="00B22342"/>
  </w:style>
  <w:style w:type="paragraph" w:styleId="Quote">
    <w:name w:val="Quote"/>
    <w:basedOn w:val="Heading1"/>
    <w:link w:val="QuoteChar"/>
    <w:qFormat/>
    <w:rsid w:val="00B22342"/>
    <w:rPr>
      <w:b w:val="0"/>
      <w:sz w:val="72"/>
      <w:szCs w:val="72"/>
      <w:lang w:val="en-NZ"/>
    </w:rPr>
  </w:style>
  <w:style w:type="character" w:customStyle="1" w:styleId="QuoteChar">
    <w:name w:val="Quote Char"/>
    <w:basedOn w:val="DefaultParagraphFont"/>
    <w:link w:val="Quote"/>
    <w:rsid w:val="00B22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342"/>
    <w:pPr>
      <w:pageBreakBefore/>
    </w:pPr>
  </w:style>
  <w:style w:type="paragraph" w:customStyle="1" w:styleId="Border">
    <w:name w:val="Border"/>
    <w:basedOn w:val="Normal"/>
    <w:qFormat/>
    <w:rsid w:val="00B22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342"/>
    <w:rPr>
      <w:b/>
      <w:bCs/>
      <w:i/>
      <w:iCs/>
      <w:color w:val="auto"/>
    </w:rPr>
  </w:style>
  <w:style w:type="paragraph" w:styleId="IntenseQuote">
    <w:name w:val="Intense Quote"/>
    <w:basedOn w:val="Normal"/>
    <w:next w:val="Normal"/>
    <w:link w:val="IntenseQuoteChar"/>
    <w:uiPriority w:val="30"/>
    <w:qFormat/>
    <w:rsid w:val="00B22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3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2342"/>
    <w:rPr>
      <w:smallCaps/>
      <w:color w:val="auto"/>
      <w:u w:val="single"/>
    </w:rPr>
  </w:style>
  <w:style w:type="character" w:styleId="IntenseReference">
    <w:name w:val="Intense Reference"/>
    <w:basedOn w:val="DefaultParagraphFont"/>
    <w:uiPriority w:val="32"/>
    <w:qFormat/>
    <w:rsid w:val="00B22342"/>
    <w:rPr>
      <w:b/>
      <w:bCs/>
      <w:smallCaps/>
      <w:color w:val="auto"/>
      <w:spacing w:val="5"/>
      <w:u w:val="single"/>
    </w:rPr>
  </w:style>
  <w:style w:type="paragraph" w:customStyle="1" w:styleId="2ColumnHeading">
    <w:name w:val="2Column Heading"/>
    <w:basedOn w:val="BodyText"/>
    <w:qFormat/>
    <w:rsid w:val="00B22342"/>
    <w:pPr>
      <w:spacing w:after="60"/>
      <w:ind w:left="-2268"/>
    </w:pPr>
    <w:rPr>
      <w:b/>
    </w:rPr>
  </w:style>
  <w:style w:type="paragraph" w:customStyle="1" w:styleId="Heading1TOC">
    <w:name w:val="Heading1 TOC"/>
    <w:basedOn w:val="Normal"/>
    <w:qFormat/>
    <w:rsid w:val="00B22342"/>
    <w:pPr>
      <w:spacing w:before="240" w:after="120"/>
    </w:pPr>
    <w:rPr>
      <w:rFonts w:ascii="Times New Roman" w:hAnsi="Times New Roman"/>
      <w:b/>
      <w:sz w:val="32"/>
    </w:rPr>
  </w:style>
  <w:style w:type="paragraph" w:customStyle="1" w:styleId="Heading2TOC">
    <w:name w:val="Heading2 TOC"/>
    <w:basedOn w:val="Normal"/>
    <w:qFormat/>
    <w:rsid w:val="00B22342"/>
    <w:pPr>
      <w:spacing w:before="240" w:after="60"/>
    </w:pPr>
    <w:rPr>
      <w:rFonts w:ascii="Times New Roman" w:hAnsi="Times New Roman"/>
      <w:b/>
      <w:sz w:val="28"/>
    </w:rPr>
  </w:style>
  <w:style w:type="character" w:customStyle="1" w:styleId="Underline">
    <w:name w:val="Underline"/>
    <w:basedOn w:val="DefaultParagraphFont"/>
    <w:qFormat/>
    <w:rsid w:val="00B22342"/>
    <w:rPr>
      <w:u w:val="single"/>
    </w:rPr>
  </w:style>
  <w:style w:type="character" w:customStyle="1" w:styleId="BoldandItalics">
    <w:name w:val="Bold and Italics"/>
    <w:qFormat/>
    <w:rsid w:val="00B22342"/>
    <w:rPr>
      <w:b/>
      <w:i/>
      <w:u w:val="none"/>
    </w:rPr>
  </w:style>
  <w:style w:type="paragraph" w:styleId="BalloonText">
    <w:name w:val="Balloon Text"/>
    <w:basedOn w:val="Normal"/>
    <w:link w:val="BalloonTextChar"/>
    <w:rsid w:val="00B22342"/>
    <w:rPr>
      <w:rFonts w:ascii="Tahoma" w:hAnsi="Tahoma" w:cs="Tahoma"/>
      <w:sz w:val="16"/>
      <w:szCs w:val="16"/>
    </w:rPr>
  </w:style>
  <w:style w:type="character" w:customStyle="1" w:styleId="BalloonTextChar">
    <w:name w:val="Balloon Text Char"/>
    <w:basedOn w:val="DefaultParagraphFont"/>
    <w:link w:val="BalloonText"/>
    <w:rsid w:val="00B223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2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3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1409</Words>
  <Characters>8636</Characters>
  <Application>Microsoft Office Word</Application>
  <DocSecurity>0</DocSecurity>
  <Lines>250</Lines>
  <Paragraphs>119</Paragraphs>
  <ScaleCrop>false</ScaleCrop>
  <Company>Author-it Software Corporation Ltd.</Company>
  <LinksUpToDate>false</LinksUpToDate>
  <CharactersWithSpaces>9975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PMAOMIR424B Develop and maintain community relationships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