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37B" w:rsidP="006E337B">
      <w:pPr>
        <w:pStyle w:val="Title"/>
      </w:pPr>
      <w:r>
        <w:fldChar w:fldCharType="begin"/>
      </w:r>
      <w:r>
        <w:instrText xml:space="preserve"> TITLE   \* MERGEFORMAT </w:instrText>
      </w:r>
      <w:r>
        <w:fldChar w:fldCharType="separate"/>
      </w:r>
      <w:r>
        <w:t>PMAOHS211B Prepare equipment for emergency response</w:t>
      </w:r>
      <w:r>
        <w:fldChar w:fldCharType="end"/>
      </w:r>
    </w:p>
    <w:p w:rsidR="006E337B" w:rsidP="006E337B">
      <w:pPr>
        <w:pStyle w:val="Version"/>
        <w:sectPr w:rsidSect="00706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B56" w:rsidP="00706B56">
      <w:pPr>
        <w:pStyle w:val="SuperHeading"/>
      </w:pPr>
      <w:r w:rsidRPr="00706B56">
        <w:t>PMAOHS211B Prepare equipment for emergency response</w:t>
      </w:r>
    </w:p>
    <w:p w:rsidR="00000000" w:rsidRPr="00706B56" w:rsidP="00706B56">
      <w:pPr>
        <w:pStyle w:val="Heading1"/>
      </w:pPr>
      <w:bookmarkStart w:id="1" w:name="O_106143"/>
      <w:bookmarkEnd w:id="1"/>
      <w:r w:rsidRPr="00706B56">
        <w:t>Modification History</w:t>
      </w:r>
    </w:p>
    <w:p w:rsidR="00000000" w:rsidRPr="00706B56" w:rsidP="00706B56">
      <w:pPr>
        <w:pStyle w:val="BodyText"/>
      </w:pPr>
      <w:r w:rsidRPr="00706B56">
        <w:t>Not applicable.</w:t>
      </w:r>
    </w:p>
    <w:p w:rsidR="00000000" w:rsidRPr="00706B56" w:rsidP="00706B56">
      <w:pPr>
        <w:pStyle w:val="AllowPageBreak"/>
      </w:pPr>
    </w:p>
    <w:p w:rsidR="00000000" w:rsidRPr="00706B56" w:rsidP="00706B56">
      <w:pPr>
        <w:pStyle w:val="Heading1"/>
      </w:pPr>
      <w:bookmarkStart w:id="2" w:name="O_106144"/>
      <w:bookmarkEnd w:id="2"/>
      <w:r w:rsidRPr="00706B56">
        <w:t>Unit Descriptor</w:t>
      </w:r>
    </w:p>
    <w:tbl>
      <w:tblPr>
        <w:tblW w:w="0" w:type="auto"/>
        <w:tblCellMar>
          <w:left w:w="62" w:type="dxa"/>
          <w:right w:w="62" w:type="dxa"/>
        </w:tblCellMar>
        <w:tblLook w:val="0000"/>
      </w:tblPr>
      <w:tblGrid>
        <w:gridCol w:w="2479"/>
        <w:gridCol w:w="6717"/>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This competency unit covers the preparation and minor servicing of equipment used to</w:t>
            </w:r>
            <w:r w:rsidRPr="00706B56">
              <w:t xml:space="preserve"> respond to emergency situations.</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3" w:name="O_106145"/>
      <w:bookmarkEnd w:id="3"/>
      <w:r w:rsidRPr="00706B56">
        <w:t>Application of the Unit</w:t>
      </w:r>
    </w:p>
    <w:tbl>
      <w:tblPr>
        <w:tblW w:w="0" w:type="auto"/>
        <w:tblCellMar>
          <w:left w:w="62" w:type="dxa"/>
          <w:right w:w="62" w:type="dxa"/>
        </w:tblCellMar>
        <w:tblLook w:val="0000"/>
      </w:tblPr>
      <w:tblGrid>
        <w:gridCol w:w="2479"/>
        <w:gridCol w:w="6717"/>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4" w:name="O_106146"/>
      <w:bookmarkEnd w:id="4"/>
      <w:r w:rsidRPr="00706B56">
        <w:t>Licensing/Regulatory Information</w:t>
      </w:r>
    </w:p>
    <w:p w:rsidR="00000000" w:rsidRPr="00706B56" w:rsidP="00706B56">
      <w:pPr>
        <w:pStyle w:val="BodyText"/>
      </w:pPr>
      <w:r w:rsidRPr="00706B56">
        <w:t>Not applicable.</w:t>
      </w:r>
    </w:p>
    <w:p w:rsidR="00000000" w:rsidRPr="00706B56" w:rsidP="00706B56">
      <w:pPr>
        <w:pStyle w:val="AllowPageBreak"/>
      </w:pPr>
    </w:p>
    <w:p w:rsidR="00000000" w:rsidRPr="00706B56" w:rsidP="00706B56">
      <w:pPr>
        <w:pStyle w:val="Heading1"/>
      </w:pPr>
      <w:bookmarkStart w:id="5" w:name="O_106148"/>
      <w:bookmarkEnd w:id="5"/>
      <w:r w:rsidRPr="00706B56">
        <w:t>Pre-Requisites</w:t>
      </w:r>
    </w:p>
    <w:tbl>
      <w:tblPr>
        <w:tblW w:w="0" w:type="auto"/>
        <w:tblCellMar>
          <w:left w:w="62" w:type="dxa"/>
          <w:right w:w="62" w:type="dxa"/>
        </w:tblCellMar>
        <w:tblLook w:val="0000"/>
      </w:tblPr>
      <w:tblGrid>
        <w:gridCol w:w="2479"/>
        <w:gridCol w:w="1635"/>
        <w:gridCol w:w="5082"/>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6" w:name="O_106147"/>
      <w:bookmarkEnd w:id="6"/>
      <w:r w:rsidRPr="00706B56">
        <w:t>Employability Skills Information</w:t>
      </w:r>
    </w:p>
    <w:tbl>
      <w:tblPr>
        <w:tblW w:w="0" w:type="auto"/>
        <w:tblCellMar>
          <w:left w:w="62" w:type="dxa"/>
          <w:right w:w="62" w:type="dxa"/>
        </w:tblCellMar>
        <w:tblLook w:val="0000"/>
      </w:tblPr>
      <w:tblGrid>
        <w:gridCol w:w="2479"/>
        <w:gridCol w:w="6717"/>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This unit contains employability skills.</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7" w:name="O_106149"/>
      <w:bookmarkEnd w:id="7"/>
      <w:r w:rsidRPr="00706B56">
        <w:t>Elements and Performance Criteria Pre-Content</w:t>
      </w:r>
    </w:p>
    <w:tbl>
      <w:tblPr>
        <w:tblW w:w="0" w:type="auto"/>
        <w:tblCellMar>
          <w:left w:w="62" w:type="dxa"/>
          <w:right w:w="62" w:type="dxa"/>
        </w:tblCellMar>
        <w:tblLook w:val="0000"/>
      </w:tblPr>
      <w:tblGrid>
        <w:gridCol w:w="2644"/>
        <w:gridCol w:w="6552"/>
      </w:tblGrid>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 xml:space="preserve">Performance criteria describe </w:t>
            </w:r>
            <w:r w:rsidRPr="00706B56">
              <w:t>the performance needed to demonstrate achievement of the element.  Where bold italicised text is used, further information is detailed in the required skills and knowledge section and the range statement.  Assessment of performance is to be consistent with</w:t>
            </w:r>
            <w:r w:rsidRPr="00706B56">
              <w:t xml:space="preserve"> the evidence guide.</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8" w:name="O_106150"/>
      <w:bookmarkEnd w:id="8"/>
      <w:r w:rsidRPr="00706B56">
        <w:t>Elements and Performance Criteria</w:t>
      </w:r>
    </w:p>
    <w:tbl>
      <w:tblPr>
        <w:tblW w:w="0" w:type="auto"/>
        <w:tblCellMar>
          <w:left w:w="62" w:type="dxa"/>
          <w:right w:w="62" w:type="dxa"/>
        </w:tblCellMar>
        <w:tblLook w:val="0000"/>
      </w:tblPr>
      <w:tblGrid>
        <w:gridCol w:w="2644"/>
        <w:gridCol w:w="6552"/>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PERFORMANCE CRITERIA</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List"/>
              <w:rPr>
                <w:lang w:val="en-NZ"/>
              </w:rPr>
            </w:pPr>
            <w:r w:rsidRPr="00706B56">
              <w:t>1.</w:t>
            </w:r>
            <w:r w:rsidRPr="00706B56">
              <w:tab/>
              <w:t>Identify emergency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List2"/>
            </w:pPr>
            <w:r w:rsidRPr="00706B56">
              <w:t>1.1.</w:t>
            </w:r>
            <w:r w:rsidRPr="00706B56">
              <w:tab/>
              <w:t>Locate emergency equipment</w:t>
            </w:r>
          </w:p>
          <w:p w:rsidR="00000000" w:rsidP="00706B56">
            <w:pPr>
              <w:pStyle w:val="List2"/>
              <w:rPr>
                <w:lang w:val="en-NZ"/>
              </w:rPr>
            </w:pPr>
            <w:r w:rsidRPr="00706B56">
              <w:t>1.2.</w:t>
            </w:r>
            <w:r w:rsidRPr="00706B56">
              <w:tab/>
              <w:t>Ensure access is provided to emergency equipment.</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List"/>
              <w:rPr>
                <w:lang w:val="en-NZ"/>
              </w:rPr>
            </w:pPr>
            <w:r w:rsidRPr="00706B56">
              <w:t>2.</w:t>
            </w:r>
            <w:r w:rsidRPr="00706B56">
              <w:tab/>
            </w:r>
            <w:r w:rsidRPr="00706B56">
              <w:t>Inspect and assemble emergency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List2"/>
            </w:pPr>
            <w:r w:rsidRPr="00706B56">
              <w:t>2.1.</w:t>
            </w:r>
            <w:r w:rsidRPr="00706B56">
              <w:tab/>
              <w:t>Inspect emergency equipment for faults or damage</w:t>
            </w:r>
          </w:p>
          <w:p w:rsidR="00000000" w:rsidRPr="00706B56" w:rsidP="00706B56">
            <w:pPr>
              <w:pStyle w:val="List2"/>
            </w:pPr>
            <w:r w:rsidRPr="00706B56">
              <w:t>2.2.</w:t>
            </w:r>
            <w:r w:rsidRPr="00706B56">
              <w:tab/>
              <w:t>Secure couplings/connections and operational condition</w:t>
            </w:r>
          </w:p>
          <w:p w:rsidR="00000000" w:rsidRPr="00706B56" w:rsidP="00706B56">
            <w:pPr>
              <w:pStyle w:val="List2"/>
            </w:pPr>
            <w:r w:rsidRPr="00706B56">
              <w:t>2.3.</w:t>
            </w:r>
            <w:r w:rsidRPr="00706B56">
              <w:tab/>
              <w:t>Assemble equipment in accordance with manufacturer specifications</w:t>
            </w:r>
          </w:p>
          <w:p w:rsidR="00000000" w:rsidP="00706B56">
            <w:pPr>
              <w:pStyle w:val="List2"/>
              <w:rPr>
                <w:lang w:val="en-NZ"/>
              </w:rPr>
            </w:pPr>
            <w:r w:rsidRPr="00706B56">
              <w:t>2.4.</w:t>
            </w:r>
            <w:r w:rsidRPr="00706B56">
              <w:tab/>
            </w:r>
            <w:r w:rsidRPr="00706B56">
              <w:t>Identify and report any missing or damaged components.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List"/>
              <w:rPr>
                <w:lang w:val="en-NZ"/>
              </w:rPr>
            </w:pPr>
            <w:r w:rsidRPr="00706B56">
              <w:t>3.</w:t>
            </w:r>
            <w:r w:rsidRPr="00706B56">
              <w:tab/>
              <w:t>Carry out minor servicing of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List2"/>
            </w:pPr>
            <w:r w:rsidRPr="00706B56">
              <w:t>3.1.</w:t>
            </w:r>
            <w:r w:rsidRPr="00706B56">
              <w:tab/>
              <w:t>Maintain and clean equipment according to specifications/procedures</w:t>
            </w:r>
          </w:p>
          <w:p w:rsidR="00000000" w:rsidRPr="00706B56" w:rsidP="00706B56">
            <w:pPr>
              <w:pStyle w:val="List2"/>
            </w:pPr>
            <w:r w:rsidRPr="00706B56">
              <w:t>3.2.</w:t>
            </w:r>
            <w:r w:rsidRPr="00706B56">
              <w:tab/>
              <w:t>Conduct servicing in accordance with specifications/procedures</w:t>
            </w:r>
          </w:p>
          <w:p w:rsidR="00000000" w:rsidRPr="00706B56" w:rsidP="00706B56">
            <w:pPr>
              <w:pStyle w:val="List2"/>
            </w:pPr>
            <w:r w:rsidRPr="00706B56">
              <w:t>3.3.</w:t>
            </w:r>
            <w:r w:rsidRPr="00706B56">
              <w:tab/>
              <w:t>Ensure equi</w:t>
            </w:r>
            <w:r w:rsidRPr="00706B56">
              <w:t>pment is 'made-ready' and stored in designated location</w:t>
            </w:r>
          </w:p>
          <w:p w:rsidR="00000000" w:rsidP="00706B56">
            <w:pPr>
              <w:pStyle w:val="List2"/>
              <w:rPr>
                <w:lang w:val="en-NZ"/>
              </w:rPr>
            </w:pPr>
            <w:r w:rsidRPr="00706B56">
              <w:t>3.4.</w:t>
            </w:r>
            <w:r w:rsidRPr="00706B56">
              <w:tab/>
              <w:t>Ensure equipment functions in accordance with specifications.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List"/>
              <w:rPr>
                <w:lang w:val="en-NZ"/>
              </w:rPr>
            </w:pPr>
            <w:r w:rsidRPr="00706B56">
              <w:t>4.</w:t>
            </w:r>
            <w:r w:rsidRPr="00706B56">
              <w:tab/>
              <w:t>Report and record equipment status.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List2"/>
            </w:pPr>
            <w:r w:rsidRPr="00706B56">
              <w:t>4.1.</w:t>
            </w:r>
            <w:r w:rsidRPr="00706B56">
              <w:tab/>
              <w:t>Record and report equipment status</w:t>
            </w:r>
          </w:p>
          <w:p w:rsidR="00000000" w:rsidRPr="00706B56" w:rsidP="00706B56">
            <w:pPr>
              <w:pStyle w:val="List2"/>
            </w:pPr>
            <w:r w:rsidRPr="00706B56">
              <w:t>4.2.</w:t>
            </w:r>
            <w:r w:rsidRPr="00706B56">
              <w:tab/>
              <w:t>Raise maintenance requests as required</w:t>
            </w:r>
          </w:p>
          <w:p w:rsidR="00000000" w:rsidRPr="00706B56" w:rsidP="00706B56">
            <w:pPr>
              <w:pStyle w:val="List2"/>
            </w:pPr>
            <w:r w:rsidRPr="00706B56">
              <w:t>4.3.</w:t>
            </w:r>
            <w:r w:rsidRPr="00706B56">
              <w:tab/>
              <w:t>Unde</w:t>
            </w:r>
            <w:r w:rsidRPr="00706B56">
              <w:t>rtake corrective actions as required.</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9" w:name="O_106151"/>
      <w:bookmarkEnd w:id="9"/>
      <w:r w:rsidRPr="00706B56">
        <w:t>Required Skills and Knowledge</w:t>
      </w:r>
    </w:p>
    <w:tbl>
      <w:tblPr>
        <w:tblW w:w="0" w:type="auto"/>
        <w:tblCellMar>
          <w:left w:w="62" w:type="dxa"/>
          <w:right w:w="62" w:type="dxa"/>
        </w:tblCellMar>
        <w:tblLook w:val="0000"/>
      </w:tblPr>
      <w:tblGrid>
        <w:gridCol w:w="9196"/>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REQUIRED SKILLS AND KNOWLEDGE</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This describes the essential skills and knowledge and their level, required for this unit.</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Required skills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ListBullet"/>
            </w:pPr>
            <w:r w:rsidRPr="00706B56">
              <w:t>hand skills</w:t>
            </w:r>
          </w:p>
          <w:p w:rsidR="00000000" w:rsidRPr="00706B56" w:rsidP="00706B56">
            <w:pPr>
              <w:pStyle w:val="ListBullet"/>
            </w:pPr>
            <w:r w:rsidRPr="00706B56">
              <w:t>follow procedures</w:t>
            </w:r>
          </w:p>
          <w:p w:rsidR="00000000" w:rsidRPr="00706B56" w:rsidP="00706B56">
            <w:pPr>
              <w:pStyle w:val="ListBullet"/>
            </w:pPr>
            <w:r w:rsidRPr="00706B56">
              <w:t>observation</w:t>
            </w:r>
          </w:p>
          <w:p w:rsidR="00000000" w:rsidRPr="00706B56" w:rsidP="00706B56">
            <w:pPr>
              <w:pStyle w:val="ListBullet"/>
            </w:pPr>
            <w:r w:rsidRPr="00706B56">
              <w:t>completing records</w:t>
            </w:r>
          </w:p>
          <w:p w:rsidR="00000000" w:rsidRPr="00706B56" w:rsidP="00706B56">
            <w:pPr>
              <w:pStyle w:val="ListBullet"/>
            </w:pPr>
            <w:r w:rsidRPr="00706B56">
              <w:t>assembling and operating various pieces of emergency response equipment</w:t>
            </w:r>
          </w:p>
          <w:p w:rsidR="00000000" w:rsidRPr="00706B56" w:rsidP="00706B56">
            <w:pPr>
              <w:pStyle w:val="ListBullet"/>
            </w:pPr>
            <w:r w:rsidRPr="00706B56">
              <w:t>servicing various pieces of emergency response equipment</w:t>
            </w:r>
          </w:p>
          <w:p w:rsidR="00000000" w:rsidP="00706B56">
            <w:pPr>
              <w:pStyle w:val="ListBullet"/>
              <w:rPr>
                <w:lang w:val="en-NZ"/>
              </w:rPr>
            </w:pPr>
            <w:r w:rsidRPr="00706B56">
              <w:t>storing various pieces of emergency response equipment.</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Required knowledge</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Knowledge and understanding of the emergency response procedures and equipment, sufficient to recognise standard and non-standard situations with regards to the equipment used, and then determine the appropriate action which is consistent with operating gu</w:t>
            </w:r>
            <w:r w:rsidRPr="00706B56">
              <w:t>idelines.  These include:</w:t>
            </w:r>
          </w:p>
          <w:p w:rsidR="00000000" w:rsidRPr="00706B56" w:rsidP="00706B56">
            <w:pPr>
              <w:pStyle w:val="ListBullet"/>
            </w:pPr>
            <w:r w:rsidRPr="00706B56">
              <w:t>principles of operation of the emergency response equipment</w:t>
            </w:r>
          </w:p>
          <w:p w:rsidR="00000000" w:rsidRPr="00706B56" w:rsidP="00706B56">
            <w:pPr>
              <w:pStyle w:val="ListBullet"/>
            </w:pPr>
            <w:r w:rsidRPr="00706B56">
              <w:t>hazards policies and procedures</w:t>
            </w:r>
          </w:p>
          <w:p w:rsidR="00000000" w:rsidRPr="00706B56" w:rsidP="00706B56">
            <w:pPr>
              <w:pStyle w:val="ListBullet"/>
            </w:pPr>
            <w:r w:rsidRPr="00706B56">
              <w:t>emergency, fire and accident procedures.</w:t>
            </w:r>
          </w:p>
          <w:p w:rsidR="00000000" w:rsidRPr="00706B56" w:rsidP="00706B56">
            <w:pPr>
              <w:pStyle w:val="BodyText"/>
            </w:pPr>
            <w:r w:rsidRPr="00706B56">
              <w:t xml:space="preserve">Knowledge of the relevant OHS and environmental requirements, and enterprise standard operating </w:t>
            </w:r>
            <w:r w:rsidRPr="00706B56">
              <w:t>procedures (</w:t>
            </w:r>
            <w:r w:rsidRPr="00706B56">
              <w:rPr>
                <w:rStyle w:val="Underline"/>
              </w:rPr>
              <w:t>SOPs</w:t>
            </w:r>
            <w:r w:rsidRPr="00706B56">
              <w:t>), along with an ability to implement them in a manner that is relevant to emergency response practices.  These include procedures for the use of personal protective clothing and equipment.</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10" w:name="O_106152"/>
      <w:bookmarkEnd w:id="10"/>
      <w:r w:rsidRPr="00706B56">
        <w:t>Evidence Guide</w:t>
      </w:r>
    </w:p>
    <w:tbl>
      <w:tblPr>
        <w:tblW w:w="0" w:type="auto"/>
        <w:tblCellMar>
          <w:left w:w="62" w:type="dxa"/>
          <w:right w:w="62" w:type="dxa"/>
        </w:tblCellMar>
        <w:tblLook w:val="0000"/>
      </w:tblPr>
      <w:tblGrid>
        <w:gridCol w:w="2524"/>
        <w:gridCol w:w="6672"/>
      </w:tblGrid>
      <w:tr w:rsidTr="006E33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EVIDENCE GUIDE</w:t>
            </w:r>
          </w:p>
        </w:tc>
      </w:tr>
      <w:tr w:rsidTr="006E337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The Evidence Guide provides advice on assessment and must be read in conjunction with the Performance Criteria, Required Skills and Knowledge, the Range Statement and the Assessment Guidelines for the Training Package.</w:t>
            </w:r>
          </w:p>
        </w:tc>
      </w:tr>
      <w:tr w:rsidTr="006E337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 xml:space="preserve">Assessment </w:t>
            </w:r>
            <w:r w:rsidRPr="00706B56">
              <w:t>of this unit should include demonstrated competence on actual plant and equipment in a work environment.  The unit will be assessed in as holistic a manner as is practical and may be integrated with the assessment of other relevant units of competency.  As</w:t>
            </w:r>
            <w:r w:rsidRPr="00706B56">
              <w:t>sessment will occur over a range of situations which will include disruptions to normal, smooth operation.</w:t>
            </w:r>
          </w:p>
          <w:p w:rsidR="00000000" w:rsidRPr="00706B56" w:rsidP="00706B56">
            <w:pPr>
              <w:pStyle w:val="BodyText"/>
            </w:pPr>
            <w:r w:rsidRPr="00706B56">
              <w:t>Simulation may be required to allow for assessment of parts of this unit.  Simulation should be based on the actual plant and will include walk-throu</w:t>
            </w:r>
            <w:r w:rsidRPr="00706B56">
              <w:t>ghs of the relevant competency components.  Simulations may also include the use of case studies/scenarios and role plays.</w:t>
            </w:r>
          </w:p>
          <w:p w:rsidR="00000000" w:rsidP="00706B56">
            <w:pPr>
              <w:pStyle w:val="BodyText"/>
              <w:rPr>
                <w:lang w:val="en-NZ"/>
              </w:rPr>
            </w:pPr>
            <w:r w:rsidRPr="00706B56">
              <w:t>This unit of competency requires a body of knowledge which will be assessed through questioning and the use of what-if scenarios both</w:t>
            </w:r>
            <w:r w:rsidRPr="00706B56">
              <w:t xml:space="preserve"> on the plant (during demonstration of normal operations and walk- throughs of abnormal operations) and off the plant.</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Competence must be demonstrated in the ability to recognise and analyse potential situations requiring action and then in implementing appropriate action.  The emphasis should be on the ability to minimise the affect of an emergency situation.</w:t>
            </w:r>
          </w:p>
          <w:p w:rsidR="00000000" w:rsidRPr="00706B56" w:rsidP="00706B56">
            <w:pPr>
              <w:pStyle w:val="BodyText"/>
            </w:pPr>
            <w:r w:rsidRPr="00706B56">
              <w:t>Consistent p</w:t>
            </w:r>
            <w:r w:rsidRPr="00706B56">
              <w:t xml:space="preserve">erformance should be demonstrated. In particular look to see that: </w:t>
            </w:r>
          </w:p>
          <w:p w:rsidR="00000000" w:rsidRPr="00706B56" w:rsidP="00706B56">
            <w:pPr>
              <w:pStyle w:val="ListBullet"/>
            </w:pPr>
            <w:r w:rsidRPr="00706B56">
              <w:t>early warning signs of equipment in need of servicing are recognised</w:t>
            </w:r>
          </w:p>
          <w:p w:rsidR="00000000" w:rsidRPr="00706B56" w:rsidP="00706B56">
            <w:pPr>
              <w:pStyle w:val="ListBullet"/>
            </w:pPr>
            <w:r w:rsidRPr="00706B56">
              <w:t xml:space="preserve">equipment is always 'made ready' </w:t>
            </w:r>
          </w:p>
          <w:p w:rsidR="00000000" w:rsidRPr="00706B56" w:rsidP="00706B56">
            <w:pPr>
              <w:pStyle w:val="ListBullet"/>
            </w:pPr>
            <w:r w:rsidRPr="00706B56">
              <w:t>equipment is always stored in the designated location at all times when not in use</w:t>
            </w:r>
          </w:p>
          <w:p w:rsidR="00000000" w:rsidRPr="00706B56" w:rsidP="00706B56">
            <w:pPr>
              <w:pStyle w:val="ListBullet"/>
            </w:pPr>
            <w:r w:rsidRPr="00706B56">
              <w:t>a</w:t>
            </w:r>
            <w:r w:rsidRPr="00706B56">
              <w:t>ccess to equipment is available at all times when not in use.</w:t>
            </w:r>
          </w:p>
          <w:p w:rsidR="00000000" w:rsidP="00706B56">
            <w:pPr>
              <w:pStyle w:val="BodyText"/>
              <w:rPr>
                <w:lang w:val="en-NZ"/>
              </w:rPr>
            </w:pPr>
            <w:r w:rsidRPr="00706B56">
              <w:t>These aspects may be best assessed using a range of scenarios/case studies/what ifs as the stimulus, with a walk through forming part of the response.  These assessment activities should include</w:t>
            </w:r>
            <w:r w:rsidRPr="00706B56">
              <w:t xml:space="preserve"> a range of problems, including new, unusual and extreme situations that may have been generated from the past incident history of the plant, incidents on similar plants around the world, hazard analysis activities (eg HAZOP) and similar sources.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Assessment will require access to an operating plant over an extended period of time, or a suitable method of gathering evidence of operating ability over a range of situations.  A bank of scenarios/case stu</w:t>
            </w:r>
            <w:r w:rsidRPr="00706B56">
              <w:t>dies/what ifs will be required as will a bank of questions which will be used to probe the reasoning behind the observable actions.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In all plants it may be appropriate to assess this unit concurrently with relevant teamwork, OHS and c</w:t>
            </w:r>
            <w:r w:rsidRPr="00706B56">
              <w:t>ommunication units.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Assessment processes and techniques must be culturally appropriate and appropriate to the oracy, language and literacy capacity of the assessee and the work being performed.</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11" w:name="O_106153"/>
      <w:bookmarkEnd w:id="11"/>
      <w:r w:rsidRPr="00706B56">
        <w:t xml:space="preserve">Range </w:t>
      </w:r>
      <w:r w:rsidRPr="00706B56">
        <w:t>Statement</w:t>
      </w:r>
    </w:p>
    <w:tbl>
      <w:tblPr>
        <w:tblW w:w="0" w:type="auto"/>
        <w:tblCellMar>
          <w:left w:w="62" w:type="dxa"/>
          <w:right w:w="62" w:type="dxa"/>
        </w:tblCellMar>
        <w:tblLook w:val="0000"/>
      </w:tblPr>
      <w:tblGrid>
        <w:gridCol w:w="2510"/>
        <w:gridCol w:w="6686"/>
      </w:tblGrid>
      <w:tr w:rsidTr="006E33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RANGE STATEMENT</w:t>
            </w:r>
          </w:p>
        </w:tc>
      </w:tr>
      <w:tr w:rsidTr="006E337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 xml:space="preserve">The Range Statement relates to the unit of competency as a whole. It allows for different work environments and situations that may affect </w:t>
            </w:r>
            <w:r w:rsidRPr="00706B56">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706B56">
              <w:t>the item, and local industry and regional contexts.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Codes of practice</w:t>
            </w:r>
            <w:r w:rsidRPr="00706B56">
              <w:t xml:space="preserve">/ </w:t>
            </w:r>
            <w:r w:rsidRPr="00706B5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Where reference is made to industry codes of practice, and/or Australian/international standards, the latest version must be used.</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t xml:space="preserve">This unit of competency includes </w:t>
            </w:r>
            <w:r w:rsidRPr="00706B56">
              <w:t>all items of equipment that are required for emergency response.</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Emergency response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Emergency response equipment may include:</w:t>
            </w:r>
          </w:p>
          <w:p w:rsidR="00000000" w:rsidRPr="00706B56" w:rsidP="00706B56">
            <w:pPr>
              <w:pStyle w:val="ListBullet"/>
            </w:pPr>
            <w:r w:rsidRPr="00706B56">
              <w:t>fire extinguishers</w:t>
            </w:r>
          </w:p>
          <w:p w:rsidR="00000000" w:rsidRPr="00706B56" w:rsidP="00706B56">
            <w:pPr>
              <w:pStyle w:val="ListBullet"/>
            </w:pPr>
            <w:r w:rsidRPr="00706B56">
              <w:t>fire hoses</w:t>
            </w:r>
          </w:p>
          <w:p w:rsidR="00000000" w:rsidRPr="00706B56" w:rsidP="00706B56">
            <w:pPr>
              <w:pStyle w:val="ListBullet"/>
            </w:pPr>
            <w:r w:rsidRPr="00706B56">
              <w:t>fire blankets</w:t>
            </w:r>
          </w:p>
          <w:p w:rsidR="00000000" w:rsidRPr="00706B56" w:rsidP="00706B56">
            <w:pPr>
              <w:pStyle w:val="ListBullet"/>
            </w:pPr>
            <w:r w:rsidRPr="00706B56">
              <w:t>pumps</w:t>
            </w:r>
          </w:p>
          <w:p w:rsidR="00000000" w:rsidRPr="00706B56" w:rsidP="00706B56">
            <w:pPr>
              <w:pStyle w:val="ListBullet"/>
            </w:pPr>
            <w:r w:rsidRPr="00706B56">
              <w:t>branches, fittings and nozzles</w:t>
            </w:r>
          </w:p>
          <w:p w:rsidR="00000000" w:rsidRPr="00706B56" w:rsidP="00706B56">
            <w:pPr>
              <w:pStyle w:val="ListBullet"/>
            </w:pPr>
            <w:r w:rsidRPr="00706B56">
              <w:t>foam equipment/units</w:t>
            </w:r>
          </w:p>
          <w:p w:rsidR="00000000" w:rsidRPr="00706B56" w:rsidP="00706B56">
            <w:pPr>
              <w:pStyle w:val="ListBullet"/>
            </w:pPr>
            <w:r w:rsidRPr="00706B56">
              <w:t>personal protective clothing</w:t>
            </w:r>
          </w:p>
          <w:p w:rsidR="00000000" w:rsidRPr="00706B56" w:rsidP="00706B56">
            <w:pPr>
              <w:pStyle w:val="ListBullet"/>
            </w:pPr>
            <w:r w:rsidRPr="00706B56">
              <w:t>breathing apparatus</w:t>
            </w:r>
          </w:p>
          <w:p w:rsidR="00000000" w:rsidP="00706B56">
            <w:pPr>
              <w:pStyle w:val="ListBullet"/>
              <w:rPr>
                <w:lang w:val="en-NZ"/>
              </w:rPr>
            </w:pPr>
            <w:r w:rsidRPr="00706B56">
              <w:t>deluge/safety showers.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Functions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Required functions include:</w:t>
            </w:r>
          </w:p>
          <w:p w:rsidR="00000000" w:rsidRPr="00706B56" w:rsidP="00706B56">
            <w:pPr>
              <w:pStyle w:val="ListBullet"/>
            </w:pPr>
            <w:r w:rsidRPr="00706B56">
              <w:t>inspections</w:t>
            </w:r>
          </w:p>
          <w:p w:rsidR="00000000" w:rsidRPr="00706B56" w:rsidP="00706B56">
            <w:pPr>
              <w:pStyle w:val="ListBullet"/>
            </w:pPr>
            <w:r w:rsidRPr="00706B56">
              <w:t>visual</w:t>
            </w:r>
          </w:p>
          <w:p w:rsidR="00000000" w:rsidRPr="00706B56" w:rsidP="00706B56">
            <w:pPr>
              <w:pStyle w:val="ListBullet"/>
            </w:pPr>
            <w:r w:rsidRPr="00706B56">
              <w:t>mechanical</w:t>
            </w:r>
          </w:p>
          <w:p w:rsidR="00000000" w:rsidRPr="00706B56" w:rsidP="00706B56">
            <w:pPr>
              <w:pStyle w:val="ListBullet"/>
            </w:pPr>
            <w:r w:rsidRPr="00706B56">
              <w:t>servicing</w:t>
            </w:r>
          </w:p>
          <w:p w:rsidR="00000000" w:rsidRPr="00706B56" w:rsidP="00706B56">
            <w:pPr>
              <w:pStyle w:val="ListBullet"/>
            </w:pPr>
            <w:r w:rsidRPr="00706B56">
              <w:t>lubrication</w:t>
            </w:r>
          </w:p>
          <w:p w:rsidR="00000000" w:rsidRPr="00706B56" w:rsidP="00706B56">
            <w:pPr>
              <w:pStyle w:val="ListBullet"/>
            </w:pPr>
            <w:r w:rsidRPr="00706B56">
              <w:t>pressure checks</w:t>
            </w:r>
          </w:p>
          <w:p w:rsidR="00000000" w:rsidRPr="00706B56" w:rsidP="00706B56">
            <w:pPr>
              <w:pStyle w:val="ListBullet"/>
            </w:pPr>
            <w:r w:rsidRPr="00706B56">
              <w:t>refilling</w:t>
            </w:r>
          </w:p>
          <w:p w:rsidR="00000000" w:rsidRPr="00706B56" w:rsidP="00706B56">
            <w:pPr>
              <w:pStyle w:val="ListBullet"/>
            </w:pPr>
            <w:r w:rsidRPr="00706B56">
              <w:t>communication</w:t>
            </w:r>
          </w:p>
          <w:p w:rsidR="00000000" w:rsidRPr="00706B56" w:rsidP="00706B56">
            <w:pPr>
              <w:pStyle w:val="ListBullet"/>
            </w:pPr>
            <w:r w:rsidRPr="00706B56">
              <w:t>maintenance</w:t>
            </w:r>
          </w:p>
          <w:p w:rsidR="00000000" w:rsidP="00706B56">
            <w:pPr>
              <w:pStyle w:val="ListBullet"/>
              <w:rPr>
                <w:lang w:val="en-NZ"/>
              </w:rPr>
            </w:pPr>
            <w:r w:rsidRPr="00706B56">
              <w:t>external authorities.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Hazards may include:</w:t>
            </w:r>
          </w:p>
          <w:p w:rsidR="00000000" w:rsidRPr="00706B56" w:rsidP="00706B56">
            <w:pPr>
              <w:pStyle w:val="ListBullet"/>
            </w:pPr>
            <w:r w:rsidRPr="00706B56">
              <w:t xml:space="preserve">chemicals and hazardous materials </w:t>
            </w:r>
          </w:p>
          <w:p w:rsidR="00000000" w:rsidRPr="00706B56" w:rsidP="00706B56">
            <w:pPr>
              <w:pStyle w:val="ListBullet"/>
            </w:pPr>
            <w:r w:rsidRPr="00706B56">
              <w:t>gases and liquids under pressure</w:t>
            </w:r>
          </w:p>
          <w:p w:rsidR="00000000" w:rsidRPr="00706B56" w:rsidP="00706B56">
            <w:pPr>
              <w:pStyle w:val="ListBullet"/>
            </w:pPr>
            <w:r w:rsidRPr="00706B56">
              <w:t>moving machinery</w:t>
            </w:r>
          </w:p>
          <w:p w:rsidR="00000000" w:rsidRPr="00706B56" w:rsidP="00706B56">
            <w:pPr>
              <w:pStyle w:val="ListBullet"/>
            </w:pPr>
            <w:r w:rsidRPr="00706B56">
              <w:t xml:space="preserve">materials handling </w:t>
            </w:r>
          </w:p>
          <w:p w:rsidR="00000000" w:rsidRPr="00706B56" w:rsidP="00706B56">
            <w:pPr>
              <w:pStyle w:val="ListBullet"/>
            </w:pPr>
            <w:r w:rsidRPr="00706B56">
              <w:t xml:space="preserve">working at heights, in restricted or confined spaces, or </w:t>
            </w:r>
          </w:p>
          <w:p w:rsidR="00000000" w:rsidP="00706B56">
            <w:pPr>
              <w:pStyle w:val="ListBullet"/>
              <w:rPr>
                <w:lang w:val="en-NZ"/>
              </w:rPr>
            </w:pPr>
            <w:r w:rsidRPr="00706B56">
              <w:t>environments subjected to heat, noise, dusts or vapours.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Emergency situations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Emergency situations may include:</w:t>
            </w:r>
          </w:p>
          <w:p w:rsidR="00000000" w:rsidRPr="00706B56" w:rsidP="00706B56">
            <w:pPr>
              <w:pStyle w:val="ListBullet"/>
            </w:pPr>
            <w:r w:rsidRPr="00706B56">
              <w:t>accidents</w:t>
            </w:r>
          </w:p>
          <w:p w:rsidR="00000000" w:rsidRPr="00706B56" w:rsidP="00706B56">
            <w:pPr>
              <w:pStyle w:val="ListBullet"/>
            </w:pPr>
            <w:r w:rsidRPr="00706B56">
              <w:t>fires</w:t>
            </w:r>
          </w:p>
          <w:p w:rsidR="00000000" w:rsidRPr="00706B56" w:rsidP="00706B56">
            <w:pPr>
              <w:pStyle w:val="ListBullet"/>
            </w:pPr>
            <w:r w:rsidRPr="00706B56">
              <w:t>chemical or oil spills</w:t>
            </w:r>
          </w:p>
          <w:p w:rsidR="00000000" w:rsidRPr="00706B56" w:rsidP="00706B56">
            <w:pPr>
              <w:pStyle w:val="ListBullet"/>
            </w:pPr>
            <w:r w:rsidRPr="00706B56">
              <w:t>gas leak or vapour emission</w:t>
            </w:r>
          </w:p>
          <w:p w:rsidR="00000000" w:rsidRPr="00706B56" w:rsidP="00706B56">
            <w:pPr>
              <w:pStyle w:val="ListBullet"/>
            </w:pPr>
            <w:r w:rsidRPr="00706B56">
              <w:t>utilities failure</w:t>
            </w:r>
          </w:p>
          <w:p w:rsidR="00000000" w:rsidP="00706B56">
            <w:pPr>
              <w:pStyle w:val="ListBullet"/>
              <w:rPr>
                <w:lang w:val="en-NZ"/>
              </w:rPr>
            </w:pPr>
            <w:r w:rsidRPr="00706B56">
              <w:t>bomb scares.</w:t>
            </w:r>
          </w:p>
        </w:tc>
      </w:tr>
      <w:tr w:rsidTr="006E3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Health</w:t>
            </w:r>
            <w:r w:rsidRPr="00706B56">
              <w:t xml:space="preserve">, </w:t>
            </w:r>
            <w:r w:rsidRPr="00706B56">
              <w:rPr>
                <w:rStyle w:val="SpecialBold"/>
              </w:rPr>
              <w:t>safety and environment</w:t>
            </w:r>
            <w:r w:rsidRPr="00706B56">
              <w:t xml:space="preserve"> (</w:t>
            </w:r>
            <w:r w:rsidRPr="00706B56">
              <w:rPr>
                <w:rStyle w:val="SpecialBold"/>
              </w:rPr>
              <w:t>HSE</w:t>
            </w:r>
            <w:r w:rsidRPr="00706B5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All operations to which this unit applies are subject to stringe</w:t>
            </w:r>
            <w:r w:rsidRPr="00706B56">
              <w:t>nt health, safety and environment requirements, which may be imposed through State or Federal legislation, and these must not be compromised at any time.  Where there is an apparent conflict between Performance Criteria and HSE requirements, the HSE requir</w:t>
            </w:r>
            <w:r w:rsidRPr="00706B56">
              <w:t>ements take precedence.</w:t>
            </w:r>
          </w:p>
        </w:tc>
      </w:tr>
    </w:tbl>
    <w:p w:rsidR="006E337B" w:rsidP="00706B56">
      <w:pPr>
        <w:pStyle w:val="BodyText"/>
      </w:pPr>
    </w:p>
    <w:p w:rsidR="006E337B" w:rsidP="00706B56">
      <w:pPr>
        <w:pStyle w:val="BodyText"/>
      </w:pPr>
    </w:p>
    <w:p w:rsidR="00000000" w:rsidRPr="00706B56" w:rsidP="00706B56">
      <w:pPr>
        <w:pStyle w:val="Heading1"/>
      </w:pPr>
      <w:bookmarkStart w:id="12" w:name="O_106154"/>
      <w:bookmarkEnd w:id="12"/>
      <w:r w:rsidRPr="00706B56">
        <w:t>Unit Sector(s)</w:t>
      </w:r>
    </w:p>
    <w:tbl>
      <w:tblPr>
        <w:tblW w:w="0" w:type="auto"/>
        <w:tblCellMar>
          <w:left w:w="62" w:type="dxa"/>
          <w:right w:w="62" w:type="dxa"/>
        </w:tblCellMar>
        <w:tblLook w:val="0000"/>
      </w:tblPr>
      <w:tblGrid>
        <w:gridCol w:w="2479"/>
        <w:gridCol w:w="6717"/>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r w:rsidRPr="00706B56">
              <w:t>HSE</w:t>
            </w: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13" w:name="O_159813"/>
      <w:bookmarkEnd w:id="13"/>
      <w:r w:rsidRPr="00706B56">
        <w:t>Competency field</w:t>
      </w:r>
    </w:p>
    <w:tbl>
      <w:tblPr>
        <w:tblW w:w="0" w:type="auto"/>
        <w:tblCellMar>
          <w:left w:w="62" w:type="dxa"/>
          <w:right w:w="62" w:type="dxa"/>
        </w:tblCellMar>
        <w:tblLook w:val="0000"/>
      </w:tblPr>
      <w:tblGrid>
        <w:gridCol w:w="2479"/>
        <w:gridCol w:w="6717"/>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p>
        </w:tc>
      </w:tr>
    </w:tbl>
    <w:p w:rsidR="00000000" w:rsidRPr="00706B56" w:rsidP="00706B56">
      <w:pPr>
        <w:pStyle w:val="BodyText"/>
      </w:pPr>
    </w:p>
    <w:p w:rsidR="00000000" w:rsidRPr="00706B56" w:rsidP="00706B56">
      <w:pPr>
        <w:pStyle w:val="AllowPageBreak"/>
      </w:pPr>
    </w:p>
    <w:p w:rsidR="00000000" w:rsidRPr="00706B56" w:rsidP="00706B56">
      <w:pPr>
        <w:pStyle w:val="Heading1"/>
      </w:pPr>
      <w:bookmarkStart w:id="14" w:name="O_159812"/>
      <w:bookmarkEnd w:id="14"/>
      <w:r w:rsidRPr="00706B56">
        <w:t>Co-requisite units</w:t>
      </w:r>
    </w:p>
    <w:tbl>
      <w:tblPr>
        <w:tblW w:w="0" w:type="auto"/>
        <w:tblCellMar>
          <w:left w:w="62" w:type="dxa"/>
          <w:right w:w="62" w:type="dxa"/>
        </w:tblCellMar>
        <w:tblLook w:val="0000"/>
      </w:tblPr>
      <w:tblGrid>
        <w:gridCol w:w="2479"/>
        <w:gridCol w:w="1635"/>
        <w:gridCol w:w="5082"/>
      </w:tblGrid>
      <w:tr w:rsidTr="006E33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B56">
            <w:pPr>
              <w:pStyle w:val="BodyText"/>
              <w:rPr>
                <w:lang w:val="en-NZ"/>
              </w:rPr>
            </w:pPr>
            <w:r w:rsidRPr="00706B5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B56" w:rsidP="00706B56">
            <w:pPr>
              <w:pStyle w:val="BodyText"/>
            </w:pPr>
          </w:p>
        </w:tc>
      </w:tr>
    </w:tbl>
    <w:p w:rsidR="00000000" w:rsidRPr="00706B56" w:rsidP="00706B56">
      <w:pPr>
        <w:pStyle w:val="BodyText"/>
      </w:pPr>
    </w:p>
    <w:p w:rsidR="00000000" w:rsidRPr="00706B56" w:rsidP="00706B56"/>
    <w:sectPr w:rsidSect="00706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37B" w:rsidP="006E3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37B" w:rsidP="00706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337B" w:rsidP="00706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337B" w:rsidP="00706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37B" w:rsidP="006E33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37B" w:rsidP="00706B56">
    <w:pPr>
      <w:pStyle w:val="Header"/>
      <w:framePr w:wrap="around"/>
    </w:pPr>
    <w:r>
      <w:fldChar w:fldCharType="begin"/>
    </w:r>
    <w:r>
      <w:instrText xml:space="preserve"> TITLE   \* MERGEFORMAT </w:instrText>
    </w:r>
    <w:r>
      <w:fldChar w:fldCharType="separate"/>
    </w:r>
    <w:r>
      <w:t>PMAOHS211B Prepare equipment for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37B" w:rsidP="00706B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30D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C0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B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6B56"/>
    <w:pPr>
      <w:spacing w:before="360" w:after="60"/>
      <w:outlineLvl w:val="0"/>
    </w:pPr>
    <w:rPr>
      <w:sz w:val="32"/>
    </w:rPr>
  </w:style>
  <w:style w:type="paragraph" w:styleId="Heading2">
    <w:name w:val="heading 2"/>
    <w:basedOn w:val="HeadingBase"/>
    <w:next w:val="BodyText"/>
    <w:link w:val="Heading2Char"/>
    <w:qFormat/>
    <w:rsid w:val="00706B56"/>
    <w:pPr>
      <w:keepLines/>
      <w:spacing w:before="240" w:after="120"/>
      <w:outlineLvl w:val="1"/>
    </w:pPr>
    <w:rPr>
      <w:sz w:val="28"/>
      <w:szCs w:val="40"/>
    </w:rPr>
  </w:style>
  <w:style w:type="paragraph" w:styleId="Heading3">
    <w:name w:val="heading 3"/>
    <w:basedOn w:val="HeadingBase"/>
    <w:next w:val="BodyText"/>
    <w:link w:val="Heading3Char"/>
    <w:qFormat/>
    <w:rsid w:val="00706B56"/>
    <w:pPr>
      <w:spacing w:before="180" w:after="120"/>
      <w:outlineLvl w:val="2"/>
    </w:pPr>
    <w:rPr>
      <w:spacing w:val="-10"/>
      <w:kern w:val="32"/>
    </w:rPr>
  </w:style>
  <w:style w:type="paragraph" w:styleId="Heading4">
    <w:name w:val="heading 4"/>
    <w:basedOn w:val="HeadingBase"/>
    <w:next w:val="BodyText"/>
    <w:link w:val="Heading4Char"/>
    <w:qFormat/>
    <w:rsid w:val="00706B56"/>
    <w:pPr>
      <w:spacing w:before="160" w:after="120"/>
      <w:outlineLvl w:val="3"/>
    </w:pPr>
    <w:rPr>
      <w:sz w:val="22"/>
    </w:rPr>
  </w:style>
  <w:style w:type="paragraph" w:styleId="Heading5">
    <w:name w:val="heading 5"/>
    <w:basedOn w:val="HeadingBase"/>
    <w:next w:val="Normal"/>
    <w:link w:val="Heading5Char"/>
    <w:qFormat/>
    <w:rsid w:val="00706B56"/>
    <w:pPr>
      <w:spacing w:before="80"/>
      <w:outlineLvl w:val="4"/>
    </w:pPr>
    <w:rPr>
      <w:color w:val="918585"/>
      <w:sz w:val="20"/>
    </w:rPr>
  </w:style>
  <w:style w:type="paragraph" w:styleId="Heading6">
    <w:name w:val="heading 6"/>
    <w:basedOn w:val="HeadingBase"/>
    <w:next w:val="Normal"/>
    <w:link w:val="Heading6Char"/>
    <w:qFormat/>
    <w:rsid w:val="00706B56"/>
    <w:pPr>
      <w:spacing w:before="60"/>
      <w:outlineLvl w:val="5"/>
    </w:pPr>
    <w:rPr>
      <w:color w:val="918585"/>
      <w:sz w:val="20"/>
    </w:rPr>
  </w:style>
  <w:style w:type="paragraph" w:styleId="Heading7">
    <w:name w:val="heading 7"/>
    <w:basedOn w:val="Normal"/>
    <w:next w:val="Normal"/>
    <w:link w:val="Heading7Char"/>
    <w:qFormat/>
    <w:rsid w:val="00706B56"/>
    <w:pPr>
      <w:ind w:left="720"/>
      <w:outlineLvl w:val="6"/>
    </w:pPr>
    <w:rPr>
      <w:i/>
    </w:rPr>
  </w:style>
  <w:style w:type="paragraph" w:styleId="Heading8">
    <w:name w:val="heading 8"/>
    <w:basedOn w:val="Normal"/>
    <w:next w:val="Normal"/>
    <w:link w:val="Heading8Char"/>
    <w:qFormat/>
    <w:rsid w:val="00706B56"/>
    <w:pPr>
      <w:ind w:left="720"/>
      <w:outlineLvl w:val="7"/>
    </w:pPr>
    <w:rPr>
      <w:i/>
    </w:rPr>
  </w:style>
  <w:style w:type="paragraph" w:styleId="Heading9">
    <w:name w:val="heading 9"/>
    <w:basedOn w:val="Normal"/>
    <w:next w:val="Normal"/>
    <w:link w:val="Heading9Char"/>
    <w:qFormat/>
    <w:rsid w:val="00706B56"/>
    <w:pPr>
      <w:ind w:left="720"/>
      <w:outlineLvl w:val="8"/>
    </w:pPr>
    <w:rPr>
      <w:i/>
    </w:rPr>
  </w:style>
  <w:style w:type="character" w:default="1" w:styleId="DefaultParagraphFont">
    <w:name w:val="Default Paragraph Font"/>
    <w:uiPriority w:val="1"/>
    <w:unhideWhenUsed/>
    <w:rsid w:val="00706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B56"/>
  </w:style>
  <w:style w:type="character" w:customStyle="1" w:styleId="Heading1Char">
    <w:name w:val="Heading 1 Char"/>
    <w:basedOn w:val="DefaultParagraphFont"/>
    <w:link w:val="Heading1"/>
    <w:rsid w:val="00706B56"/>
    <w:rPr>
      <w:rFonts w:ascii="Times New Roman" w:eastAsia="Times New Roman" w:hAnsi="Times New Roman" w:cs="Times New Roman"/>
      <w:b/>
      <w:sz w:val="32"/>
      <w:szCs w:val="20"/>
      <w:lang w:eastAsia="en-US"/>
    </w:rPr>
  </w:style>
  <w:style w:type="paragraph" w:styleId="BodyText">
    <w:name w:val="Body Text"/>
    <w:basedOn w:val="Normal"/>
    <w:link w:val="BodyTextChar"/>
    <w:rsid w:val="00706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B56"/>
    <w:rPr>
      <w:rFonts w:ascii="Times New Roman" w:eastAsia="Times New Roman" w:hAnsi="Times New Roman" w:cs="Times New Roman"/>
      <w:sz w:val="24"/>
      <w:lang w:val="en-US" w:eastAsia="en-US"/>
    </w:rPr>
  </w:style>
  <w:style w:type="paragraph" w:styleId="Footer">
    <w:name w:val="footer"/>
    <w:basedOn w:val="Normal"/>
    <w:link w:val="FooterChar"/>
    <w:rsid w:val="00706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B56"/>
    <w:rPr>
      <w:rFonts w:ascii="Times New Roman" w:eastAsia="Times New Roman" w:hAnsi="Times New Roman" w:cs="Times New Roman"/>
      <w:sz w:val="16"/>
      <w:lang w:val="en-US" w:eastAsia="en-US"/>
    </w:rPr>
  </w:style>
  <w:style w:type="paragraph" w:styleId="List">
    <w:name w:val="List"/>
    <w:basedOn w:val="BodyText"/>
    <w:next w:val="BodyText"/>
    <w:rsid w:val="00706B56"/>
    <w:pPr>
      <w:tabs>
        <w:tab w:val="left" w:pos="340"/>
      </w:tabs>
      <w:spacing w:before="60" w:after="60"/>
      <w:ind w:left="340" w:hanging="340"/>
    </w:pPr>
  </w:style>
  <w:style w:type="paragraph" w:styleId="ListBullet">
    <w:name w:val="List Bullet"/>
    <w:basedOn w:val="List"/>
    <w:rsid w:val="00706B56"/>
    <w:pPr>
      <w:numPr>
        <w:numId w:val="12"/>
      </w:numPr>
      <w:tabs>
        <w:tab w:val="clear" w:pos="340"/>
      </w:tabs>
      <w:spacing w:before="40" w:after="40"/>
    </w:pPr>
  </w:style>
  <w:style w:type="character" w:customStyle="1" w:styleId="SpecialBold">
    <w:name w:val="Special Bold"/>
    <w:basedOn w:val="DefaultParagraphFont"/>
    <w:rsid w:val="00706B56"/>
    <w:rPr>
      <w:b/>
      <w:spacing w:val="0"/>
    </w:rPr>
  </w:style>
  <w:style w:type="paragraph" w:styleId="Header">
    <w:name w:val="header"/>
    <w:basedOn w:val="Normal"/>
    <w:link w:val="HeaderChar"/>
    <w:rsid w:val="00706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B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6B56"/>
    <w:pPr>
      <w:spacing w:before="240" w:after="120"/>
      <w:outlineLvl w:val="0"/>
    </w:pPr>
    <w:rPr>
      <w:rFonts w:ascii="Times New Roman" w:hAnsi="Times New Roman"/>
      <w:b/>
      <w:sz w:val="28"/>
    </w:rPr>
  </w:style>
  <w:style w:type="paragraph" w:customStyle="1" w:styleId="AllowPageBreak">
    <w:name w:val="AllowPageBreak"/>
    <w:rsid w:val="00706B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6B56"/>
    <w:pPr>
      <w:tabs>
        <w:tab w:val="left" w:pos="680"/>
      </w:tabs>
      <w:spacing w:before="60" w:after="60"/>
      <w:ind w:left="680" w:hanging="340"/>
    </w:pPr>
  </w:style>
  <w:style w:type="character" w:customStyle="1" w:styleId="Underline">
    <w:name w:val="Underline"/>
    <w:basedOn w:val="DefaultParagraphFont"/>
    <w:qFormat/>
    <w:rsid w:val="00706B56"/>
    <w:rPr>
      <w:u w:val="single"/>
    </w:rPr>
  </w:style>
  <w:style w:type="character" w:customStyle="1" w:styleId="Heading2Char">
    <w:name w:val="Heading 2 Char"/>
    <w:basedOn w:val="DefaultParagraphFont"/>
    <w:link w:val="Heading2"/>
    <w:rsid w:val="00706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B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6B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6B56"/>
    <w:rPr>
      <w:rFonts w:ascii="Courier New" w:eastAsia="Times New Roman" w:hAnsi="Courier New" w:cs="Times New Roman"/>
      <w:i/>
      <w:szCs w:val="20"/>
      <w:lang w:val="en-US" w:eastAsia="en-US"/>
    </w:rPr>
  </w:style>
  <w:style w:type="paragraph" w:customStyle="1" w:styleId="HeadingBase">
    <w:name w:val="Heading Base"/>
    <w:rsid w:val="00706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B56"/>
    <w:pPr>
      <w:tabs>
        <w:tab w:val="right" w:leader="dot" w:pos="9072"/>
      </w:tabs>
      <w:ind w:left="567"/>
    </w:pPr>
    <w:rPr>
      <w:szCs w:val="22"/>
    </w:rPr>
  </w:style>
  <w:style w:type="paragraph" w:customStyle="1" w:styleId="TOCBase">
    <w:name w:val="TOC Base"/>
    <w:rsid w:val="00706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B56"/>
    <w:pPr>
      <w:tabs>
        <w:tab w:val="right" w:leader="dot" w:pos="9072"/>
      </w:tabs>
      <w:spacing w:before="40" w:after="40"/>
      <w:ind w:left="284"/>
    </w:pPr>
    <w:rPr>
      <w:rFonts w:ascii="Times New Roman" w:hAnsi="Times New Roman"/>
    </w:rPr>
  </w:style>
  <w:style w:type="paragraph" w:styleId="TOC1">
    <w:name w:val="toc 1"/>
    <w:basedOn w:val="TOCBase"/>
    <w:next w:val="Normal"/>
    <w:rsid w:val="00706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B56"/>
    <w:pPr>
      <w:spacing w:before="5040"/>
      <w:jc w:val="center"/>
    </w:pPr>
    <w:rPr>
      <w:sz w:val="48"/>
      <w:szCs w:val="72"/>
      <w:lang w:val="en-US"/>
    </w:rPr>
  </w:style>
  <w:style w:type="character" w:customStyle="1" w:styleId="TitleChar">
    <w:name w:val="Title Char"/>
    <w:basedOn w:val="DefaultParagraphFont"/>
    <w:link w:val="Title"/>
    <w:rsid w:val="00706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B56"/>
    <w:pPr>
      <w:tabs>
        <w:tab w:val="left" w:pos="3600"/>
        <w:tab w:val="left" w:pos="3958"/>
      </w:tabs>
    </w:pPr>
  </w:style>
  <w:style w:type="paragraph" w:customStyle="1" w:styleId="Note">
    <w:name w:val="Note"/>
    <w:basedOn w:val="BodyText"/>
    <w:rsid w:val="00706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B56"/>
    <w:pPr>
      <w:framePr w:wrap="auto" w:hAnchor="text" w:y="6049"/>
    </w:pPr>
    <w:rPr>
      <w:color w:val="000000"/>
      <w:sz w:val="40"/>
    </w:rPr>
  </w:style>
  <w:style w:type="paragraph" w:customStyle="1" w:styleId="TOCTitle">
    <w:name w:val="TOCTitle"/>
    <w:basedOn w:val="Heading1"/>
    <w:rsid w:val="00706B56"/>
    <w:pPr>
      <w:spacing w:after="240"/>
      <w:jc w:val="center"/>
      <w:outlineLvl w:val="9"/>
    </w:pPr>
    <w:rPr>
      <w:caps/>
    </w:rPr>
  </w:style>
  <w:style w:type="paragraph" w:customStyle="1" w:styleId="Version">
    <w:name w:val="Version"/>
    <w:rsid w:val="00706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B56"/>
    <w:pPr>
      <w:numPr>
        <w:numId w:val="13"/>
      </w:numPr>
      <w:tabs>
        <w:tab w:val="clear" w:pos="680"/>
      </w:tabs>
    </w:pPr>
  </w:style>
  <w:style w:type="paragraph" w:styleId="Index1">
    <w:name w:val="index 1"/>
    <w:basedOn w:val="Normal"/>
    <w:next w:val="Normal"/>
    <w:semiHidden/>
    <w:rsid w:val="00706B56"/>
    <w:pPr>
      <w:keepNext w:val="0"/>
      <w:tabs>
        <w:tab w:val="right" w:pos="4176"/>
      </w:tabs>
      <w:ind w:left="198" w:hanging="198"/>
    </w:pPr>
    <w:rPr>
      <w:rFonts w:ascii="Garamond" w:hAnsi="Garamond"/>
    </w:rPr>
  </w:style>
  <w:style w:type="paragraph" w:styleId="IndexHeading">
    <w:name w:val="index heading"/>
    <w:basedOn w:val="Normal"/>
    <w:next w:val="Index1"/>
    <w:semiHidden/>
    <w:rsid w:val="00706B56"/>
    <w:pPr>
      <w:spacing w:before="120" w:after="120"/>
    </w:pPr>
    <w:rPr>
      <w:rFonts w:ascii="Arial" w:hAnsi="Arial"/>
      <w:b/>
      <w:color w:val="918585"/>
      <w:sz w:val="24"/>
    </w:rPr>
  </w:style>
  <w:style w:type="paragraph" w:customStyle="1" w:styleId="Chapter">
    <w:name w:val="Chapter"/>
    <w:basedOn w:val="Normal"/>
    <w:rsid w:val="00706B56"/>
    <w:pPr>
      <w:spacing w:before="240"/>
    </w:pPr>
    <w:rPr>
      <w:rFonts w:ascii="Times New Roman" w:hAnsi="Times New Roman"/>
      <w:smallCaps/>
      <w:spacing w:val="80"/>
      <w:sz w:val="28"/>
    </w:rPr>
  </w:style>
  <w:style w:type="paragraph" w:customStyle="1" w:styleId="InChapter">
    <w:name w:val="InChapter"/>
    <w:basedOn w:val="Heading3"/>
    <w:rsid w:val="00706B56"/>
    <w:pPr>
      <w:spacing w:after="240"/>
      <w:outlineLvl w:val="9"/>
    </w:pPr>
    <w:rPr>
      <w:noProof/>
    </w:rPr>
  </w:style>
  <w:style w:type="paragraph" w:styleId="Index2">
    <w:name w:val="index 2"/>
    <w:basedOn w:val="Normal"/>
    <w:next w:val="Normal"/>
    <w:semiHidden/>
    <w:rsid w:val="00706B56"/>
    <w:pPr>
      <w:tabs>
        <w:tab w:val="right" w:pos="4176"/>
      </w:tabs>
      <w:ind w:left="568" w:hanging="284"/>
    </w:pPr>
    <w:rPr>
      <w:rFonts w:ascii="Garamond" w:hAnsi="Garamond"/>
    </w:rPr>
  </w:style>
  <w:style w:type="paragraph" w:customStyle="1" w:styleId="Byline">
    <w:name w:val="Byline"/>
    <w:rsid w:val="00706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B56"/>
    <w:pPr>
      <w:tabs>
        <w:tab w:val="clear" w:pos="3600"/>
        <w:tab w:val="clear" w:pos="3958"/>
      </w:tabs>
      <w:jc w:val="right"/>
    </w:pPr>
  </w:style>
  <w:style w:type="character" w:styleId="Emphasis">
    <w:name w:val="Emphasis"/>
    <w:basedOn w:val="DefaultParagraphFont"/>
    <w:qFormat/>
    <w:rsid w:val="00706B56"/>
    <w:rPr>
      <w:i/>
    </w:rPr>
  </w:style>
  <w:style w:type="paragraph" w:styleId="Caption">
    <w:name w:val="caption"/>
    <w:basedOn w:val="BodyText"/>
    <w:next w:val="Normal"/>
    <w:qFormat/>
    <w:rsid w:val="00706B56"/>
    <w:pPr>
      <w:framePr w:w="2268" w:hSpace="181" w:vSpace="181" w:wrap="around" w:vAnchor="text" w:hAnchor="page" w:x="1135" w:y="285" w:anchorLock="1"/>
    </w:pPr>
    <w:rPr>
      <w:i/>
    </w:rPr>
  </w:style>
  <w:style w:type="paragraph" w:customStyle="1" w:styleId="MiniTOCTitle">
    <w:name w:val="MiniTOCTitle"/>
    <w:basedOn w:val="Heading4"/>
    <w:rsid w:val="00706B56"/>
    <w:pPr>
      <w:spacing w:before="240"/>
      <w:outlineLvl w:val="9"/>
    </w:pPr>
    <w:rPr>
      <w:noProof/>
      <w:sz w:val="24"/>
    </w:rPr>
  </w:style>
  <w:style w:type="paragraph" w:customStyle="1" w:styleId="MiniTOCItem">
    <w:name w:val="MiniTOCItem"/>
    <w:basedOn w:val="ListBullet"/>
    <w:rsid w:val="00706B56"/>
    <w:pPr>
      <w:numPr>
        <w:numId w:val="0"/>
      </w:numPr>
      <w:tabs>
        <w:tab w:val="right" w:leader="dot" w:pos="6521"/>
      </w:tabs>
      <w:spacing w:before="0" w:after="0"/>
    </w:pPr>
  </w:style>
  <w:style w:type="paragraph" w:customStyle="1" w:styleId="TOFTitle">
    <w:name w:val="TOFTitle"/>
    <w:basedOn w:val="TOCTitle"/>
    <w:rsid w:val="00706B56"/>
  </w:style>
  <w:style w:type="paragraph" w:styleId="TableofFigures">
    <w:name w:val="table of figures"/>
    <w:basedOn w:val="Normal"/>
    <w:next w:val="Normal"/>
    <w:semiHidden/>
    <w:rsid w:val="00706B56"/>
    <w:pPr>
      <w:tabs>
        <w:tab w:val="right" w:leader="dot" w:pos="9072"/>
      </w:tabs>
      <w:ind w:left="970" w:hanging="403"/>
    </w:pPr>
    <w:rPr>
      <w:rFonts w:ascii="Times New Roman" w:hAnsi="Times New Roman"/>
      <w:b/>
    </w:rPr>
  </w:style>
  <w:style w:type="paragraph" w:styleId="ListNumber">
    <w:name w:val="List Number"/>
    <w:basedOn w:val="List"/>
    <w:rsid w:val="00706B56"/>
    <w:pPr>
      <w:numPr>
        <w:numId w:val="10"/>
      </w:numPr>
    </w:pPr>
  </w:style>
  <w:style w:type="character" w:customStyle="1" w:styleId="WingdingSymbols">
    <w:name w:val="Wingding Symbols"/>
    <w:rsid w:val="00706B56"/>
    <w:rPr>
      <w:rFonts w:ascii="Wingdings" w:hAnsi="Wingdings"/>
    </w:rPr>
  </w:style>
  <w:style w:type="paragraph" w:customStyle="1" w:styleId="TableHeading">
    <w:name w:val="Table Heading"/>
    <w:basedOn w:val="HeadingBase"/>
    <w:rsid w:val="00706B56"/>
    <w:pPr>
      <w:keepLines/>
      <w:pBdr>
        <w:bottom w:val="single" w:sz="6" w:space="1" w:color="918585"/>
      </w:pBdr>
      <w:spacing w:before="240"/>
    </w:pPr>
  </w:style>
  <w:style w:type="character" w:customStyle="1" w:styleId="HotSpot">
    <w:name w:val="HotSpot"/>
    <w:rsid w:val="00706B56"/>
    <w:rPr>
      <w:color w:val="0033CC"/>
      <w:u w:val="none"/>
    </w:rPr>
  </w:style>
  <w:style w:type="paragraph" w:customStyle="1" w:styleId="BodyTextRight">
    <w:name w:val="Body Text Right"/>
    <w:basedOn w:val="BodyText"/>
    <w:rsid w:val="00706B56"/>
    <w:pPr>
      <w:spacing w:before="0" w:after="0"/>
      <w:jc w:val="right"/>
    </w:pPr>
  </w:style>
  <w:style w:type="paragraph" w:styleId="Index3">
    <w:name w:val="index 3"/>
    <w:basedOn w:val="ListNumber2"/>
    <w:next w:val="Normal"/>
    <w:semiHidden/>
    <w:rsid w:val="00706B56"/>
    <w:pPr>
      <w:numPr>
        <w:numId w:val="0"/>
      </w:numPr>
      <w:tabs>
        <w:tab w:val="right" w:leader="dot" w:pos="4176"/>
      </w:tabs>
    </w:pPr>
  </w:style>
  <w:style w:type="paragraph" w:styleId="ListNumber2">
    <w:name w:val="List Number 2"/>
    <w:basedOn w:val="List2"/>
    <w:rsid w:val="00706B56"/>
    <w:pPr>
      <w:numPr>
        <w:numId w:val="9"/>
      </w:numPr>
      <w:tabs>
        <w:tab w:val="clear" w:pos="1060"/>
      </w:tabs>
    </w:pPr>
  </w:style>
  <w:style w:type="paragraph" w:customStyle="1" w:styleId="MarginNote">
    <w:name w:val="Margin Note"/>
    <w:basedOn w:val="BodyText"/>
    <w:rsid w:val="00706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B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6B56"/>
    <w:rPr>
      <w:sz w:val="32"/>
    </w:rPr>
  </w:style>
  <w:style w:type="paragraph" w:customStyle="1" w:styleId="HeadingProcedure">
    <w:name w:val="Heading Procedure"/>
    <w:basedOn w:val="HeadingBase"/>
    <w:next w:val="Normal"/>
    <w:rsid w:val="00706B56"/>
    <w:pPr>
      <w:tabs>
        <w:tab w:val="left" w:pos="0"/>
      </w:tabs>
      <w:spacing w:before="120" w:after="60"/>
    </w:pPr>
    <w:rPr>
      <w:i/>
      <w:color w:val="918585"/>
      <w:sz w:val="22"/>
    </w:rPr>
  </w:style>
  <w:style w:type="paragraph" w:customStyle="1" w:styleId="TableBodyText">
    <w:name w:val="Table Body Text"/>
    <w:basedOn w:val="BodyText"/>
    <w:rsid w:val="00706B56"/>
    <w:pPr>
      <w:spacing w:before="60" w:after="60"/>
    </w:pPr>
  </w:style>
  <w:style w:type="paragraph" w:styleId="ListContinue">
    <w:name w:val="List Continue"/>
    <w:basedOn w:val="List"/>
    <w:rsid w:val="00706B56"/>
    <w:pPr>
      <w:ind w:firstLine="0"/>
    </w:pPr>
  </w:style>
  <w:style w:type="paragraph" w:customStyle="1" w:styleId="ListNote">
    <w:name w:val="List Note"/>
    <w:basedOn w:val="List"/>
    <w:rsid w:val="00706B56"/>
    <w:pPr>
      <w:pBdr>
        <w:top w:val="single" w:sz="6" w:space="2" w:color="918585"/>
        <w:bottom w:val="single" w:sz="6" w:space="2" w:color="918585"/>
      </w:pBdr>
      <w:tabs>
        <w:tab w:val="left" w:pos="1021"/>
      </w:tabs>
      <w:ind w:firstLine="0"/>
    </w:pPr>
  </w:style>
  <w:style w:type="paragraph" w:customStyle="1" w:styleId="Warning">
    <w:name w:val="Warning"/>
    <w:basedOn w:val="BodyText"/>
    <w:rsid w:val="00706B56"/>
    <w:pPr>
      <w:shd w:val="clear" w:color="auto" w:fill="D9D9D9"/>
      <w:tabs>
        <w:tab w:val="left" w:pos="992"/>
      </w:tabs>
      <w:ind w:left="119" w:right="119"/>
    </w:pPr>
    <w:rPr>
      <w:sz w:val="20"/>
    </w:rPr>
  </w:style>
  <w:style w:type="paragraph" w:customStyle="1" w:styleId="MarginIcons">
    <w:name w:val="Margin Icons"/>
    <w:basedOn w:val="BodyText"/>
    <w:rsid w:val="00706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B56"/>
    <w:rPr>
      <w:rFonts w:ascii="Courier New" w:hAnsi="Courier New"/>
    </w:rPr>
  </w:style>
  <w:style w:type="paragraph" w:customStyle="1" w:styleId="NoteBullet">
    <w:name w:val="Note Bullet"/>
    <w:basedOn w:val="Note"/>
    <w:rsid w:val="00706B56"/>
    <w:pPr>
      <w:tabs>
        <w:tab w:val="clear" w:pos="680"/>
      </w:tabs>
      <w:spacing w:before="60" w:after="60"/>
    </w:pPr>
  </w:style>
  <w:style w:type="paragraph" w:customStyle="1" w:styleId="SubHeading2">
    <w:name w:val="SubHeading2"/>
    <w:basedOn w:val="HeadingBase"/>
    <w:rsid w:val="00706B56"/>
    <w:pPr>
      <w:spacing w:before="240" w:after="60"/>
    </w:pPr>
    <w:rPr>
      <w:sz w:val="20"/>
    </w:rPr>
  </w:style>
  <w:style w:type="paragraph" w:customStyle="1" w:styleId="SubHeading1">
    <w:name w:val="SubHeading1"/>
    <w:basedOn w:val="HeadingBase"/>
    <w:rsid w:val="00706B56"/>
    <w:pPr>
      <w:spacing w:before="240" w:after="60"/>
    </w:pPr>
    <w:rPr>
      <w:color w:val="918585"/>
      <w:sz w:val="22"/>
    </w:rPr>
  </w:style>
  <w:style w:type="paragraph" w:customStyle="1" w:styleId="SideHeading">
    <w:name w:val="Side Heading"/>
    <w:basedOn w:val="HeadingBase"/>
    <w:rsid w:val="00706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B56"/>
    <w:pPr>
      <w:tabs>
        <w:tab w:val="num" w:pos="360"/>
      </w:tabs>
    </w:pPr>
  </w:style>
  <w:style w:type="paragraph" w:styleId="PlainText">
    <w:name w:val="Plain Text"/>
    <w:basedOn w:val="Normal"/>
    <w:link w:val="PlainTextChar"/>
    <w:rsid w:val="00706B56"/>
    <w:rPr>
      <w:sz w:val="20"/>
    </w:rPr>
  </w:style>
  <w:style w:type="character" w:customStyle="1" w:styleId="PlainTextChar">
    <w:name w:val="Plain Text Char"/>
    <w:basedOn w:val="DefaultParagraphFont"/>
    <w:link w:val="PlainText"/>
    <w:rsid w:val="00706B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6B56"/>
    <w:rPr>
      <w:b/>
      <w:smallCaps/>
    </w:rPr>
  </w:style>
  <w:style w:type="paragraph" w:customStyle="1" w:styleId="TableListNumber">
    <w:name w:val="Table List Number"/>
    <w:basedOn w:val="ListNumber"/>
    <w:rsid w:val="00706B56"/>
    <w:pPr>
      <w:numPr>
        <w:numId w:val="0"/>
      </w:numPr>
    </w:pPr>
  </w:style>
  <w:style w:type="paragraph" w:styleId="TOC4">
    <w:name w:val="toc 4"/>
    <w:basedOn w:val="TOCBase"/>
    <w:next w:val="Normal"/>
    <w:semiHidden/>
    <w:rsid w:val="00706B56"/>
    <w:pPr>
      <w:tabs>
        <w:tab w:val="right" w:leader="dot" w:pos="9071"/>
      </w:tabs>
      <w:ind w:left="1701"/>
    </w:pPr>
  </w:style>
  <w:style w:type="paragraph" w:customStyle="1" w:styleId="ListAlpha">
    <w:name w:val="List Alpha"/>
    <w:basedOn w:val="List"/>
    <w:rsid w:val="00706B56"/>
    <w:pPr>
      <w:numPr>
        <w:numId w:val="8"/>
      </w:numPr>
    </w:pPr>
  </w:style>
  <w:style w:type="paragraph" w:customStyle="1" w:styleId="ListAlpha2">
    <w:name w:val="List Alpha 2"/>
    <w:basedOn w:val="List2"/>
    <w:rsid w:val="00706B56"/>
    <w:pPr>
      <w:numPr>
        <w:numId w:val="7"/>
      </w:numPr>
    </w:pPr>
  </w:style>
  <w:style w:type="paragraph" w:styleId="List3">
    <w:name w:val="List 3"/>
    <w:basedOn w:val="BodyText"/>
    <w:rsid w:val="00706B56"/>
    <w:pPr>
      <w:tabs>
        <w:tab w:val="left" w:pos="1021"/>
      </w:tabs>
      <w:spacing w:before="60" w:after="60"/>
      <w:ind w:left="1020" w:hanging="340"/>
    </w:pPr>
  </w:style>
  <w:style w:type="paragraph" w:styleId="List4">
    <w:name w:val="List 4"/>
    <w:basedOn w:val="BodyText"/>
    <w:rsid w:val="00706B56"/>
    <w:pPr>
      <w:tabs>
        <w:tab w:val="left" w:pos="1361"/>
      </w:tabs>
      <w:spacing w:before="60" w:after="60"/>
      <w:ind w:left="1361" w:hanging="340"/>
    </w:pPr>
  </w:style>
  <w:style w:type="paragraph" w:styleId="List5">
    <w:name w:val="List 5"/>
    <w:basedOn w:val="BodyText"/>
    <w:rsid w:val="00706B56"/>
    <w:pPr>
      <w:tabs>
        <w:tab w:val="left" w:pos="1701"/>
      </w:tabs>
      <w:spacing w:before="60" w:after="60"/>
      <w:ind w:left="1701" w:hanging="340"/>
    </w:pPr>
  </w:style>
  <w:style w:type="paragraph" w:styleId="ListBullet3">
    <w:name w:val="List Bullet 3"/>
    <w:basedOn w:val="List3"/>
    <w:rsid w:val="00706B56"/>
    <w:pPr>
      <w:numPr>
        <w:numId w:val="14"/>
      </w:numPr>
      <w:tabs>
        <w:tab w:val="clear" w:pos="1021"/>
      </w:tabs>
      <w:ind w:left="1037" w:hanging="357"/>
    </w:pPr>
  </w:style>
  <w:style w:type="paragraph" w:styleId="ListBullet4">
    <w:name w:val="List Bullet 4"/>
    <w:basedOn w:val="List4"/>
    <w:rsid w:val="00706B56"/>
    <w:pPr>
      <w:numPr>
        <w:numId w:val="2"/>
      </w:numPr>
    </w:pPr>
  </w:style>
  <w:style w:type="paragraph" w:styleId="ListBullet5">
    <w:name w:val="List Bullet 5"/>
    <w:basedOn w:val="List5"/>
    <w:rsid w:val="00706B56"/>
    <w:pPr>
      <w:numPr>
        <w:numId w:val="3"/>
      </w:numPr>
    </w:pPr>
  </w:style>
  <w:style w:type="paragraph" w:styleId="ListContinue2">
    <w:name w:val="List Continue 2"/>
    <w:basedOn w:val="List2"/>
    <w:rsid w:val="00706B56"/>
    <w:pPr>
      <w:ind w:firstLine="0"/>
    </w:pPr>
  </w:style>
  <w:style w:type="paragraph" w:styleId="ListContinue3">
    <w:name w:val="List Continue 3"/>
    <w:basedOn w:val="List3"/>
    <w:rsid w:val="00706B56"/>
    <w:pPr>
      <w:ind w:left="1021" w:firstLine="0"/>
    </w:pPr>
  </w:style>
  <w:style w:type="paragraph" w:styleId="ListContinue4">
    <w:name w:val="List Continue 4"/>
    <w:basedOn w:val="List4"/>
    <w:rsid w:val="00706B56"/>
    <w:pPr>
      <w:ind w:firstLine="0"/>
    </w:pPr>
  </w:style>
  <w:style w:type="paragraph" w:styleId="ListContinue5">
    <w:name w:val="List Continue 5"/>
    <w:basedOn w:val="List5"/>
    <w:rsid w:val="00706B56"/>
    <w:pPr>
      <w:ind w:firstLine="0"/>
    </w:pPr>
  </w:style>
  <w:style w:type="paragraph" w:styleId="ListNumber3">
    <w:name w:val="List Number 3"/>
    <w:basedOn w:val="List3"/>
    <w:rsid w:val="00706B56"/>
    <w:pPr>
      <w:numPr>
        <w:numId w:val="4"/>
      </w:numPr>
    </w:pPr>
  </w:style>
  <w:style w:type="paragraph" w:styleId="ListNumber4">
    <w:name w:val="List Number 4"/>
    <w:basedOn w:val="List4"/>
    <w:rsid w:val="00706B56"/>
    <w:pPr>
      <w:numPr>
        <w:numId w:val="5"/>
      </w:numPr>
    </w:pPr>
  </w:style>
  <w:style w:type="paragraph" w:styleId="ListNumber5">
    <w:name w:val="List Number 5"/>
    <w:basedOn w:val="List5"/>
    <w:rsid w:val="00706B56"/>
    <w:pPr>
      <w:numPr>
        <w:numId w:val="6"/>
      </w:numPr>
    </w:pPr>
  </w:style>
  <w:style w:type="paragraph" w:styleId="BlockText">
    <w:name w:val="Block Text"/>
    <w:basedOn w:val="Normal"/>
    <w:rsid w:val="00706B56"/>
    <w:pPr>
      <w:spacing w:after="120"/>
      <w:ind w:left="1440" w:right="1440"/>
    </w:pPr>
  </w:style>
  <w:style w:type="character" w:customStyle="1" w:styleId="Subscript">
    <w:name w:val="Subscript"/>
    <w:basedOn w:val="DefaultParagraphFont"/>
    <w:rsid w:val="00706B56"/>
    <w:rPr>
      <w:sz w:val="16"/>
      <w:vertAlign w:val="subscript"/>
    </w:rPr>
  </w:style>
  <w:style w:type="character" w:customStyle="1" w:styleId="Superscript">
    <w:name w:val="Superscript"/>
    <w:basedOn w:val="DefaultParagraphFont"/>
    <w:rsid w:val="00706B56"/>
    <w:rPr>
      <w:sz w:val="16"/>
      <w:vertAlign w:val="superscript"/>
    </w:rPr>
  </w:style>
  <w:style w:type="character" w:customStyle="1" w:styleId="Symbols">
    <w:name w:val="Symbols"/>
    <w:basedOn w:val="DefaultParagraphFont"/>
    <w:rsid w:val="00706B56"/>
    <w:rPr>
      <w:rFonts w:ascii="Symbol" w:hAnsi="Symbol"/>
    </w:rPr>
  </w:style>
  <w:style w:type="character" w:customStyle="1" w:styleId="MenuOptions">
    <w:name w:val="Menu Options"/>
    <w:basedOn w:val="DefaultParagraphFont"/>
    <w:rsid w:val="00706B56"/>
    <w:rPr>
      <w:rFonts w:ascii="Arial Narrow" w:hAnsi="Arial Narrow"/>
      <w:smallCaps/>
    </w:rPr>
  </w:style>
  <w:style w:type="character" w:customStyle="1" w:styleId="Buttons">
    <w:name w:val="Buttons"/>
    <w:basedOn w:val="DefaultParagraphFont"/>
    <w:rsid w:val="00706B56"/>
    <w:rPr>
      <w:b/>
    </w:rPr>
  </w:style>
  <w:style w:type="character" w:customStyle="1" w:styleId="Underlined">
    <w:name w:val="Underlined"/>
    <w:basedOn w:val="DefaultParagraphFont"/>
    <w:rsid w:val="00706B56"/>
    <w:rPr>
      <w:u w:val="single"/>
    </w:rPr>
  </w:style>
  <w:style w:type="paragraph" w:customStyle="1" w:styleId="TableBodyTextRight">
    <w:name w:val="Table Body Text Right"/>
    <w:basedOn w:val="TableBodyText"/>
    <w:rsid w:val="00706B56"/>
    <w:pPr>
      <w:widowControl w:val="0"/>
      <w:autoSpaceDE w:val="0"/>
      <w:autoSpaceDN w:val="0"/>
      <w:adjustRightInd w:val="0"/>
      <w:jc w:val="right"/>
    </w:pPr>
    <w:rPr>
      <w:rFonts w:cs="Arial"/>
      <w:szCs w:val="18"/>
    </w:rPr>
  </w:style>
  <w:style w:type="paragraph" w:customStyle="1" w:styleId="CopyrightText">
    <w:name w:val="Copyright Text"/>
    <w:basedOn w:val="BodyText"/>
    <w:rsid w:val="00706B56"/>
    <w:rPr>
      <w:sz w:val="18"/>
    </w:rPr>
  </w:style>
  <w:style w:type="paragraph" w:customStyle="1" w:styleId="BodySmallRight">
    <w:name w:val="Body Small Right"/>
    <w:basedOn w:val="BodyTextRight"/>
    <w:rsid w:val="00706B56"/>
    <w:rPr>
      <w:sz w:val="18"/>
      <w:szCs w:val="18"/>
    </w:rPr>
  </w:style>
  <w:style w:type="paragraph" w:customStyle="1" w:styleId="MarginEdition">
    <w:name w:val="Margin Edition"/>
    <w:basedOn w:val="MarginNote"/>
    <w:rsid w:val="00706B56"/>
    <w:pPr>
      <w:spacing w:before="0" w:after="0"/>
    </w:pPr>
    <w:rPr>
      <w:rFonts w:ascii="Times New Roman" w:hAnsi="Times New Roman"/>
      <w:color w:val="999999"/>
    </w:rPr>
  </w:style>
  <w:style w:type="paragraph" w:customStyle="1" w:styleId="Spacer">
    <w:name w:val="Spacer"/>
    <w:basedOn w:val="Normal"/>
    <w:rsid w:val="00706B56"/>
    <w:rPr>
      <w:sz w:val="2"/>
      <w:szCs w:val="2"/>
    </w:rPr>
  </w:style>
  <w:style w:type="character" w:customStyle="1" w:styleId="Small">
    <w:name w:val="Small"/>
    <w:basedOn w:val="DefaultParagraphFont"/>
    <w:rsid w:val="00706B56"/>
    <w:rPr>
      <w:sz w:val="16"/>
    </w:rPr>
  </w:style>
  <w:style w:type="paragraph" w:customStyle="1" w:styleId="WideTable">
    <w:name w:val="Wide Table"/>
    <w:basedOn w:val="Normal"/>
    <w:rsid w:val="00706B56"/>
    <w:pPr>
      <w:ind w:left="-1418"/>
    </w:pPr>
    <w:rPr>
      <w:sz w:val="2"/>
      <w:szCs w:val="2"/>
    </w:rPr>
  </w:style>
  <w:style w:type="character" w:styleId="PageNumber">
    <w:name w:val="page number"/>
    <w:basedOn w:val="DefaultParagraphFont"/>
    <w:rsid w:val="00706B56"/>
  </w:style>
  <w:style w:type="paragraph" w:styleId="Quote">
    <w:name w:val="Quote"/>
    <w:basedOn w:val="Heading1"/>
    <w:link w:val="QuoteChar"/>
    <w:qFormat/>
    <w:rsid w:val="00706B56"/>
    <w:rPr>
      <w:b w:val="0"/>
      <w:sz w:val="72"/>
      <w:szCs w:val="72"/>
      <w:lang w:val="en-NZ"/>
    </w:rPr>
  </w:style>
  <w:style w:type="character" w:customStyle="1" w:styleId="QuoteChar">
    <w:name w:val="Quote Char"/>
    <w:basedOn w:val="DefaultParagraphFont"/>
    <w:link w:val="Quote"/>
    <w:rsid w:val="00706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B56"/>
    <w:pPr>
      <w:pageBreakBefore/>
    </w:pPr>
  </w:style>
  <w:style w:type="paragraph" w:customStyle="1" w:styleId="Border">
    <w:name w:val="Border"/>
    <w:basedOn w:val="Normal"/>
    <w:qFormat/>
    <w:rsid w:val="00706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B56"/>
    <w:rPr>
      <w:b/>
      <w:bCs/>
      <w:i/>
      <w:iCs/>
      <w:color w:val="auto"/>
    </w:rPr>
  </w:style>
  <w:style w:type="paragraph" w:styleId="IntenseQuote">
    <w:name w:val="Intense Quote"/>
    <w:basedOn w:val="Normal"/>
    <w:next w:val="Normal"/>
    <w:link w:val="IntenseQuoteChar"/>
    <w:uiPriority w:val="30"/>
    <w:qFormat/>
    <w:rsid w:val="00706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B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6B56"/>
    <w:rPr>
      <w:smallCaps/>
      <w:color w:val="auto"/>
      <w:u w:val="single"/>
    </w:rPr>
  </w:style>
  <w:style w:type="character" w:styleId="IntenseReference">
    <w:name w:val="Intense Reference"/>
    <w:basedOn w:val="DefaultParagraphFont"/>
    <w:uiPriority w:val="32"/>
    <w:qFormat/>
    <w:rsid w:val="00706B56"/>
    <w:rPr>
      <w:b/>
      <w:bCs/>
      <w:smallCaps/>
      <w:color w:val="auto"/>
      <w:spacing w:val="5"/>
      <w:u w:val="single"/>
    </w:rPr>
  </w:style>
  <w:style w:type="paragraph" w:customStyle="1" w:styleId="2ColumnHeading">
    <w:name w:val="2Column Heading"/>
    <w:basedOn w:val="BodyText"/>
    <w:qFormat/>
    <w:rsid w:val="00706B56"/>
    <w:pPr>
      <w:spacing w:after="60"/>
      <w:ind w:left="-2268"/>
    </w:pPr>
    <w:rPr>
      <w:b/>
    </w:rPr>
  </w:style>
  <w:style w:type="paragraph" w:customStyle="1" w:styleId="Heading1TOC">
    <w:name w:val="Heading1 TOC"/>
    <w:basedOn w:val="Normal"/>
    <w:qFormat/>
    <w:rsid w:val="00706B56"/>
    <w:pPr>
      <w:spacing w:before="240" w:after="120"/>
    </w:pPr>
    <w:rPr>
      <w:rFonts w:ascii="Times New Roman" w:hAnsi="Times New Roman"/>
      <w:b/>
      <w:sz w:val="32"/>
    </w:rPr>
  </w:style>
  <w:style w:type="paragraph" w:customStyle="1" w:styleId="Heading2TOC">
    <w:name w:val="Heading2 TOC"/>
    <w:basedOn w:val="Normal"/>
    <w:qFormat/>
    <w:rsid w:val="00706B56"/>
    <w:pPr>
      <w:spacing w:before="240" w:after="60"/>
    </w:pPr>
    <w:rPr>
      <w:rFonts w:ascii="Times New Roman" w:hAnsi="Times New Roman"/>
      <w:b/>
      <w:sz w:val="28"/>
    </w:rPr>
  </w:style>
  <w:style w:type="character" w:customStyle="1" w:styleId="BoldandItalics">
    <w:name w:val="Bold and Italics"/>
    <w:qFormat/>
    <w:rsid w:val="00706B56"/>
    <w:rPr>
      <w:b/>
      <w:i/>
      <w:u w:val="none"/>
    </w:rPr>
  </w:style>
  <w:style w:type="paragraph" w:styleId="BalloonText">
    <w:name w:val="Balloon Text"/>
    <w:basedOn w:val="Normal"/>
    <w:link w:val="BalloonTextChar"/>
    <w:rsid w:val="00706B56"/>
    <w:rPr>
      <w:rFonts w:ascii="Tahoma" w:hAnsi="Tahoma" w:cs="Tahoma"/>
      <w:sz w:val="16"/>
      <w:szCs w:val="16"/>
    </w:rPr>
  </w:style>
  <w:style w:type="character" w:customStyle="1" w:styleId="BalloonTextChar">
    <w:name w:val="Balloon Text Char"/>
    <w:basedOn w:val="DefaultParagraphFont"/>
    <w:link w:val="BalloonText"/>
    <w:rsid w:val="00706B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6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B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7005</Characters>
  <Application>Microsoft Office Word</Application>
  <DocSecurity>0</DocSecurity>
  <Lines>236</Lines>
  <Paragraphs>133</Paragraphs>
  <ScaleCrop>false</ScaleCrop>
  <Company>Author-it Software Corporation Ltd.</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PMAOHS211B Prepare equipment for emergency response</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2012-05-26T18:57:00Z</dcterms:created>
  <dcterms:modified xsi:type="dcterms:W3CDTF">2012-05-26T18:57:00Z</dcterms:modified>
</cp:coreProperties>
</file>