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436" w:rsidP="008B1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PMAWHS511 Manage emergency incidents</w:t>
      </w:r>
      <w:r>
        <w:fldChar w:fldCharType="end"/>
      </w:r>
    </w:p>
    <w:p w:rsidR="008B1436" w:rsidP="008B1436">
      <w:pPr>
        <w:pStyle w:val="Version"/>
        <w:sectPr w:rsidSect="002B6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2BE" w:rsidP="002B62BE">
      <w:pPr>
        <w:pStyle w:val="SuperHeading"/>
      </w:pPr>
      <w:r w:rsidRPr="002B62BE">
        <w:t>Assessment Requirements for PMAWHS511 Manage emergency incidents</w:t>
      </w:r>
    </w:p>
    <w:p w:rsidR="00000000" w:rsidRPr="002B62BE" w:rsidP="002B62BE">
      <w:pPr>
        <w:pStyle w:val="Heading1"/>
      </w:pPr>
      <w:bookmarkStart w:id="1" w:name="O_1181039"/>
      <w:bookmarkEnd w:id="1"/>
      <w:r w:rsidRPr="002B62BE">
        <w:t>Modification History</w:t>
      </w:r>
    </w:p>
    <w:p w:rsidR="00000000" w:rsidRPr="002B62BE" w:rsidP="008B1436">
      <w:pPr>
        <w:pStyle w:val="BodyText"/>
      </w:pPr>
      <w:r w:rsidRPr="002B62BE">
        <w:t>Release 2. Amended bullet point in Performance Evidence for clarity. Supersedes and is equivalent to PMAWHS511.</w:t>
      </w:r>
    </w:p>
    <w:p w:rsidR="00000000" w:rsidRPr="002B62BE" w:rsidP="008B1436">
      <w:pPr>
        <w:pStyle w:val="BodyText"/>
      </w:pPr>
      <w:r w:rsidRPr="002B62BE">
        <w:t>Release 1. Supersedes and is equivalent to PMAOHS511A Manage emergency incidents.</w:t>
      </w:r>
    </w:p>
    <w:p w:rsidR="00000000" w:rsidRPr="002B62BE" w:rsidP="002B62BE">
      <w:pPr>
        <w:pStyle w:val="Heading1"/>
      </w:pPr>
      <w:bookmarkStart w:id="2" w:name="O_1181038"/>
      <w:bookmarkEnd w:id="2"/>
      <w:r w:rsidRPr="002B62BE">
        <w:t>Performance Evidence</w:t>
      </w:r>
    </w:p>
    <w:p w:rsidR="00000000" w:rsidRPr="002B62BE" w:rsidP="008B1436">
      <w:pPr>
        <w:pStyle w:val="BodyText"/>
      </w:pPr>
      <w:r w:rsidRPr="002B62BE">
        <w:t>Evidence required to demonstrate competence in this unit must be relevant to and satisfy the requirements of the elements and performa</w:t>
      </w:r>
      <w:r w:rsidRPr="002B62BE">
        <w:t>nce criteria, and include the ability to:</w:t>
      </w:r>
    </w:p>
    <w:p w:rsidR="00000000" w:rsidRPr="002B62BE" w:rsidP="002B62BE">
      <w:pPr>
        <w:pStyle w:val="ListBullet"/>
      </w:pPr>
      <w:r w:rsidRPr="002B62BE">
        <w:t>rapidly assess a situation and process information quickly under pressure</w:t>
      </w:r>
    </w:p>
    <w:p w:rsidR="00000000" w:rsidRPr="002B62BE" w:rsidP="002B62BE">
      <w:pPr>
        <w:pStyle w:val="ListBullet"/>
      </w:pPr>
      <w:r w:rsidRPr="002B62BE">
        <w:t>communicate clearly and unambiguously with team members, management and other personnel under stress</w:t>
      </w:r>
    </w:p>
    <w:p w:rsidR="00000000" w:rsidRPr="002B62BE" w:rsidP="002B62BE">
      <w:pPr>
        <w:pStyle w:val="ListBullet"/>
      </w:pPr>
      <w:r w:rsidRPr="002B62BE">
        <w:t>lead and manage/supervise team members</w:t>
      </w:r>
      <w:r w:rsidRPr="002B62BE">
        <w:t xml:space="preserve"> in emergency situations</w:t>
      </w:r>
    </w:p>
    <w:p w:rsidR="00000000" w:rsidRPr="002B62BE" w:rsidP="002B62BE">
      <w:pPr>
        <w:pStyle w:val="ListBullet"/>
      </w:pPr>
      <w:r w:rsidRPr="002B62BE">
        <w:t>facilitate and manage emergency responses, allocate resources and prioritise activities</w:t>
      </w:r>
    </w:p>
    <w:p w:rsidR="00000000" w:rsidRPr="002B62BE" w:rsidP="002B62BE">
      <w:pPr>
        <w:pStyle w:val="ListBullet"/>
      </w:pPr>
      <w:r w:rsidRPr="002B62BE">
        <w:t xml:space="preserve">utilise all available internal and external resources </w:t>
      </w:r>
    </w:p>
    <w:p w:rsidR="00000000" w:rsidRPr="002B62BE" w:rsidP="002B62BE">
      <w:pPr>
        <w:pStyle w:val="ListBullet"/>
      </w:pPr>
      <w:r w:rsidRPr="002B62BE">
        <w:t>interpret information about changing conditions, hazards and individuals’ needs and make</w:t>
      </w:r>
      <w:r w:rsidRPr="002B62BE">
        <w:t xml:space="preserve"> prompt decisions about appropriate action and allocation of resources</w:t>
      </w:r>
    </w:p>
    <w:p w:rsidR="00000000" w:rsidRPr="002B62BE" w:rsidP="002B62BE">
      <w:pPr>
        <w:pStyle w:val="ListBullet"/>
      </w:pPr>
      <w:r w:rsidRPr="002B62BE">
        <w:t>facilitate evaluation of emergency response and make recommendations for improvements</w:t>
      </w:r>
    </w:p>
    <w:p w:rsidR="00000000" w:rsidRPr="002B62BE" w:rsidP="002B62BE">
      <w:pPr>
        <w:pStyle w:val="ListBullet"/>
      </w:pPr>
      <w:r w:rsidRPr="002B62BE">
        <w:t>write strategies, tactics and procedures.</w:t>
      </w:r>
    </w:p>
    <w:p w:rsidR="00000000" w:rsidRPr="002B62BE" w:rsidP="002B62BE">
      <w:pPr>
        <w:pStyle w:val="AllowPageBreak"/>
      </w:pPr>
    </w:p>
    <w:p w:rsidR="00000000" w:rsidRPr="002B62BE" w:rsidP="002B62BE">
      <w:pPr>
        <w:pStyle w:val="Heading1"/>
      </w:pPr>
      <w:bookmarkStart w:id="3" w:name="O_1181037"/>
      <w:bookmarkEnd w:id="3"/>
      <w:r w:rsidRPr="002B62BE">
        <w:t>Knowledge Evidence</w:t>
      </w:r>
    </w:p>
    <w:p w:rsidR="00000000" w:rsidRPr="002B62BE" w:rsidP="008B1436">
      <w:pPr>
        <w:pStyle w:val="BodyText"/>
      </w:pPr>
      <w:r w:rsidRPr="002B62BE">
        <w:t>Evidence must be pr</w:t>
      </w:r>
      <w:r w:rsidRPr="002B62BE">
        <w:t>ovided that demonstrates knowledge of:</w:t>
      </w:r>
    </w:p>
    <w:p w:rsidR="00000000" w:rsidRPr="002B62BE" w:rsidP="002B62BE">
      <w:pPr>
        <w:pStyle w:val="ListBullet"/>
      </w:pPr>
      <w:r w:rsidRPr="002B62BE">
        <w:t>organisational procedures, including those covering:</w:t>
      </w:r>
    </w:p>
    <w:p w:rsidR="00000000" w:rsidRPr="002B62BE" w:rsidP="002B62BE">
      <w:pPr>
        <w:pStyle w:val="ListBullet2"/>
      </w:pPr>
      <w:r w:rsidRPr="002B62BE">
        <w:t>safety, hazards and hazard control</w:t>
      </w:r>
    </w:p>
    <w:p w:rsidR="00000000" w:rsidRPr="002B62BE" w:rsidP="002B62BE">
      <w:pPr>
        <w:pStyle w:val="ListBullet2"/>
      </w:pPr>
      <w:r w:rsidRPr="002B62BE">
        <w:t xml:space="preserve">incident, fire and accident </w:t>
      </w:r>
    </w:p>
    <w:p w:rsidR="00000000" w:rsidRPr="002B62BE" w:rsidP="002B62BE">
      <w:pPr>
        <w:pStyle w:val="ListBullet2"/>
      </w:pPr>
      <w:r w:rsidRPr="002B62BE">
        <w:t>environmental protection</w:t>
      </w:r>
    </w:p>
    <w:p w:rsidR="00000000" w:rsidRPr="002B62BE" w:rsidP="002B62BE">
      <w:pPr>
        <w:pStyle w:val="ListBullet2"/>
      </w:pPr>
      <w:r w:rsidRPr="002B62BE">
        <w:t>risk assessment/risk management</w:t>
      </w:r>
    </w:p>
    <w:p w:rsidR="00000000" w:rsidRPr="002B62BE" w:rsidP="002B62BE">
      <w:pPr>
        <w:pStyle w:val="ListBullet2"/>
      </w:pPr>
      <w:r w:rsidRPr="002B62BE">
        <w:t>personal protective equipment (PPE)</w:t>
      </w:r>
    </w:p>
    <w:p w:rsidR="00000000" w:rsidRPr="002B62BE" w:rsidP="002B62BE">
      <w:pPr>
        <w:pStyle w:val="ListBullet2"/>
      </w:pPr>
      <w:r w:rsidRPr="002B62BE">
        <w:t>relevant facility fire management and safety systems</w:t>
      </w:r>
    </w:p>
    <w:p w:rsidR="00000000" w:rsidRPr="002B62BE" w:rsidP="002B62BE">
      <w:pPr>
        <w:pStyle w:val="ListBullet2"/>
      </w:pPr>
      <w:r w:rsidRPr="002B62BE">
        <w:t>communication systems</w:t>
      </w:r>
    </w:p>
    <w:p w:rsidR="00000000" w:rsidRPr="002B62BE" w:rsidP="002B62BE">
      <w:pPr>
        <w:pStyle w:val="ListBullet2"/>
      </w:pPr>
      <w:r w:rsidRPr="002B62BE">
        <w:t>emergency response plans</w:t>
      </w:r>
    </w:p>
    <w:p w:rsidR="00000000" w:rsidRPr="002B62BE" w:rsidP="002B62BE">
      <w:pPr>
        <w:pStyle w:val="ListBullet"/>
      </w:pPr>
      <w:r w:rsidRPr="002B62BE">
        <w:t>hazards that may arise in the job/work environment, and:</w:t>
      </w:r>
    </w:p>
    <w:p w:rsidR="00000000" w:rsidRPr="002B62BE" w:rsidP="002B62BE">
      <w:pPr>
        <w:pStyle w:val="ListBullet2"/>
      </w:pPr>
      <w:r w:rsidRPr="002B62BE">
        <w:t xml:space="preserve">their possible causes </w:t>
      </w:r>
    </w:p>
    <w:p w:rsidR="00000000" w:rsidRPr="002B62BE" w:rsidP="002B62BE">
      <w:pPr>
        <w:pStyle w:val="ListBullet2"/>
      </w:pPr>
      <w:r w:rsidRPr="002B62BE">
        <w:t>potential consequences</w:t>
      </w:r>
    </w:p>
    <w:p w:rsidR="00000000" w:rsidRPr="002B62BE" w:rsidP="002B62BE">
      <w:pPr>
        <w:pStyle w:val="ListBullet2"/>
      </w:pPr>
      <w:r w:rsidRPr="002B62BE">
        <w:t>risks</w:t>
      </w:r>
    </w:p>
    <w:p w:rsidR="00000000" w:rsidRPr="002B62BE" w:rsidP="002B62BE">
      <w:pPr>
        <w:pStyle w:val="ListBullet2"/>
      </w:pPr>
      <w:r w:rsidRPr="002B62BE">
        <w:t>appropriate risk controls</w:t>
      </w:r>
    </w:p>
    <w:p w:rsidR="00000000" w:rsidRPr="002B62BE" w:rsidP="002B62BE">
      <w:pPr>
        <w:pStyle w:val="ListBullet"/>
      </w:pPr>
      <w:r w:rsidRPr="002B62BE">
        <w:t>fire chemistry, fi</w:t>
      </w:r>
      <w:r w:rsidRPr="002B62BE">
        <w:t>re characteristics and chemical hazards</w:t>
      </w:r>
    </w:p>
    <w:p w:rsidR="00000000" w:rsidRPr="002B62BE" w:rsidP="002B62BE">
      <w:pPr>
        <w:pStyle w:val="ListBullet"/>
      </w:pPr>
      <w:r w:rsidRPr="002B62BE">
        <w:t>location and availability of fire-fighting equipment</w:t>
      </w:r>
    </w:p>
    <w:p w:rsidR="00000000" w:rsidRPr="002B62BE" w:rsidP="002B62BE">
      <w:pPr>
        <w:pStyle w:val="ListBullet"/>
      </w:pPr>
      <w:r w:rsidRPr="002B62BE">
        <w:t>types and application of fire-fighting and containment media</w:t>
      </w:r>
    </w:p>
    <w:p w:rsidR="00000000" w:rsidRPr="002B62BE" w:rsidP="002B62BE">
      <w:pPr>
        <w:pStyle w:val="ListBullet"/>
      </w:pPr>
      <w:r w:rsidRPr="002B62BE">
        <w:t>types and application of non-fire emergency containment and control</w:t>
      </w:r>
    </w:p>
    <w:p w:rsidR="00000000" w:rsidRPr="002B62BE" w:rsidP="002B62BE">
      <w:pPr>
        <w:pStyle w:val="ListBullet"/>
      </w:pPr>
      <w:r w:rsidRPr="002B62BE">
        <w:t>hazard identification, assessment and control of risk</w:t>
      </w:r>
    </w:p>
    <w:p w:rsidR="00000000" w:rsidRPr="002B62BE" w:rsidP="002B62BE">
      <w:pPr>
        <w:pStyle w:val="ListBullet"/>
      </w:pPr>
      <w:r w:rsidRPr="002B62BE">
        <w:t xml:space="preserve">types and application of PPE and breathing apparatus </w:t>
      </w:r>
    </w:p>
    <w:p w:rsidR="00000000" w:rsidRPr="002B62BE" w:rsidP="002B62BE">
      <w:pPr>
        <w:pStyle w:val="ListBullet"/>
      </w:pPr>
      <w:r w:rsidRPr="002B62BE">
        <w:t>search and rescue techniques (including self rescue techniques)</w:t>
      </w:r>
    </w:p>
    <w:p w:rsidR="00000000" w:rsidRPr="002B62BE" w:rsidP="002B62BE">
      <w:pPr>
        <w:pStyle w:val="ListBullet"/>
      </w:pPr>
      <w:r w:rsidRPr="002B62BE">
        <w:t>teamwork principles and techniques</w:t>
      </w:r>
    </w:p>
    <w:p w:rsidR="00000000" w:rsidRPr="002B62BE" w:rsidP="002B62BE">
      <w:pPr>
        <w:pStyle w:val="ListBullet"/>
      </w:pPr>
      <w:r w:rsidRPr="002B62BE">
        <w:t>types and impact of emergency tactics</w:t>
      </w:r>
    </w:p>
    <w:p w:rsidR="00000000" w:rsidRPr="002B62BE" w:rsidP="002B62BE">
      <w:pPr>
        <w:pStyle w:val="ListBullet"/>
      </w:pPr>
      <w:r w:rsidRPr="002B62BE">
        <w:t>casualty ha</w:t>
      </w:r>
      <w:r w:rsidRPr="002B62BE">
        <w:t>ndling techniques.</w:t>
      </w:r>
    </w:p>
    <w:p w:rsidR="00000000" w:rsidRPr="002B62BE" w:rsidP="002B62BE">
      <w:pPr>
        <w:pStyle w:val="AllowPageBreak"/>
      </w:pPr>
    </w:p>
    <w:p w:rsidR="00000000" w:rsidRPr="002B62BE" w:rsidP="002B62BE">
      <w:pPr>
        <w:pStyle w:val="Heading1"/>
      </w:pPr>
      <w:bookmarkStart w:id="4" w:name="O_1181036"/>
      <w:bookmarkEnd w:id="4"/>
      <w:r w:rsidRPr="002B62BE">
        <w:t>Assessment Conditions</w:t>
      </w:r>
    </w:p>
    <w:p w:rsidR="00000000" w:rsidRPr="002B62BE" w:rsidP="008B1436">
      <w:pPr>
        <w:pStyle w:val="BodyText"/>
      </w:pPr>
      <w:r w:rsidRPr="002B62BE">
        <w:t>Assessment for this unit of competency will be in a simulated environment. Simulation should be based on emergency incidents relevant to the particular facility/installation and will include walk-</w:t>
      </w:r>
      <w:r w:rsidRPr="002B62BE">
        <w:t>throughs of the relevant competency components. Simulations may also include the use of case studies/scenarios, role plays and 3-D virtual reality interactive systems. ‘War gaming’ is an appropriate approach.</w:t>
      </w:r>
    </w:p>
    <w:p w:rsidR="00000000" w:rsidRPr="002B62BE" w:rsidP="008B1436">
      <w:pPr>
        <w:pStyle w:val="BodyText"/>
      </w:pPr>
      <w:r w:rsidRPr="002B62BE">
        <w:t>The unit will be assessed in as holistic a mann</w:t>
      </w:r>
      <w:r w:rsidRPr="002B62BE">
        <w:t>er as is practical and the judgement of competence based on a holistic assessment of the evidence.</w:t>
      </w:r>
    </w:p>
    <w:p w:rsidR="00000000" w:rsidRPr="002B62BE" w:rsidP="008B1436">
      <w:pPr>
        <w:pStyle w:val="BodyText"/>
      </w:pPr>
      <w:r w:rsidRPr="002B62BE">
        <w:t>The collection of performance evidence:</w:t>
      </w:r>
    </w:p>
    <w:p w:rsidR="00000000" w:rsidRPr="002B62BE" w:rsidP="002B62BE">
      <w:pPr>
        <w:pStyle w:val="ListBullet2"/>
      </w:pPr>
      <w:r w:rsidRPr="002B62BE">
        <w:t>must provide evidence of the ability to manage emergency incidents over the range of situations which might be expec</w:t>
      </w:r>
      <w:r w:rsidRPr="002B62BE">
        <w:t>ted to be encountered</w:t>
      </w:r>
    </w:p>
    <w:p w:rsidR="00000000" w:rsidRPr="002B62BE" w:rsidP="002B62BE">
      <w:pPr>
        <w:pStyle w:val="ListBullet2"/>
      </w:pPr>
      <w:r w:rsidRPr="002B62BE">
        <w:t>must include the demonstration of managing and coordinating an emergency incident in a simulated environment.</w:t>
      </w:r>
    </w:p>
    <w:p w:rsidR="00000000" w:rsidRPr="002B62BE" w:rsidP="008B1436">
      <w:pPr>
        <w:pStyle w:val="BodyText"/>
      </w:pPr>
      <w:r w:rsidRPr="002B62BE">
        <w:t>Assessment should occur in a simulated environment which</w:t>
      </w:r>
      <w:r w:rsidRPr="002B62BE">
        <w:t xml:space="preserve"> sufficiently replicates realistic operational workplace conditions that cover all aspects of workplace performance, including environment, task skills, task management skills, contingency management skills and job role environment skills. </w:t>
      </w:r>
    </w:p>
    <w:p w:rsidR="00000000" w:rsidRPr="002B62BE" w:rsidP="008B1436">
      <w:pPr>
        <w:pStyle w:val="BodyText"/>
      </w:pPr>
      <w:r w:rsidRPr="002B62BE">
        <w:t>Knowledge evide</w:t>
      </w:r>
      <w:r w:rsidRPr="002B62BE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2B62BE" w:rsidP="008B1436">
      <w:pPr>
        <w:pStyle w:val="BodyText"/>
      </w:pPr>
      <w:r w:rsidRPr="002B62BE">
        <w:t>Assessment processes and techniques must be appropr</w:t>
      </w:r>
      <w:r w:rsidRPr="002B62BE">
        <w:t>iate to the language, literacy and numeracy requirements of the work being performed and the needs of the candidate.</w:t>
      </w:r>
    </w:p>
    <w:p w:rsidR="00000000" w:rsidRPr="002B62BE" w:rsidP="008B1436">
      <w:pPr>
        <w:pStyle w:val="BodyText"/>
      </w:pPr>
      <w:r w:rsidRPr="002B62BE">
        <w:t>Conditions for assessment must include access to all tools, equipment, materials and documentation required, including relevant workplace p</w:t>
      </w:r>
      <w:r w:rsidRPr="002B62BE">
        <w:t>rocedures, product and manufacturing specifications associated with this unit.</w:t>
      </w:r>
    </w:p>
    <w:p w:rsidR="00000000" w:rsidRPr="002B62BE" w:rsidP="008B1436">
      <w:pPr>
        <w:pStyle w:val="BodyText"/>
      </w:pPr>
      <w:r w:rsidRPr="002B62BE">
        <w:t>Foundation skills are integral to competent performance of the unit and should not be assessed separately.</w:t>
      </w:r>
    </w:p>
    <w:p w:rsidR="00000000" w:rsidRPr="002B62BE" w:rsidP="008B1436">
      <w:pPr>
        <w:pStyle w:val="BodyText"/>
      </w:pPr>
      <w:r w:rsidRPr="002B62BE">
        <w:t>Assessors must satisfy the assessor competency requirements that are i</w:t>
      </w:r>
      <w:r w:rsidRPr="002B62BE">
        <w:t>n place at the time of the assessment as set by the VET regulator.</w:t>
      </w:r>
    </w:p>
    <w:p w:rsidR="00000000" w:rsidRPr="002B62BE" w:rsidP="008B1436">
      <w:pPr>
        <w:pStyle w:val="BodyText"/>
      </w:pPr>
      <w:r w:rsidRPr="002B62BE">
        <w:t xml:space="preserve">In addition, the assessor or anyone acting in subject matter expert role in assessment must demonstrate both technical competency and currency. If the assessor cannot demonstrate technical </w:t>
      </w:r>
      <w:r w:rsidRPr="002B62BE">
        <w:t xml:space="preserve">competency and currency they must assess with a subject matter expert who does meet these requirements. </w:t>
      </w:r>
    </w:p>
    <w:p w:rsidR="00000000" w:rsidRPr="002B62BE" w:rsidP="008B1436">
      <w:pPr>
        <w:pStyle w:val="BodyText"/>
      </w:pPr>
      <w:r w:rsidRPr="002B62BE">
        <w:t>Technical competence can be demonstrated through one or more of:</w:t>
      </w:r>
    </w:p>
    <w:p w:rsidR="00000000" w:rsidRPr="002B62BE" w:rsidP="002B62BE">
      <w:pPr>
        <w:pStyle w:val="ListBullet2"/>
      </w:pPr>
      <w:r w:rsidRPr="002B62BE">
        <w:t xml:space="preserve">relevant VET or other qualification/Statement of Attainment </w:t>
      </w:r>
    </w:p>
    <w:p w:rsidR="00000000" w:rsidRPr="002B62BE" w:rsidP="002B62BE">
      <w:pPr>
        <w:pStyle w:val="ListBullet2"/>
      </w:pPr>
      <w:r w:rsidRPr="002B62BE">
        <w:t>appropriate workplace ex</w:t>
      </w:r>
      <w:r w:rsidRPr="002B62BE">
        <w:t xml:space="preserve">perience undertaking the type of work being assessed under routine and non-routine conditions </w:t>
      </w:r>
    </w:p>
    <w:p w:rsidR="00000000" w:rsidRPr="002B62BE" w:rsidP="002B62BE">
      <w:pPr>
        <w:pStyle w:val="ListBullet2"/>
      </w:pPr>
      <w:r w:rsidRPr="002B62BE">
        <w:t>appropriate workplace experience supervising/evaluating the type of work being assessed under routine and non-routine conditions</w:t>
      </w:r>
    </w:p>
    <w:p w:rsidR="00000000" w:rsidRPr="002B62BE" w:rsidP="008B1436">
      <w:pPr>
        <w:pStyle w:val="BodyText"/>
      </w:pPr>
      <w:r w:rsidRPr="002B62BE">
        <w:t>Currency can be demonstrated thr</w:t>
      </w:r>
      <w:r w:rsidRPr="002B62BE">
        <w:t>ough one or more of:</w:t>
      </w:r>
    </w:p>
    <w:p w:rsidR="00000000" w:rsidRPr="002B62BE" w:rsidP="002B62BE">
      <w:pPr>
        <w:pStyle w:val="ListBullet2"/>
      </w:pPr>
      <w:r w:rsidRPr="002B62BE">
        <w:t xml:space="preserve">being currently employed undertaking the type of work being assessed </w:t>
      </w:r>
    </w:p>
    <w:p w:rsidR="00000000" w:rsidRPr="002B62BE" w:rsidP="002B62BE">
      <w:pPr>
        <w:pStyle w:val="ListBullet2"/>
      </w:pPr>
      <w:r w:rsidRPr="002B62BE">
        <w:t>being employed by the organisation undertaking the type of work being assessed and having maintained currency in accordance with that organisation’s policies and pr</w:t>
      </w:r>
      <w:r w:rsidRPr="002B62BE">
        <w:t xml:space="preserve">ocedures </w:t>
      </w:r>
    </w:p>
    <w:p w:rsidR="00000000" w:rsidRPr="002B62BE" w:rsidP="002B62BE">
      <w:pPr>
        <w:pStyle w:val="ListBullet2"/>
      </w:pPr>
      <w:r w:rsidRPr="002B62B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B62BE" w:rsidP="002B62BE">
      <w:pPr>
        <w:pStyle w:val="ListBullet2"/>
      </w:pPr>
      <w:r w:rsidRPr="002B62BE">
        <w:t>conducting on-the-job training/assessments of the type of work bein</w:t>
      </w:r>
      <w:r w:rsidRPr="002B62BE">
        <w:t xml:space="preserve">g assessed </w:t>
      </w:r>
    </w:p>
    <w:p w:rsidR="00000000" w:rsidRPr="002B62BE" w:rsidP="002B62BE">
      <w:pPr>
        <w:pStyle w:val="ListBullet2"/>
      </w:pPr>
      <w:r w:rsidRPr="002B62BE">
        <w:t>being an active member of a relevant professional body and participating in activities relevant to the assessment of this type of work.</w:t>
      </w:r>
    </w:p>
    <w:p w:rsidR="00000000" w:rsidRPr="002B62BE" w:rsidP="002B62BE">
      <w:pPr>
        <w:pStyle w:val="AllowPageBreak"/>
      </w:pPr>
    </w:p>
    <w:p w:rsidR="00000000" w:rsidRPr="002B62BE" w:rsidP="002B62BE">
      <w:pPr>
        <w:pStyle w:val="Heading1"/>
      </w:pPr>
      <w:bookmarkStart w:id="5" w:name="O_1181051"/>
      <w:bookmarkEnd w:id="5"/>
      <w:r w:rsidRPr="002B62BE">
        <w:t>Links</w:t>
      </w:r>
    </w:p>
    <w:p w:rsidR="00000000" w:rsidRPr="002B62BE" w:rsidP="008B1436">
      <w:pPr>
        <w:pStyle w:val="BodyText"/>
      </w:pPr>
      <w:r w:rsidRPr="002B6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0593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B62BE" w:rsidP="002B62BE"/>
    <w:sectPr w:rsidSect="002B6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BE" w:rsidRPr="008B1436" w:rsidP="008B1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36" w:rsidP="002B6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436" w:rsidP="002B6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1436" w:rsidP="002B6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2BE" w:rsidRPr="008B1436" w:rsidP="008B1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36" w:rsidRPr="002D2AF8" w:rsidP="002B6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PMAWHS511 Manage emergency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B1436" w:rsidP="002B6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88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6C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AB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2BE"/>
  </w:style>
  <w:style w:type="character" w:customStyle="1" w:styleId="Heading1Char">
    <w:name w:val="Heading 1 Char"/>
    <w:basedOn w:val="DefaultParagraphFont"/>
    <w:link w:val="Heading1"/>
    <w:rsid w:val="002B6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2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6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2BE"/>
    <w:rPr>
      <w:b/>
      <w:spacing w:val="0"/>
    </w:rPr>
  </w:style>
  <w:style w:type="paragraph" w:customStyle="1" w:styleId="SuperTitle">
    <w:name w:val="SuperTitle"/>
    <w:basedOn w:val="Title"/>
    <w:rsid w:val="002B6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2BE"/>
    <w:rPr>
      <w:i/>
    </w:rPr>
  </w:style>
  <w:style w:type="paragraph" w:styleId="Caption">
    <w:name w:val="caption"/>
    <w:basedOn w:val="BodyText"/>
    <w:next w:val="Normal"/>
    <w:qFormat/>
    <w:rsid w:val="002B6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2BE"/>
  </w:style>
  <w:style w:type="paragraph" w:styleId="TableofFigures">
    <w:name w:val="table of figures"/>
    <w:basedOn w:val="Normal"/>
    <w:next w:val="Normal"/>
    <w:semiHidden/>
    <w:rsid w:val="002B6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2BE"/>
    <w:rPr>
      <w:rFonts w:ascii="Wingdings" w:hAnsi="Wingdings"/>
    </w:rPr>
  </w:style>
  <w:style w:type="paragraph" w:customStyle="1" w:styleId="TableHeading">
    <w:name w:val="Table Heading"/>
    <w:basedOn w:val="HeadingBase"/>
    <w:rsid w:val="002B6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2BE"/>
    <w:rPr>
      <w:color w:val="0033CC"/>
      <w:u w:val="none"/>
    </w:rPr>
  </w:style>
  <w:style w:type="paragraph" w:customStyle="1" w:styleId="BodyTextRight">
    <w:name w:val="Body Text Right"/>
    <w:basedOn w:val="BodyText"/>
    <w:rsid w:val="002B6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2BE"/>
    <w:rPr>
      <w:sz w:val="32"/>
    </w:rPr>
  </w:style>
  <w:style w:type="paragraph" w:customStyle="1" w:styleId="HeadingProcedure">
    <w:name w:val="Heading Procedure"/>
    <w:basedOn w:val="HeadingBase"/>
    <w:next w:val="Normal"/>
    <w:rsid w:val="002B6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2BE"/>
    <w:pPr>
      <w:spacing w:before="60" w:after="60"/>
    </w:pPr>
  </w:style>
  <w:style w:type="paragraph" w:styleId="ListContinue">
    <w:name w:val="List Continue"/>
    <w:basedOn w:val="List"/>
    <w:rsid w:val="002B62BE"/>
    <w:pPr>
      <w:ind w:firstLine="0"/>
    </w:pPr>
  </w:style>
  <w:style w:type="paragraph" w:customStyle="1" w:styleId="ListNote">
    <w:name w:val="List Note"/>
    <w:basedOn w:val="List"/>
    <w:rsid w:val="002B6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2BE"/>
    <w:rPr>
      <w:rFonts w:ascii="Courier New" w:hAnsi="Courier New"/>
    </w:rPr>
  </w:style>
  <w:style w:type="paragraph" w:customStyle="1" w:styleId="NoteBullet">
    <w:name w:val="Note Bullet"/>
    <w:basedOn w:val="Note"/>
    <w:rsid w:val="002B6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2BE"/>
    <w:rPr>
      <w:b/>
      <w:smallCaps/>
    </w:rPr>
  </w:style>
  <w:style w:type="paragraph" w:customStyle="1" w:styleId="TableListNumber">
    <w:name w:val="Table List Number"/>
    <w:basedOn w:val="ListNumber"/>
    <w:rsid w:val="002B6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2BE"/>
    <w:pPr>
      <w:numPr>
        <w:numId w:val="9"/>
      </w:numPr>
    </w:pPr>
  </w:style>
  <w:style w:type="paragraph" w:customStyle="1" w:styleId="ListAlpha2">
    <w:name w:val="List Alpha 2"/>
    <w:basedOn w:val="List2"/>
    <w:rsid w:val="002B62BE"/>
    <w:pPr>
      <w:numPr>
        <w:numId w:val="8"/>
      </w:numPr>
    </w:pPr>
  </w:style>
  <w:style w:type="paragraph" w:styleId="List2">
    <w:name w:val="List 2"/>
    <w:basedOn w:val="BodyText"/>
    <w:rsid w:val="002B6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2BE"/>
    <w:pPr>
      <w:numPr>
        <w:numId w:val="4"/>
      </w:numPr>
    </w:pPr>
  </w:style>
  <w:style w:type="paragraph" w:styleId="ListContinue2">
    <w:name w:val="List Continue 2"/>
    <w:basedOn w:val="List2"/>
    <w:rsid w:val="002B62BE"/>
    <w:pPr>
      <w:ind w:firstLine="0"/>
    </w:pPr>
  </w:style>
  <w:style w:type="paragraph" w:styleId="ListContinue3">
    <w:name w:val="List Continue 3"/>
    <w:basedOn w:val="List3"/>
    <w:rsid w:val="002B62BE"/>
    <w:pPr>
      <w:ind w:left="1021" w:firstLine="0"/>
    </w:pPr>
  </w:style>
  <w:style w:type="paragraph" w:styleId="ListContinue4">
    <w:name w:val="List Continue 4"/>
    <w:basedOn w:val="List4"/>
    <w:rsid w:val="002B62BE"/>
    <w:pPr>
      <w:ind w:firstLine="0"/>
    </w:pPr>
  </w:style>
  <w:style w:type="paragraph" w:styleId="ListContinue5">
    <w:name w:val="List Continue 5"/>
    <w:basedOn w:val="List5"/>
    <w:rsid w:val="002B62BE"/>
    <w:pPr>
      <w:ind w:firstLine="0"/>
    </w:pPr>
  </w:style>
  <w:style w:type="paragraph" w:styleId="ListNumber3">
    <w:name w:val="List Number 3"/>
    <w:basedOn w:val="List3"/>
    <w:rsid w:val="002B62BE"/>
    <w:pPr>
      <w:numPr>
        <w:numId w:val="5"/>
      </w:numPr>
    </w:pPr>
  </w:style>
  <w:style w:type="paragraph" w:styleId="ListNumber4">
    <w:name w:val="List Number 4"/>
    <w:basedOn w:val="List4"/>
    <w:rsid w:val="002B62BE"/>
    <w:pPr>
      <w:numPr>
        <w:numId w:val="6"/>
      </w:numPr>
    </w:pPr>
  </w:style>
  <w:style w:type="paragraph" w:styleId="ListNumber5">
    <w:name w:val="List Number 5"/>
    <w:basedOn w:val="List5"/>
    <w:rsid w:val="002B62BE"/>
    <w:pPr>
      <w:numPr>
        <w:numId w:val="7"/>
      </w:numPr>
    </w:pPr>
  </w:style>
  <w:style w:type="paragraph" w:styleId="BlockText">
    <w:name w:val="Block Text"/>
    <w:basedOn w:val="Normal"/>
    <w:rsid w:val="002B6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2BE"/>
    <w:rPr>
      <w:sz w:val="16"/>
      <w:vertAlign w:val="superscript"/>
    </w:rPr>
  </w:style>
  <w:style w:type="character" w:customStyle="1" w:styleId="Symbols">
    <w:name w:val="Symbols"/>
    <w:basedOn w:val="DefaultParagraphFont"/>
    <w:rsid w:val="002B62BE"/>
    <w:rPr>
      <w:rFonts w:ascii="Symbol" w:hAnsi="Symbol"/>
    </w:rPr>
  </w:style>
  <w:style w:type="character" w:customStyle="1" w:styleId="MenuOptions">
    <w:name w:val="Menu Options"/>
    <w:basedOn w:val="DefaultParagraphFont"/>
    <w:rsid w:val="002B6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2BE"/>
    <w:rPr>
      <w:b/>
    </w:rPr>
  </w:style>
  <w:style w:type="character" w:customStyle="1" w:styleId="Underlined">
    <w:name w:val="Underlined"/>
    <w:basedOn w:val="DefaultParagraphFont"/>
    <w:rsid w:val="002B62BE"/>
    <w:rPr>
      <w:u w:val="single"/>
    </w:rPr>
  </w:style>
  <w:style w:type="paragraph" w:customStyle="1" w:styleId="TableBodyTextRight">
    <w:name w:val="Table Body Text Right"/>
    <w:basedOn w:val="TableBodyText"/>
    <w:rsid w:val="002B6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2BE"/>
    <w:rPr>
      <w:sz w:val="18"/>
    </w:rPr>
  </w:style>
  <w:style w:type="paragraph" w:customStyle="1" w:styleId="BodySmallRight">
    <w:name w:val="Body Small Right"/>
    <w:basedOn w:val="BodyTextRight"/>
    <w:rsid w:val="002B62BE"/>
    <w:rPr>
      <w:sz w:val="18"/>
      <w:szCs w:val="18"/>
    </w:rPr>
  </w:style>
  <w:style w:type="paragraph" w:customStyle="1" w:styleId="MarginEdition">
    <w:name w:val="Margin Edition"/>
    <w:basedOn w:val="MarginNote"/>
    <w:rsid w:val="002B6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2BE"/>
    <w:rPr>
      <w:sz w:val="2"/>
      <w:szCs w:val="2"/>
    </w:rPr>
  </w:style>
  <w:style w:type="character" w:customStyle="1" w:styleId="Small">
    <w:name w:val="Small"/>
    <w:basedOn w:val="DefaultParagraphFont"/>
    <w:rsid w:val="002B62BE"/>
    <w:rPr>
      <w:sz w:val="16"/>
    </w:rPr>
  </w:style>
  <w:style w:type="paragraph" w:customStyle="1" w:styleId="WideTable">
    <w:name w:val="Wide Table"/>
    <w:basedOn w:val="Normal"/>
    <w:rsid w:val="002B6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2BE"/>
  </w:style>
  <w:style w:type="paragraph" w:styleId="Quote">
    <w:name w:val="Quote"/>
    <w:basedOn w:val="Heading1"/>
    <w:link w:val="QuoteChar"/>
    <w:qFormat/>
    <w:rsid w:val="002B6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2BE"/>
    <w:pPr>
      <w:pageBreakBefore/>
    </w:pPr>
  </w:style>
  <w:style w:type="paragraph" w:customStyle="1" w:styleId="Border">
    <w:name w:val="Border"/>
    <w:basedOn w:val="Normal"/>
    <w:qFormat/>
    <w:rsid w:val="002B6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2BE"/>
    <w:rPr>
      <w:u w:val="single"/>
    </w:rPr>
  </w:style>
  <w:style w:type="character" w:customStyle="1" w:styleId="BoldandItalics">
    <w:name w:val="Bold and Italics"/>
    <w:qFormat/>
    <w:rsid w:val="002B62BE"/>
    <w:rPr>
      <w:b/>
      <w:i/>
      <w:u w:val="none"/>
    </w:rPr>
  </w:style>
  <w:style w:type="paragraph" w:styleId="BalloonText">
    <w:name w:val="Balloon Text"/>
    <w:basedOn w:val="Normal"/>
    <w:link w:val="BalloonTextChar"/>
    <w:rsid w:val="002B6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2BE"/>
    <w:pPr>
      <w:spacing w:before="0" w:after="0"/>
    </w:pPr>
  </w:style>
  <w:style w:type="paragraph" w:customStyle="1" w:styleId="BodyTextBold">
    <w:name w:val="Body Text Bold"/>
    <w:basedOn w:val="BodyText"/>
    <w:qFormat/>
    <w:rsid w:val="002B62BE"/>
    <w:rPr>
      <w:b/>
    </w:rPr>
  </w:style>
  <w:style w:type="character" w:styleId="Hyperlink">
    <w:name w:val="Hyperlink"/>
    <w:basedOn w:val="DefaultParagraphFont"/>
    <w:uiPriority w:val="99"/>
    <w:unhideWhenUsed/>
    <w:rsid w:val="008B1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5163</Characters>
  <Application>Microsoft Office Word</Application>
  <DocSecurity>0</DocSecurity>
  <Lines>109</Lines>
  <Paragraphs>78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PMAWHS511 Manage emergency incidents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