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5D1" w:rsidP="00F61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PMAWHS502 Contribute to safety case</w:t>
      </w:r>
      <w:r>
        <w:fldChar w:fldCharType="end"/>
      </w:r>
    </w:p>
    <w:p w:rsidR="00F615D1" w:rsidP="00F615D1">
      <w:pPr>
        <w:pStyle w:val="Version"/>
        <w:sectPr w:rsidSect="007B1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1D4" w:rsidP="007B11D4">
      <w:pPr>
        <w:pStyle w:val="SuperHeading"/>
      </w:pPr>
      <w:r w:rsidRPr="007B11D4">
        <w:t>Assessment Requirements for PMAWHS502 Contribute to safety case</w:t>
      </w:r>
    </w:p>
    <w:p w:rsidR="00000000" w:rsidRPr="007B11D4" w:rsidP="007B11D4">
      <w:pPr>
        <w:pStyle w:val="Heading1"/>
      </w:pPr>
      <w:bookmarkStart w:id="1" w:name="O_909471"/>
      <w:bookmarkEnd w:id="1"/>
      <w:r w:rsidRPr="007B11D4">
        <w:t>Modification History</w:t>
      </w:r>
    </w:p>
    <w:p w:rsidR="00000000" w:rsidRPr="007B11D4" w:rsidP="00F615D1">
      <w:pPr>
        <w:pStyle w:val="BodyText"/>
      </w:pPr>
      <w:r w:rsidRPr="007B11D4">
        <w:t>Release 1. Supersedes and is equivalent to PMAOHS502B Contribute to safety case</w:t>
      </w:r>
    </w:p>
    <w:p w:rsidR="00000000" w:rsidRPr="007B11D4" w:rsidP="007B11D4">
      <w:pPr>
        <w:pStyle w:val="Heading1"/>
      </w:pPr>
      <w:bookmarkStart w:id="2" w:name="O_909474"/>
      <w:bookmarkEnd w:id="2"/>
      <w:r w:rsidRPr="007B11D4">
        <w:t>Performance Evidence</w:t>
      </w:r>
    </w:p>
    <w:p w:rsidR="00000000" w:rsidRPr="007B11D4" w:rsidP="007B11D4">
      <w:pPr>
        <w:pStyle w:val="ListBullet"/>
      </w:pPr>
      <w:r w:rsidRPr="007B11D4">
        <w:t>Evidence requi</w:t>
      </w:r>
      <w:r w:rsidRPr="007B11D4">
        <w:t>red to demonstrate competence in this unit must be relevant to and satisfy the requirements of the elements and performance criteria, and demonstrate the ability to:</w:t>
      </w:r>
    </w:p>
    <w:p w:rsidR="00000000" w:rsidRPr="007B11D4" w:rsidP="007B11D4">
      <w:pPr>
        <w:pStyle w:val="ListBullet"/>
      </w:pPr>
      <w:r w:rsidRPr="007B11D4">
        <w:t xml:space="preserve">identify hazards and hazard controls </w:t>
      </w:r>
    </w:p>
    <w:p w:rsidR="00000000" w:rsidRPr="007B11D4" w:rsidP="007B11D4">
      <w:pPr>
        <w:pStyle w:val="ListBullet"/>
      </w:pPr>
      <w:r w:rsidRPr="007B11D4">
        <w:t xml:space="preserve">communicate with internal and external stakeholders </w:t>
      </w:r>
      <w:r w:rsidRPr="007B11D4">
        <w:t xml:space="preserve">to: </w:t>
      </w:r>
    </w:p>
    <w:p w:rsidR="00000000" w:rsidRPr="007B11D4" w:rsidP="007B11D4">
      <w:pPr>
        <w:pStyle w:val="ListBullet2"/>
      </w:pPr>
      <w:r w:rsidRPr="007B11D4">
        <w:t xml:space="preserve">consult on and verify issues </w:t>
      </w:r>
    </w:p>
    <w:p w:rsidR="00000000" w:rsidRPr="007B11D4" w:rsidP="007B11D4">
      <w:pPr>
        <w:pStyle w:val="ListBullet2"/>
      </w:pPr>
      <w:r w:rsidRPr="007B11D4">
        <w:t>validate the content of the safety case</w:t>
      </w:r>
    </w:p>
    <w:p w:rsidR="00000000" w:rsidRPr="007B11D4" w:rsidP="007B11D4">
      <w:pPr>
        <w:pStyle w:val="ListBullet2"/>
      </w:pPr>
      <w:r w:rsidRPr="007B11D4">
        <w:t>liaise with the authority</w:t>
      </w:r>
    </w:p>
    <w:p w:rsidR="00000000" w:rsidRPr="007B11D4" w:rsidP="007B11D4">
      <w:pPr>
        <w:pStyle w:val="ListBullet2"/>
      </w:pPr>
      <w:r w:rsidRPr="007B11D4">
        <w:t xml:space="preserve">report on the response from the authority  </w:t>
      </w:r>
    </w:p>
    <w:p w:rsidR="00000000" w:rsidRPr="007B11D4" w:rsidP="007B11D4">
      <w:pPr>
        <w:pStyle w:val="ListBullet"/>
      </w:pPr>
      <w:r w:rsidRPr="007B11D4">
        <w:t>interpret data and consolidate findings</w:t>
      </w:r>
    </w:p>
    <w:p w:rsidR="00000000" w:rsidRPr="007B11D4" w:rsidP="007B11D4">
      <w:pPr>
        <w:pStyle w:val="ListBullet"/>
      </w:pPr>
      <w:r w:rsidRPr="007B11D4">
        <w:t>interpret and apply legislative and regulatory requirements to the de</w:t>
      </w:r>
      <w:r w:rsidRPr="007B11D4">
        <w:t>velopment and submission of the safety case</w:t>
      </w:r>
    </w:p>
    <w:p w:rsidR="00000000" w:rsidRPr="007B11D4" w:rsidP="007B11D4">
      <w:pPr>
        <w:pStyle w:val="ListBullet"/>
      </w:pPr>
      <w:r w:rsidRPr="007B11D4">
        <w:t>write the safety case, or relevant portions of it.</w:t>
      </w:r>
    </w:p>
    <w:p w:rsidR="00000000" w:rsidRPr="007B11D4" w:rsidP="007B11D4">
      <w:pPr>
        <w:pStyle w:val="AllowPageBreak"/>
      </w:pPr>
    </w:p>
    <w:p w:rsidR="00000000" w:rsidRPr="007B11D4" w:rsidP="007B11D4">
      <w:pPr>
        <w:pStyle w:val="Heading1"/>
      </w:pPr>
      <w:bookmarkStart w:id="3" w:name="O_909473"/>
      <w:bookmarkEnd w:id="3"/>
      <w:r w:rsidRPr="007B11D4">
        <w:t>Knowledge Evidence</w:t>
      </w:r>
    </w:p>
    <w:p w:rsidR="00000000" w:rsidRPr="007B11D4" w:rsidP="00F615D1">
      <w:pPr>
        <w:pStyle w:val="BodyText"/>
      </w:pPr>
      <w:r w:rsidRPr="007B11D4">
        <w:t>Evidence must be provided that demonstrates knowledge of:</w:t>
      </w:r>
    </w:p>
    <w:p w:rsidR="00000000" w:rsidRPr="007B11D4" w:rsidP="007B11D4">
      <w:pPr>
        <w:pStyle w:val="ListBullet"/>
      </w:pPr>
      <w:r w:rsidRPr="007B11D4">
        <w:t>organisational procedures and systems and how they relate to the safety case, including those covering:</w:t>
      </w:r>
    </w:p>
    <w:p w:rsidR="00000000" w:rsidRPr="007B11D4" w:rsidP="007B11D4">
      <w:pPr>
        <w:pStyle w:val="ListBullet2"/>
      </w:pPr>
      <w:r w:rsidRPr="007B11D4">
        <w:t>work permit systems</w:t>
      </w:r>
    </w:p>
    <w:p w:rsidR="00000000" w:rsidRPr="007B11D4" w:rsidP="007B11D4">
      <w:pPr>
        <w:pStyle w:val="ListBullet2"/>
      </w:pPr>
      <w:r w:rsidRPr="007B11D4">
        <w:t>safety, hazards and hazard control</w:t>
      </w:r>
    </w:p>
    <w:p w:rsidR="00000000" w:rsidRPr="007B11D4" w:rsidP="007B11D4">
      <w:pPr>
        <w:pStyle w:val="ListBullet2"/>
      </w:pPr>
      <w:r w:rsidRPr="007B11D4">
        <w:t xml:space="preserve">incident, fire and accident </w:t>
      </w:r>
    </w:p>
    <w:p w:rsidR="00000000" w:rsidRPr="007B11D4" w:rsidP="007B11D4">
      <w:pPr>
        <w:pStyle w:val="ListBullet2"/>
      </w:pPr>
      <w:r w:rsidRPr="007B11D4">
        <w:t>environmental protection</w:t>
      </w:r>
    </w:p>
    <w:p w:rsidR="00000000" w:rsidRPr="007B11D4" w:rsidP="007B11D4">
      <w:pPr>
        <w:pStyle w:val="ListBullet2"/>
      </w:pPr>
      <w:r w:rsidRPr="007B11D4">
        <w:t>risk assessment/risk management</w:t>
      </w:r>
    </w:p>
    <w:p w:rsidR="00000000" w:rsidRPr="007B11D4" w:rsidP="007B11D4">
      <w:pPr>
        <w:pStyle w:val="ListBullet2"/>
      </w:pPr>
      <w:r w:rsidRPr="007B11D4">
        <w:t>record kee</w:t>
      </w:r>
      <w:r w:rsidRPr="007B11D4">
        <w:t>ping</w:t>
      </w:r>
    </w:p>
    <w:p w:rsidR="00000000" w:rsidRPr="007B11D4" w:rsidP="007B11D4">
      <w:pPr>
        <w:pStyle w:val="ListBullet2"/>
      </w:pPr>
      <w:r w:rsidRPr="007B11D4">
        <w:t>purchasing of supplies and equipment</w:t>
      </w:r>
    </w:p>
    <w:p w:rsidR="00000000" w:rsidRPr="007B11D4" w:rsidP="007B11D4">
      <w:pPr>
        <w:pStyle w:val="ListBullet2"/>
      </w:pPr>
      <w:r w:rsidRPr="007B11D4">
        <w:t>maintenance of plant and equipment</w:t>
      </w:r>
    </w:p>
    <w:p w:rsidR="00000000" w:rsidRPr="007B11D4" w:rsidP="007B11D4">
      <w:pPr>
        <w:pStyle w:val="ListBullet2"/>
      </w:pPr>
      <w:r w:rsidRPr="007B11D4">
        <w:t>training and assignment of staff to safety critical work</w:t>
      </w:r>
    </w:p>
    <w:p w:rsidR="00000000" w:rsidRPr="007B11D4" w:rsidP="007B11D4">
      <w:pPr>
        <w:pStyle w:val="ListBullet"/>
      </w:pPr>
      <w:r w:rsidRPr="007B11D4">
        <w:t xml:space="preserve">requirements set by relevant Acts and/or regulations specific to the state or territory in </w:t>
      </w:r>
      <w:r w:rsidRPr="007B11D4">
        <w:t>which the relevant facility is located</w:t>
      </w:r>
    </w:p>
    <w:p w:rsidR="00000000" w:rsidRPr="007B11D4" w:rsidP="007B11D4">
      <w:pPr>
        <w:pStyle w:val="ListBullet"/>
      </w:pPr>
      <w:r w:rsidRPr="007B11D4">
        <w:t xml:space="preserve">hierarchy of control </w:t>
      </w:r>
    </w:p>
    <w:p w:rsidR="00000000" w:rsidRPr="007B11D4" w:rsidP="007B11D4">
      <w:pPr>
        <w:pStyle w:val="ListBullet"/>
      </w:pPr>
      <w:r w:rsidRPr="007B11D4">
        <w:t>hazard analysis (e.g. hazard and operability study (HAZOP)) and hazard control methodology.</w:t>
      </w:r>
    </w:p>
    <w:p w:rsidR="00000000" w:rsidRPr="007B11D4" w:rsidP="007B11D4">
      <w:pPr>
        <w:pStyle w:val="AllowPageBreak"/>
      </w:pPr>
    </w:p>
    <w:p w:rsidR="00000000" w:rsidRPr="007B11D4" w:rsidP="007B11D4">
      <w:pPr>
        <w:pStyle w:val="Heading1"/>
      </w:pPr>
      <w:bookmarkStart w:id="4" w:name="O_909472"/>
      <w:bookmarkEnd w:id="4"/>
      <w:r w:rsidRPr="007B11D4">
        <w:t>Assessment Conditions</w:t>
      </w:r>
    </w:p>
    <w:p w:rsidR="00000000" w:rsidRPr="007B11D4" w:rsidP="007B11D4">
      <w:pPr>
        <w:pStyle w:val="ListBullet"/>
      </w:pPr>
      <w:r w:rsidRPr="007B11D4">
        <w:t>The unit should be assessed holistically and the judgement of c</w:t>
      </w:r>
      <w:r w:rsidRPr="007B11D4">
        <w:t xml:space="preserve">ompetence based on a holistic assessment of the evidence. </w:t>
      </w:r>
    </w:p>
    <w:p w:rsidR="00000000" w:rsidRPr="007B11D4" w:rsidP="007B11D4">
      <w:pPr>
        <w:pStyle w:val="ListBullet"/>
      </w:pPr>
      <w:r w:rsidRPr="007B11D4">
        <w:t>The collection of performance evidence is best done from a report and/or folio of evidence drawn from:</w:t>
      </w:r>
    </w:p>
    <w:p w:rsidR="00000000" w:rsidRPr="007B11D4" w:rsidP="007B11D4">
      <w:pPr>
        <w:pStyle w:val="ListBullet2"/>
      </w:pPr>
      <w:r w:rsidRPr="007B11D4">
        <w:t>a single project which provides sufficient evidence of the requirements of all the elements a</w:t>
      </w:r>
      <w:r w:rsidRPr="007B11D4">
        <w:t>nd performance criteria</w:t>
      </w:r>
    </w:p>
    <w:p w:rsidR="00000000" w:rsidRPr="007B11D4" w:rsidP="007B11D4">
      <w:pPr>
        <w:pStyle w:val="ListBullet2"/>
      </w:pPr>
      <w:r w:rsidRPr="007B11D4">
        <w:t>multiple smaller projects which together provide sufficient evidence of the requirements of all the elements and performance criteria</w:t>
      </w:r>
    </w:p>
    <w:p w:rsidR="00000000" w:rsidRPr="007B11D4" w:rsidP="007B11D4">
      <w:pPr>
        <w:pStyle w:val="ListBullet"/>
      </w:pPr>
      <w:r w:rsidRPr="007B11D4">
        <w:t>A third-party report, or similar, may be needed to testify to the work done by the individual, pa</w:t>
      </w:r>
      <w:r w:rsidRPr="007B11D4">
        <w:t>rticularly when the project has been done as part of a project team.</w:t>
      </w:r>
    </w:p>
    <w:p w:rsidR="00000000" w:rsidRPr="007B11D4" w:rsidP="007B11D4">
      <w:pPr>
        <w:pStyle w:val="ListBullet"/>
      </w:pPr>
      <w:r w:rsidRPr="007B11D4">
        <w:t>Assessment should use a real project in an operational workplace, contributing to the initial development of a safety case, or to the major review of an existing safety case.</w:t>
      </w:r>
    </w:p>
    <w:p w:rsidR="00000000" w:rsidRPr="007B11D4" w:rsidP="007B11D4">
      <w:pPr>
        <w:pStyle w:val="ListBullet"/>
      </w:pPr>
      <w:r w:rsidRPr="007B11D4">
        <w:t>Where this i</w:t>
      </w:r>
      <w:r w:rsidRPr="007B11D4">
        <w:t>s not possible or practical, assessment must occur using a sufficiently rigorous simulated environment reflecting realistic operational workplace conditions. This must cover all aspects of workplace performance, including environment, task skills, task man</w:t>
      </w:r>
      <w:r w:rsidRPr="007B11D4">
        <w:t>agement skills, contingency management skills and job role environment skills.</w:t>
      </w:r>
    </w:p>
    <w:p w:rsidR="00000000" w:rsidRPr="007B11D4" w:rsidP="007B11D4">
      <w:pPr>
        <w:pStyle w:val="ListBullet"/>
      </w:pPr>
      <w:r w:rsidRPr="007B11D4">
        <w:t>Simulation may be used for part only of the assessment evidence for this competency.</w:t>
      </w:r>
    </w:p>
    <w:p w:rsidR="00000000" w:rsidRPr="007B11D4" w:rsidP="007B11D4">
      <w:pPr>
        <w:pStyle w:val="ListBullet"/>
      </w:pPr>
      <w:r w:rsidRPr="007B11D4">
        <w:t>Knowledge evidence may be collected concurrently with performance evidence or through an ind</w:t>
      </w:r>
      <w:r w:rsidRPr="007B11D4">
        <w:t>ependent process, such as workbooks, written assessments or interviews (provided a record is kept).</w:t>
      </w:r>
    </w:p>
    <w:p w:rsidR="00000000" w:rsidRPr="007B11D4" w:rsidP="007B11D4">
      <w:pPr>
        <w:pStyle w:val="ListBullet"/>
      </w:pPr>
      <w:r w:rsidRPr="007B11D4">
        <w:t>Assessment processes and techniques must be appropriate to the language, literacy and numeracy requirements of the work being performed and the needs of the candidate.</w:t>
      </w:r>
    </w:p>
    <w:p w:rsidR="00000000" w:rsidRPr="007B11D4" w:rsidP="007B11D4">
      <w:pPr>
        <w:pStyle w:val="ListBullet"/>
      </w:pPr>
      <w:r w:rsidRPr="007B11D4">
        <w:t>Conditions for assessment must include access to all tools, equipment, materials and doc</w:t>
      </w:r>
      <w:r w:rsidRPr="007B11D4">
        <w:t>umentation required, including relevant workplace procedures, product and manufacturing specifications associated with this unit.</w:t>
      </w:r>
    </w:p>
    <w:p w:rsidR="00000000" w:rsidRPr="007B11D4" w:rsidP="007B11D4">
      <w:pPr>
        <w:pStyle w:val="ListBullet"/>
      </w:pPr>
      <w:r w:rsidRPr="007B11D4">
        <w:t>Foundation skills are integral to competent performance of the unit and should not be assessed separately.</w:t>
      </w:r>
    </w:p>
    <w:p w:rsidR="00000000" w:rsidRPr="007B11D4" w:rsidP="007B11D4">
      <w:pPr>
        <w:pStyle w:val="ListBullet"/>
      </w:pPr>
      <w:r w:rsidRPr="007B11D4">
        <w:t>Assessors must sati</w:t>
      </w:r>
      <w:r w:rsidRPr="007B11D4">
        <w:t>sfy the assessor competency requirements that are in place at the time of the assessment as set by the VET regulator.</w:t>
      </w:r>
    </w:p>
    <w:p w:rsidR="00000000" w:rsidRPr="007B11D4" w:rsidP="007B11D4">
      <w:pPr>
        <w:pStyle w:val="ListBullet"/>
      </w:pPr>
      <w:r w:rsidRPr="007B11D4">
        <w:t>In addition, the assessor or anyone acting in subject matter expert role in assessment must demonstrate both technical competency and curr</w:t>
      </w:r>
      <w:r w:rsidRPr="007B11D4">
        <w:t xml:space="preserve">ency. If the assessor cannot demonstrate technical competency and currency they must assess with a subject matter expert who does meet these requirements. </w:t>
      </w:r>
    </w:p>
    <w:p w:rsidR="00000000" w:rsidRPr="007B11D4" w:rsidP="007B11D4">
      <w:pPr>
        <w:pStyle w:val="ListBullet"/>
      </w:pPr>
      <w:r w:rsidRPr="007B11D4">
        <w:t>Technical competence can be demonstrated through one or more of:</w:t>
      </w:r>
    </w:p>
    <w:p w:rsidR="00000000" w:rsidRPr="007B11D4" w:rsidP="007B11D4">
      <w:pPr>
        <w:pStyle w:val="ListBullet2"/>
      </w:pPr>
      <w:r w:rsidRPr="007B11D4">
        <w:t>relevant VET or other qualificatio</w:t>
      </w:r>
      <w:r w:rsidRPr="007B11D4">
        <w:t xml:space="preserve">n/Statement of Attainment </w:t>
      </w:r>
    </w:p>
    <w:p w:rsidR="00000000" w:rsidRPr="007B11D4" w:rsidP="007B11D4">
      <w:pPr>
        <w:pStyle w:val="ListBullet2"/>
      </w:pPr>
      <w:r w:rsidRPr="007B11D4">
        <w:t xml:space="preserve">appropriate workplace experience undertaking the type of work being assessed under routine and non-routine conditions </w:t>
      </w:r>
    </w:p>
    <w:p w:rsidR="00000000" w:rsidRPr="007B11D4" w:rsidP="007B11D4">
      <w:pPr>
        <w:pStyle w:val="ListBullet2"/>
      </w:pPr>
      <w:r w:rsidRPr="007B11D4">
        <w:t>appropriate workplace experience supervising/evaluating the type of work being assessed under routine and non-</w:t>
      </w:r>
      <w:r w:rsidRPr="007B11D4">
        <w:t>routine conditions</w:t>
      </w:r>
    </w:p>
    <w:p w:rsidR="00000000" w:rsidRPr="007B11D4" w:rsidP="007B11D4">
      <w:pPr>
        <w:pStyle w:val="ListBullet"/>
      </w:pPr>
      <w:r w:rsidRPr="007B11D4">
        <w:t>Currency can be demonstrated through one or more of:</w:t>
      </w:r>
    </w:p>
    <w:p w:rsidR="00000000" w:rsidRPr="007B11D4" w:rsidP="007B11D4">
      <w:pPr>
        <w:pStyle w:val="ListBullet2"/>
      </w:pPr>
      <w:r w:rsidRPr="007B11D4">
        <w:t xml:space="preserve">being currently employed undertaking the type of work being assessed </w:t>
      </w:r>
    </w:p>
    <w:p w:rsidR="00000000" w:rsidRPr="007B11D4" w:rsidP="007B11D4">
      <w:pPr>
        <w:pStyle w:val="ListBullet2"/>
      </w:pPr>
      <w:r w:rsidRPr="007B11D4">
        <w:t>being employed by the organisation undertaking the type of work being assessed and having maintained currency in</w:t>
      </w:r>
      <w:r w:rsidRPr="007B11D4">
        <w:t xml:space="preserve"> accordance with that organisation’s policies and procedures </w:t>
      </w:r>
    </w:p>
    <w:p w:rsidR="00000000" w:rsidRPr="007B11D4" w:rsidP="007B11D4">
      <w:pPr>
        <w:pStyle w:val="ListBullet2"/>
      </w:pPr>
      <w:r w:rsidRPr="007B11D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B11D4" w:rsidP="007B11D4">
      <w:pPr>
        <w:pStyle w:val="ListBullet2"/>
      </w:pPr>
      <w:r w:rsidRPr="007B11D4">
        <w:t>conducting on-t</w:t>
      </w:r>
      <w:r w:rsidRPr="007B11D4">
        <w:t xml:space="preserve">he-job training/assessments of the type of work being assessed </w:t>
      </w:r>
    </w:p>
    <w:p w:rsidR="00000000" w:rsidRPr="007B11D4" w:rsidP="007B11D4">
      <w:pPr>
        <w:pStyle w:val="ListBullet2"/>
      </w:pPr>
      <w:r w:rsidRPr="007B11D4">
        <w:t>being an active member of a relevant professional body and participating in activities relevant to the assessment of this type of work.</w:t>
      </w:r>
    </w:p>
    <w:p w:rsidR="00000000" w:rsidRPr="007B11D4" w:rsidP="007B11D4">
      <w:pPr>
        <w:pStyle w:val="AllowPageBreak"/>
      </w:pPr>
    </w:p>
    <w:p w:rsidR="00000000" w:rsidRPr="007B11D4" w:rsidP="007B11D4">
      <w:pPr>
        <w:pStyle w:val="Heading1"/>
      </w:pPr>
      <w:bookmarkStart w:id="5" w:name="O_909470"/>
      <w:bookmarkEnd w:id="5"/>
      <w:r w:rsidRPr="007B11D4">
        <w:t>Links</w:t>
      </w:r>
    </w:p>
    <w:p w:rsidR="00000000" w:rsidRPr="007B11D4" w:rsidP="00F615D1">
      <w:pPr>
        <w:pStyle w:val="BodyText"/>
      </w:pPr>
      <w:r w:rsidRPr="007B1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60D3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B11D4" w:rsidP="007B11D4"/>
    <w:sectPr w:rsidSect="007B1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D4" w:rsidRPr="00F615D1" w:rsidP="00F61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D1" w:rsidP="007B1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5D1" w:rsidP="007B1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15D1" w:rsidP="007B1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1D4" w:rsidRPr="00F615D1" w:rsidP="00F61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D1" w:rsidRPr="002D2AF8" w:rsidP="007B1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PMAWHS502 Contribute to safety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F615D1" w:rsidP="007B1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4C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C9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00F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1D4"/>
  </w:style>
  <w:style w:type="character" w:customStyle="1" w:styleId="Heading1Char">
    <w:name w:val="Heading 1 Char"/>
    <w:basedOn w:val="DefaultParagraphFont"/>
    <w:link w:val="Heading1"/>
    <w:rsid w:val="007B1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1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1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1D4"/>
    <w:rPr>
      <w:b/>
      <w:spacing w:val="0"/>
    </w:rPr>
  </w:style>
  <w:style w:type="paragraph" w:customStyle="1" w:styleId="SuperTitle">
    <w:name w:val="SuperTitle"/>
    <w:basedOn w:val="Title"/>
    <w:rsid w:val="007B1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1D4"/>
    <w:rPr>
      <w:i/>
    </w:rPr>
  </w:style>
  <w:style w:type="paragraph" w:styleId="Caption">
    <w:name w:val="caption"/>
    <w:basedOn w:val="BodyText"/>
    <w:next w:val="Normal"/>
    <w:qFormat/>
    <w:rsid w:val="007B1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1D4"/>
  </w:style>
  <w:style w:type="paragraph" w:styleId="TableofFigures">
    <w:name w:val="table of figures"/>
    <w:basedOn w:val="Normal"/>
    <w:next w:val="Normal"/>
    <w:semiHidden/>
    <w:rsid w:val="007B1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1D4"/>
    <w:rPr>
      <w:rFonts w:ascii="Wingdings" w:hAnsi="Wingdings"/>
    </w:rPr>
  </w:style>
  <w:style w:type="paragraph" w:customStyle="1" w:styleId="TableHeading">
    <w:name w:val="Table Heading"/>
    <w:basedOn w:val="HeadingBase"/>
    <w:rsid w:val="007B1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1D4"/>
    <w:rPr>
      <w:color w:val="0033CC"/>
      <w:u w:val="none"/>
    </w:rPr>
  </w:style>
  <w:style w:type="paragraph" w:customStyle="1" w:styleId="BodyTextRight">
    <w:name w:val="Body Text Right"/>
    <w:basedOn w:val="BodyText"/>
    <w:rsid w:val="007B1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1D4"/>
    <w:rPr>
      <w:sz w:val="32"/>
    </w:rPr>
  </w:style>
  <w:style w:type="paragraph" w:customStyle="1" w:styleId="HeadingProcedure">
    <w:name w:val="Heading Procedure"/>
    <w:basedOn w:val="HeadingBase"/>
    <w:next w:val="Normal"/>
    <w:rsid w:val="007B1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1D4"/>
    <w:pPr>
      <w:spacing w:before="60" w:after="60"/>
    </w:pPr>
  </w:style>
  <w:style w:type="paragraph" w:styleId="ListContinue">
    <w:name w:val="List Continue"/>
    <w:basedOn w:val="List"/>
    <w:rsid w:val="007B11D4"/>
    <w:pPr>
      <w:ind w:firstLine="0"/>
    </w:pPr>
  </w:style>
  <w:style w:type="paragraph" w:customStyle="1" w:styleId="ListNote">
    <w:name w:val="List Note"/>
    <w:basedOn w:val="List"/>
    <w:rsid w:val="007B1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1D4"/>
    <w:rPr>
      <w:rFonts w:ascii="Courier New" w:hAnsi="Courier New"/>
    </w:rPr>
  </w:style>
  <w:style w:type="paragraph" w:customStyle="1" w:styleId="NoteBullet">
    <w:name w:val="Note Bullet"/>
    <w:basedOn w:val="Note"/>
    <w:rsid w:val="007B1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1D4"/>
    <w:rPr>
      <w:b/>
      <w:smallCaps/>
    </w:rPr>
  </w:style>
  <w:style w:type="paragraph" w:customStyle="1" w:styleId="TableListNumber">
    <w:name w:val="Table List Number"/>
    <w:basedOn w:val="ListNumber"/>
    <w:rsid w:val="007B1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1D4"/>
    <w:pPr>
      <w:numPr>
        <w:numId w:val="9"/>
      </w:numPr>
    </w:pPr>
  </w:style>
  <w:style w:type="paragraph" w:customStyle="1" w:styleId="ListAlpha2">
    <w:name w:val="List Alpha 2"/>
    <w:basedOn w:val="List2"/>
    <w:rsid w:val="007B11D4"/>
    <w:pPr>
      <w:numPr>
        <w:numId w:val="8"/>
      </w:numPr>
    </w:pPr>
  </w:style>
  <w:style w:type="paragraph" w:styleId="List2">
    <w:name w:val="List 2"/>
    <w:basedOn w:val="BodyText"/>
    <w:rsid w:val="007B1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1D4"/>
    <w:pPr>
      <w:numPr>
        <w:numId w:val="4"/>
      </w:numPr>
    </w:pPr>
  </w:style>
  <w:style w:type="paragraph" w:styleId="ListContinue2">
    <w:name w:val="List Continue 2"/>
    <w:basedOn w:val="List2"/>
    <w:rsid w:val="007B11D4"/>
    <w:pPr>
      <w:ind w:firstLine="0"/>
    </w:pPr>
  </w:style>
  <w:style w:type="paragraph" w:styleId="ListContinue3">
    <w:name w:val="List Continue 3"/>
    <w:basedOn w:val="List3"/>
    <w:rsid w:val="007B11D4"/>
    <w:pPr>
      <w:ind w:left="1021" w:firstLine="0"/>
    </w:pPr>
  </w:style>
  <w:style w:type="paragraph" w:styleId="ListContinue4">
    <w:name w:val="List Continue 4"/>
    <w:basedOn w:val="List4"/>
    <w:rsid w:val="007B11D4"/>
    <w:pPr>
      <w:ind w:firstLine="0"/>
    </w:pPr>
  </w:style>
  <w:style w:type="paragraph" w:styleId="ListContinue5">
    <w:name w:val="List Continue 5"/>
    <w:basedOn w:val="List5"/>
    <w:rsid w:val="007B11D4"/>
    <w:pPr>
      <w:ind w:firstLine="0"/>
    </w:pPr>
  </w:style>
  <w:style w:type="paragraph" w:styleId="ListNumber3">
    <w:name w:val="List Number 3"/>
    <w:basedOn w:val="List3"/>
    <w:rsid w:val="007B11D4"/>
    <w:pPr>
      <w:numPr>
        <w:numId w:val="5"/>
      </w:numPr>
    </w:pPr>
  </w:style>
  <w:style w:type="paragraph" w:styleId="ListNumber4">
    <w:name w:val="List Number 4"/>
    <w:basedOn w:val="List4"/>
    <w:rsid w:val="007B11D4"/>
    <w:pPr>
      <w:numPr>
        <w:numId w:val="6"/>
      </w:numPr>
    </w:pPr>
  </w:style>
  <w:style w:type="paragraph" w:styleId="ListNumber5">
    <w:name w:val="List Number 5"/>
    <w:basedOn w:val="List5"/>
    <w:rsid w:val="007B11D4"/>
    <w:pPr>
      <w:numPr>
        <w:numId w:val="7"/>
      </w:numPr>
    </w:pPr>
  </w:style>
  <w:style w:type="paragraph" w:styleId="BlockText">
    <w:name w:val="Block Text"/>
    <w:basedOn w:val="Normal"/>
    <w:rsid w:val="007B1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1D4"/>
    <w:rPr>
      <w:sz w:val="16"/>
      <w:vertAlign w:val="superscript"/>
    </w:rPr>
  </w:style>
  <w:style w:type="character" w:customStyle="1" w:styleId="Symbols">
    <w:name w:val="Symbols"/>
    <w:basedOn w:val="DefaultParagraphFont"/>
    <w:rsid w:val="007B11D4"/>
    <w:rPr>
      <w:rFonts w:ascii="Symbol" w:hAnsi="Symbol"/>
    </w:rPr>
  </w:style>
  <w:style w:type="character" w:customStyle="1" w:styleId="MenuOptions">
    <w:name w:val="Menu Options"/>
    <w:basedOn w:val="DefaultParagraphFont"/>
    <w:rsid w:val="007B1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1D4"/>
    <w:rPr>
      <w:b/>
    </w:rPr>
  </w:style>
  <w:style w:type="character" w:customStyle="1" w:styleId="Underlined">
    <w:name w:val="Underlined"/>
    <w:basedOn w:val="DefaultParagraphFont"/>
    <w:rsid w:val="007B11D4"/>
    <w:rPr>
      <w:u w:val="single"/>
    </w:rPr>
  </w:style>
  <w:style w:type="paragraph" w:customStyle="1" w:styleId="TableBodyTextRight">
    <w:name w:val="Table Body Text Right"/>
    <w:basedOn w:val="TableBodyText"/>
    <w:rsid w:val="007B1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1D4"/>
    <w:rPr>
      <w:sz w:val="18"/>
    </w:rPr>
  </w:style>
  <w:style w:type="paragraph" w:customStyle="1" w:styleId="BodySmallRight">
    <w:name w:val="Body Small Right"/>
    <w:basedOn w:val="BodyTextRight"/>
    <w:rsid w:val="007B11D4"/>
    <w:rPr>
      <w:sz w:val="18"/>
      <w:szCs w:val="18"/>
    </w:rPr>
  </w:style>
  <w:style w:type="paragraph" w:customStyle="1" w:styleId="MarginEdition">
    <w:name w:val="Margin Edition"/>
    <w:basedOn w:val="MarginNote"/>
    <w:rsid w:val="007B1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1D4"/>
    <w:rPr>
      <w:sz w:val="2"/>
      <w:szCs w:val="2"/>
    </w:rPr>
  </w:style>
  <w:style w:type="character" w:customStyle="1" w:styleId="Small">
    <w:name w:val="Small"/>
    <w:basedOn w:val="DefaultParagraphFont"/>
    <w:rsid w:val="007B11D4"/>
    <w:rPr>
      <w:sz w:val="16"/>
    </w:rPr>
  </w:style>
  <w:style w:type="paragraph" w:customStyle="1" w:styleId="WideTable">
    <w:name w:val="Wide Table"/>
    <w:basedOn w:val="Normal"/>
    <w:rsid w:val="007B1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1D4"/>
  </w:style>
  <w:style w:type="paragraph" w:styleId="Quote">
    <w:name w:val="Quote"/>
    <w:basedOn w:val="Heading1"/>
    <w:link w:val="QuoteChar"/>
    <w:qFormat/>
    <w:rsid w:val="007B1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1D4"/>
    <w:pPr>
      <w:pageBreakBefore/>
    </w:pPr>
  </w:style>
  <w:style w:type="paragraph" w:customStyle="1" w:styleId="Border">
    <w:name w:val="Border"/>
    <w:basedOn w:val="Normal"/>
    <w:qFormat/>
    <w:rsid w:val="007B1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1D4"/>
    <w:rPr>
      <w:u w:val="single"/>
    </w:rPr>
  </w:style>
  <w:style w:type="character" w:customStyle="1" w:styleId="BoldandItalics">
    <w:name w:val="Bold and Italics"/>
    <w:qFormat/>
    <w:rsid w:val="007B11D4"/>
    <w:rPr>
      <w:b/>
      <w:i/>
      <w:u w:val="none"/>
    </w:rPr>
  </w:style>
  <w:style w:type="paragraph" w:styleId="BalloonText">
    <w:name w:val="Balloon Text"/>
    <w:basedOn w:val="Normal"/>
    <w:link w:val="BalloonTextChar"/>
    <w:rsid w:val="007B1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1D4"/>
    <w:pPr>
      <w:spacing w:before="0" w:after="0"/>
    </w:pPr>
  </w:style>
  <w:style w:type="paragraph" w:customStyle="1" w:styleId="BodyTextBold">
    <w:name w:val="Body Text Bold"/>
    <w:basedOn w:val="BodyText"/>
    <w:qFormat/>
    <w:rsid w:val="007B11D4"/>
    <w:rPr>
      <w:b/>
    </w:rPr>
  </w:style>
  <w:style w:type="character" w:styleId="Hyperlink">
    <w:name w:val="Hyperlink"/>
    <w:basedOn w:val="DefaultParagraphFont"/>
    <w:uiPriority w:val="99"/>
    <w:unhideWhenUsed/>
    <w:rsid w:val="00F61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4618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PMAWHS502 Contribute to safety case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