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69F" w:rsidP="0065569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PMAWHS311 Lead emergency teams</w:t>
      </w:r>
      <w:r>
        <w:fldChar w:fldCharType="end"/>
      </w:r>
    </w:p>
    <w:p w:rsidR="0065569F" w:rsidP="0065569F">
      <w:pPr>
        <w:pStyle w:val="Version"/>
        <w:sectPr w:rsidSect="00603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B9C" w:rsidP="00603B9C">
      <w:pPr>
        <w:pStyle w:val="SuperHeading"/>
      </w:pPr>
      <w:r w:rsidRPr="00603B9C">
        <w:t>Assessment Requirements for PMAWHS311 Lead emergency teams</w:t>
      </w:r>
    </w:p>
    <w:p w:rsidR="00000000" w:rsidRPr="00603B9C" w:rsidP="00603B9C">
      <w:pPr>
        <w:pStyle w:val="Heading1"/>
      </w:pPr>
      <w:bookmarkStart w:id="1" w:name="O_909376"/>
      <w:bookmarkEnd w:id="1"/>
      <w:r w:rsidRPr="00603B9C">
        <w:t>Modification History</w:t>
      </w:r>
    </w:p>
    <w:p w:rsidR="00000000" w:rsidRPr="00603B9C" w:rsidP="0065569F">
      <w:pPr>
        <w:pStyle w:val="BodyText"/>
      </w:pPr>
      <w:r w:rsidRPr="00603B9C">
        <w:t>Release 1. Supersedes and is equivalent to PMAOHS311B Lead emergency teams</w:t>
      </w:r>
    </w:p>
    <w:p w:rsidR="00000000" w:rsidRPr="00603B9C" w:rsidP="00603B9C">
      <w:pPr>
        <w:pStyle w:val="Heading1"/>
      </w:pPr>
      <w:bookmarkStart w:id="2" w:name="O_909379"/>
      <w:bookmarkEnd w:id="2"/>
      <w:r w:rsidRPr="00603B9C">
        <w:t>Performance Evidence</w:t>
      </w:r>
    </w:p>
    <w:p w:rsidR="00000000" w:rsidRPr="00603B9C" w:rsidP="0065569F">
      <w:pPr>
        <w:pStyle w:val="BodyText"/>
      </w:pPr>
      <w:r w:rsidRPr="00603B9C">
        <w:t xml:space="preserve">Evidence required to demonstrate competence in this unit must be relevant to and satisfy the requirements </w:t>
      </w:r>
      <w:r w:rsidRPr="00603B9C">
        <w:t>of the elements and performance criteria, and include the ability to:</w:t>
      </w:r>
    </w:p>
    <w:p w:rsidR="00000000" w:rsidRPr="00603B9C" w:rsidP="00603B9C">
      <w:pPr>
        <w:pStyle w:val="ListBullet"/>
      </w:pPr>
      <w:r w:rsidRPr="00603B9C">
        <w:t>communicate clearly and unambiguously with team members, management and other personnel under stress</w:t>
      </w:r>
    </w:p>
    <w:p w:rsidR="00000000" w:rsidRPr="00603B9C" w:rsidP="00603B9C">
      <w:pPr>
        <w:pStyle w:val="ListBullet"/>
      </w:pPr>
      <w:r w:rsidRPr="00603B9C">
        <w:t>lead and manage/supervise team members in emergency situations</w:t>
      </w:r>
    </w:p>
    <w:p w:rsidR="00000000" w:rsidRPr="00603B9C" w:rsidP="00603B9C">
      <w:pPr>
        <w:pStyle w:val="ListBullet"/>
      </w:pPr>
      <w:r w:rsidRPr="00603B9C">
        <w:t>analyse risk, allocat</w:t>
      </w:r>
      <w:r w:rsidRPr="00603B9C">
        <w:t>e resources and prioritise activities</w:t>
      </w:r>
    </w:p>
    <w:p w:rsidR="00000000" w:rsidRPr="00603B9C" w:rsidP="00603B9C">
      <w:pPr>
        <w:pStyle w:val="ListBullet"/>
      </w:pPr>
      <w:r w:rsidRPr="00603B9C">
        <w:t xml:space="preserve">select and use appropriate control/fire-fighting media and rescue equipment  </w:t>
      </w:r>
    </w:p>
    <w:p w:rsidR="00000000" w:rsidRPr="00603B9C" w:rsidP="00603B9C">
      <w:pPr>
        <w:pStyle w:val="ListBullet"/>
      </w:pPr>
      <w:r w:rsidRPr="00603B9C">
        <w:t>interpret information about changing conditions, hazards and individuals’ needs and make prompt decisions about appropriate action and alloc</w:t>
      </w:r>
      <w:r w:rsidRPr="00603B9C">
        <w:t>ation of resources</w:t>
      </w:r>
    </w:p>
    <w:p w:rsidR="00000000" w:rsidRPr="00603B9C" w:rsidP="00603B9C">
      <w:pPr>
        <w:pStyle w:val="ListBullet"/>
      </w:pPr>
      <w:r w:rsidRPr="00603B9C">
        <w:t>read and interpret procedures.</w:t>
      </w:r>
    </w:p>
    <w:p w:rsidR="00000000" w:rsidRPr="00603B9C" w:rsidP="00603B9C">
      <w:pPr>
        <w:pStyle w:val="AllowPageBreak"/>
      </w:pPr>
    </w:p>
    <w:p w:rsidR="00000000" w:rsidRPr="00603B9C" w:rsidP="00603B9C">
      <w:pPr>
        <w:pStyle w:val="Heading1"/>
      </w:pPr>
      <w:bookmarkStart w:id="3" w:name="O_909378"/>
      <w:bookmarkEnd w:id="3"/>
      <w:r w:rsidRPr="00603B9C">
        <w:t>Knowledge Evidence</w:t>
      </w:r>
    </w:p>
    <w:p w:rsidR="00000000" w:rsidRPr="00603B9C" w:rsidP="0065569F">
      <w:pPr>
        <w:pStyle w:val="BodyText"/>
      </w:pPr>
      <w:r w:rsidRPr="00603B9C">
        <w:t>Evidence must be provided that demonstrates knowledge of:</w:t>
      </w:r>
    </w:p>
    <w:p w:rsidR="00000000" w:rsidRPr="00603B9C" w:rsidP="00603B9C">
      <w:pPr>
        <w:pStyle w:val="ListBullet"/>
      </w:pPr>
      <w:r w:rsidRPr="00603B9C">
        <w:t>organisational procedures, including those covering:</w:t>
      </w:r>
    </w:p>
    <w:p w:rsidR="00000000" w:rsidRPr="00603B9C" w:rsidP="00603B9C">
      <w:pPr>
        <w:pStyle w:val="ListBullet2"/>
      </w:pPr>
      <w:r w:rsidRPr="00603B9C">
        <w:t>safety, hazards and hazard control</w:t>
      </w:r>
    </w:p>
    <w:p w:rsidR="00000000" w:rsidRPr="00603B9C" w:rsidP="00603B9C">
      <w:pPr>
        <w:pStyle w:val="ListBullet2"/>
      </w:pPr>
      <w:r w:rsidRPr="00603B9C">
        <w:t xml:space="preserve">incident, fire and accident </w:t>
      </w:r>
    </w:p>
    <w:p w:rsidR="00000000" w:rsidRPr="00603B9C" w:rsidP="00603B9C">
      <w:pPr>
        <w:pStyle w:val="ListBullet2"/>
      </w:pPr>
      <w:r w:rsidRPr="00603B9C">
        <w:t>environmental protection</w:t>
      </w:r>
    </w:p>
    <w:p w:rsidR="00000000" w:rsidRPr="00603B9C" w:rsidP="00603B9C">
      <w:pPr>
        <w:pStyle w:val="ListBullet2"/>
      </w:pPr>
      <w:r w:rsidRPr="00603B9C">
        <w:t>relevant facility emergency management and safety systems</w:t>
      </w:r>
    </w:p>
    <w:p w:rsidR="00000000" w:rsidRPr="00603B9C" w:rsidP="00603B9C">
      <w:pPr>
        <w:pStyle w:val="ListBullet2"/>
      </w:pPr>
      <w:r w:rsidRPr="00603B9C">
        <w:t>emergency communication systems</w:t>
      </w:r>
    </w:p>
    <w:p w:rsidR="00000000" w:rsidRPr="00603B9C" w:rsidP="00603B9C">
      <w:pPr>
        <w:pStyle w:val="ListBullet2"/>
      </w:pPr>
      <w:r w:rsidRPr="00603B9C">
        <w:t>emergency response plans</w:t>
      </w:r>
    </w:p>
    <w:p w:rsidR="00000000" w:rsidRPr="00603B9C" w:rsidP="00603B9C">
      <w:pPr>
        <w:pStyle w:val="ListBullet"/>
      </w:pPr>
      <w:r w:rsidRPr="00603B9C">
        <w:t>fire chemistry, fire characteristics and/or chemical hazards</w:t>
      </w:r>
    </w:p>
    <w:p w:rsidR="00000000" w:rsidRPr="00603B9C" w:rsidP="00603B9C">
      <w:pPr>
        <w:pStyle w:val="ListBullet"/>
      </w:pPr>
      <w:r w:rsidRPr="00603B9C">
        <w:t>location and availability</w:t>
      </w:r>
      <w:r w:rsidRPr="00603B9C">
        <w:t xml:space="preserve"> of response equipment</w:t>
      </w:r>
    </w:p>
    <w:p w:rsidR="00000000" w:rsidRPr="00603B9C" w:rsidP="00603B9C">
      <w:pPr>
        <w:pStyle w:val="ListBullet"/>
      </w:pPr>
      <w:r w:rsidRPr="00603B9C">
        <w:t xml:space="preserve">types and application of personal protective equipment (PPE) and breathing apparatus </w:t>
      </w:r>
    </w:p>
    <w:p w:rsidR="00000000" w:rsidRPr="00603B9C" w:rsidP="00603B9C">
      <w:pPr>
        <w:pStyle w:val="ListBullet"/>
      </w:pPr>
      <w:r w:rsidRPr="00603B9C">
        <w:t>types and application of fire-fighting/emergency response and containment media</w:t>
      </w:r>
    </w:p>
    <w:p w:rsidR="00000000" w:rsidRPr="00603B9C" w:rsidP="00603B9C">
      <w:pPr>
        <w:pStyle w:val="ListBullet"/>
      </w:pPr>
      <w:r w:rsidRPr="00603B9C">
        <w:t>hazard identification, assessment and control of risk</w:t>
      </w:r>
    </w:p>
    <w:p w:rsidR="00000000" w:rsidRPr="00603B9C" w:rsidP="00603B9C">
      <w:pPr>
        <w:pStyle w:val="ListBullet"/>
      </w:pPr>
      <w:r w:rsidRPr="00603B9C">
        <w:t>principles an</w:t>
      </w:r>
      <w:r w:rsidRPr="00603B9C">
        <w:t>d procedures of self contained breathing apparatus (SCBA)</w:t>
      </w:r>
    </w:p>
    <w:p w:rsidR="00000000" w:rsidRPr="00603B9C" w:rsidP="00603B9C">
      <w:pPr>
        <w:pStyle w:val="ListBullet"/>
      </w:pPr>
      <w:r w:rsidRPr="00603B9C">
        <w:t>search and rescue techniques (including self rescue techniques)</w:t>
      </w:r>
    </w:p>
    <w:p w:rsidR="00000000" w:rsidRPr="00603B9C" w:rsidP="00603B9C">
      <w:pPr>
        <w:pStyle w:val="ListBullet"/>
      </w:pPr>
      <w:r w:rsidRPr="00603B9C">
        <w:t>teamwork principles and techniques</w:t>
      </w:r>
    </w:p>
    <w:p w:rsidR="00000000" w:rsidRPr="00603B9C" w:rsidP="00603B9C">
      <w:pPr>
        <w:pStyle w:val="ListBullet"/>
      </w:pPr>
      <w:r w:rsidRPr="00603B9C">
        <w:t>types and impact of emergency tactics</w:t>
      </w:r>
    </w:p>
    <w:p w:rsidR="00000000" w:rsidRPr="00603B9C" w:rsidP="00603B9C">
      <w:pPr>
        <w:pStyle w:val="ListBullet"/>
      </w:pPr>
      <w:r w:rsidRPr="00603B9C">
        <w:t>casualty handling techniques.</w:t>
      </w:r>
    </w:p>
    <w:p w:rsidR="00000000" w:rsidRPr="00603B9C" w:rsidP="00603B9C">
      <w:pPr>
        <w:pStyle w:val="AllowPageBreak"/>
      </w:pPr>
    </w:p>
    <w:p w:rsidR="00000000" w:rsidRPr="00603B9C" w:rsidP="00603B9C">
      <w:pPr>
        <w:pStyle w:val="Heading1"/>
      </w:pPr>
      <w:bookmarkStart w:id="4" w:name="O_909377"/>
      <w:bookmarkEnd w:id="4"/>
      <w:r w:rsidRPr="00603B9C">
        <w:t>Assessment Conditions</w:t>
      </w:r>
    </w:p>
    <w:p w:rsidR="00000000" w:rsidRPr="00603B9C" w:rsidP="00603B9C">
      <w:pPr>
        <w:pStyle w:val="ListBullet"/>
      </w:pPr>
      <w:r w:rsidRPr="00603B9C">
        <w:t>The unit should be assessed holistically and the judgement of competence based on a holistic assessment of the evidence.</w:t>
      </w:r>
    </w:p>
    <w:p w:rsidR="00000000" w:rsidRPr="00603B9C" w:rsidP="00603B9C">
      <w:pPr>
        <w:pStyle w:val="ListBullet"/>
      </w:pPr>
      <w:r w:rsidRPr="00603B9C">
        <w:t>The collection of performance evidence:</w:t>
      </w:r>
    </w:p>
    <w:p w:rsidR="00000000" w:rsidRPr="00603B9C" w:rsidP="00603B9C">
      <w:pPr>
        <w:pStyle w:val="ListBullet2"/>
      </w:pPr>
      <w:r w:rsidRPr="00603B9C">
        <w:t>should cover the range of situations which might be expected to be enco</w:t>
      </w:r>
      <w:r w:rsidRPr="00603B9C">
        <w:t xml:space="preserve">untered </w:t>
      </w:r>
    </w:p>
    <w:p w:rsidR="00000000" w:rsidRPr="00603B9C" w:rsidP="00603B9C">
      <w:pPr>
        <w:pStyle w:val="ListBullet2"/>
      </w:pPr>
      <w:r w:rsidRPr="00603B9C">
        <w:t>will typically include a supervisor/third-party report focusing on consistent performance and problem recognition and solving. A supervisor/third-party report must be prepared by someone who has a direct, relevant, current relationship with the pe</w:t>
      </w:r>
      <w:r w:rsidRPr="00603B9C">
        <w:t xml:space="preserve">rson being assessed and who is in a position to form a judgement on workplace performance relevant to the unit of competency </w:t>
      </w:r>
    </w:p>
    <w:p w:rsidR="00000000" w:rsidRPr="00603B9C" w:rsidP="00603B9C">
      <w:pPr>
        <w:pStyle w:val="ListBullet2"/>
      </w:pPr>
      <w:r w:rsidRPr="00603B9C">
        <w:t xml:space="preserve">must include a simulated emergency utilising appropriate tools, equipment and safety gear requiring demonstration of preparation, </w:t>
      </w:r>
      <w:r w:rsidRPr="00603B9C">
        <w:t>operation, completion and responding to problems</w:t>
      </w:r>
    </w:p>
    <w:p w:rsidR="00000000" w:rsidRPr="00603B9C" w:rsidP="00603B9C">
      <w:pPr>
        <w:pStyle w:val="ListBullet2"/>
      </w:pPr>
      <w:r w:rsidRPr="00603B9C">
        <w:t>may use industry-based simulation for all or part of the unit particularly where safety, lack of opportunity or significant cost is an issue.</w:t>
      </w:r>
    </w:p>
    <w:p w:rsidR="00000000" w:rsidRPr="00603B9C" w:rsidP="00603B9C">
      <w:pPr>
        <w:pStyle w:val="ListBullet"/>
      </w:pPr>
      <w:r w:rsidRPr="00603B9C">
        <w:t>Assessment should occur in operational workplace situations. Whe</w:t>
      </w:r>
      <w:r w:rsidRPr="00603B9C">
        <w:t>re this is not possible, or where personal safety or environmental damage are limiting factors, assessment must occur in a sufficiently rigorous simulated environment reflecting realistic operational workplace conditions. This must cover all aspects of wor</w:t>
      </w:r>
      <w:r w:rsidRPr="00603B9C">
        <w:t xml:space="preserve">kplace performance, including environment, task skills, task management skills, contingency management skills and job role environment skills. </w:t>
      </w:r>
    </w:p>
    <w:p w:rsidR="00000000" w:rsidRPr="00603B9C" w:rsidP="00603B9C">
      <w:pPr>
        <w:pStyle w:val="ListBullet"/>
      </w:pPr>
      <w:r w:rsidRPr="00603B9C">
        <w:t xml:space="preserve">Assessment in a simulated environment should use evidence collected from one or more of: </w:t>
      </w:r>
    </w:p>
    <w:p w:rsidR="00000000" w:rsidRPr="00603B9C" w:rsidP="00603B9C">
      <w:pPr>
        <w:pStyle w:val="ListBullet2"/>
      </w:pPr>
      <w:r w:rsidRPr="00603B9C">
        <w:t>walk-throughs</w:t>
      </w:r>
    </w:p>
    <w:p w:rsidR="00000000" w:rsidRPr="00603B9C" w:rsidP="00603B9C">
      <w:pPr>
        <w:pStyle w:val="ListBullet2"/>
      </w:pPr>
      <w:r w:rsidRPr="00603B9C">
        <w:t>pilot p</w:t>
      </w:r>
      <w:r w:rsidRPr="00603B9C">
        <w:t>lant operation</w:t>
      </w:r>
    </w:p>
    <w:p w:rsidR="00000000" w:rsidRPr="00603B9C" w:rsidP="00603B9C">
      <w:pPr>
        <w:pStyle w:val="ListBullet2"/>
      </w:pPr>
      <w:r w:rsidRPr="00603B9C">
        <w:t xml:space="preserve">demonstration of skills </w:t>
      </w:r>
    </w:p>
    <w:p w:rsidR="00000000" w:rsidRPr="00603B9C" w:rsidP="00603B9C">
      <w:pPr>
        <w:pStyle w:val="ListBullet2"/>
      </w:pPr>
      <w:r w:rsidRPr="00603B9C">
        <w:t xml:space="preserve">industry based case studies/scenarios </w:t>
      </w:r>
    </w:p>
    <w:p w:rsidR="00000000" w:rsidRPr="00603B9C" w:rsidP="00603B9C">
      <w:pPr>
        <w:pStyle w:val="ListBullet2"/>
      </w:pPr>
      <w:r w:rsidRPr="00603B9C">
        <w:t>‘what ifs’.</w:t>
      </w:r>
    </w:p>
    <w:p w:rsidR="00000000" w:rsidRPr="00603B9C" w:rsidP="00603B9C">
      <w:pPr>
        <w:pStyle w:val="ListBullet"/>
      </w:pPr>
      <w:r w:rsidRPr="00603B9C">
        <w:t xml:space="preserve">Knowledge evidence may be collected concurrently with performance evidence (provided a record is kept) or through an independent process, </w:t>
      </w:r>
      <w:r w:rsidRPr="00603B9C">
        <w:t>such as workbooks, written assessments or interviews (provided a record is kept).</w:t>
      </w:r>
    </w:p>
    <w:p w:rsidR="00000000" w:rsidRPr="00603B9C" w:rsidP="00603B9C">
      <w:pPr>
        <w:pStyle w:val="ListBullet"/>
      </w:pPr>
      <w:r w:rsidRPr="00603B9C">
        <w:t>Assessment processes and techniques must be appropriate to the language, literacy and numeracy requirements of the work being performed and the needs of the candidate.</w:t>
      </w:r>
    </w:p>
    <w:p w:rsidR="00000000" w:rsidRPr="00603B9C" w:rsidP="00603B9C">
      <w:pPr>
        <w:pStyle w:val="ListBullet"/>
      </w:pPr>
      <w:r w:rsidRPr="00603B9C">
        <w:t>Condit</w:t>
      </w:r>
      <w:r w:rsidRPr="00603B9C">
        <w:t>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03B9C" w:rsidP="00603B9C">
      <w:pPr>
        <w:pStyle w:val="ListBullet"/>
      </w:pPr>
      <w:r w:rsidRPr="00603B9C">
        <w:t>The regulatory framework will be reflected i</w:t>
      </w:r>
      <w:r w:rsidRPr="00603B9C">
        <w:t>n workplace policies and procedures and is not required to be independently assessed.</w:t>
      </w:r>
    </w:p>
    <w:p w:rsidR="00000000" w:rsidRPr="00603B9C" w:rsidP="00603B9C">
      <w:pPr>
        <w:pStyle w:val="ListBullet"/>
      </w:pPr>
      <w:r w:rsidRPr="00603B9C">
        <w:t>Foundation skills are integral to competent performance of the unit and should not be assessed separately.</w:t>
      </w:r>
    </w:p>
    <w:p w:rsidR="00000000" w:rsidRPr="00603B9C" w:rsidP="00603B9C">
      <w:pPr>
        <w:pStyle w:val="ListBullet"/>
      </w:pPr>
      <w:r w:rsidRPr="00603B9C">
        <w:t>Assessors must satisfy the assessor competency requirements tha</w:t>
      </w:r>
      <w:r w:rsidRPr="00603B9C">
        <w:t>t are in place at the time of the assessment as set by the VET regulator.</w:t>
      </w:r>
    </w:p>
    <w:p w:rsidR="00000000" w:rsidRPr="00603B9C" w:rsidP="00603B9C">
      <w:pPr>
        <w:pStyle w:val="ListBullet"/>
      </w:pPr>
      <w:r w:rsidRPr="00603B9C">
        <w:t>In addition, the assessor or anyone acting in subject matter expert role in assessment must demonstrate both technical competency and currency. If the assessor cannot demonstrate tec</w:t>
      </w:r>
      <w:r w:rsidRPr="00603B9C">
        <w:t xml:space="preserve">hnical competency and currency they must assess with a subject matter expert who does meet these requirements. </w:t>
      </w:r>
    </w:p>
    <w:p w:rsidR="00000000" w:rsidRPr="00603B9C" w:rsidP="00603B9C">
      <w:pPr>
        <w:pStyle w:val="ListBullet"/>
      </w:pPr>
      <w:r w:rsidRPr="00603B9C">
        <w:t>Technical competence can be demonstrated through one or more of:</w:t>
      </w:r>
    </w:p>
    <w:p w:rsidR="00000000" w:rsidRPr="00603B9C" w:rsidP="00603B9C">
      <w:pPr>
        <w:pStyle w:val="ListBullet2"/>
      </w:pPr>
      <w:r w:rsidRPr="00603B9C">
        <w:t xml:space="preserve">relevant VET or other qualification/Statement of Attainment </w:t>
      </w:r>
    </w:p>
    <w:p w:rsidR="00000000" w:rsidRPr="00603B9C" w:rsidP="00603B9C">
      <w:pPr>
        <w:pStyle w:val="ListBullet2"/>
      </w:pPr>
      <w:r w:rsidRPr="00603B9C">
        <w:t>appropriate workp</w:t>
      </w:r>
      <w:r w:rsidRPr="00603B9C">
        <w:t xml:space="preserve">lace experience undertaking the type of work being assessed under routine and non-routine conditions </w:t>
      </w:r>
    </w:p>
    <w:p w:rsidR="00000000" w:rsidRPr="00603B9C" w:rsidP="00603B9C">
      <w:pPr>
        <w:pStyle w:val="ListBullet2"/>
      </w:pPr>
      <w:r w:rsidRPr="00603B9C">
        <w:t>appropriate workplace experience supervising/evaluating the type of work being assessed under routine and non-routine conditions</w:t>
      </w:r>
    </w:p>
    <w:p w:rsidR="00000000" w:rsidRPr="00603B9C" w:rsidP="00603B9C">
      <w:pPr>
        <w:pStyle w:val="ListBullet"/>
      </w:pPr>
      <w:r w:rsidRPr="00603B9C">
        <w:t>Currency can be demonstr</w:t>
      </w:r>
      <w:r w:rsidRPr="00603B9C">
        <w:t>ated through one or more of:</w:t>
      </w:r>
    </w:p>
    <w:p w:rsidR="00000000" w:rsidRPr="00603B9C" w:rsidP="00603B9C">
      <w:pPr>
        <w:pStyle w:val="ListBullet2"/>
      </w:pPr>
      <w:r w:rsidRPr="00603B9C">
        <w:t xml:space="preserve">being currently employed undertaking the type of work being assessed </w:t>
      </w:r>
    </w:p>
    <w:p w:rsidR="00000000" w:rsidRPr="00603B9C" w:rsidP="00603B9C">
      <w:pPr>
        <w:pStyle w:val="ListBullet2"/>
      </w:pPr>
      <w:r w:rsidRPr="00603B9C">
        <w:t>being employed by the organisation undertaking the type of work being assessed and having maintained currency in accordance with that organisation’s policie</w:t>
      </w:r>
      <w:r w:rsidRPr="00603B9C">
        <w:t xml:space="preserve">s and procedures </w:t>
      </w:r>
    </w:p>
    <w:p w:rsidR="00000000" w:rsidRPr="00603B9C" w:rsidP="00603B9C">
      <w:pPr>
        <w:pStyle w:val="ListBullet2"/>
      </w:pPr>
      <w:r w:rsidRPr="00603B9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03B9C" w:rsidP="00603B9C">
      <w:pPr>
        <w:pStyle w:val="ListBullet2"/>
      </w:pPr>
      <w:r w:rsidRPr="00603B9C">
        <w:t>conducting on-the-j</w:t>
      </w:r>
      <w:r w:rsidRPr="00603B9C">
        <w:t xml:space="preserve">ob training/assessments of the type of work being assessed </w:t>
      </w:r>
    </w:p>
    <w:p w:rsidR="00000000" w:rsidRPr="00603B9C" w:rsidP="00603B9C">
      <w:pPr>
        <w:pStyle w:val="ListBullet2"/>
      </w:pPr>
      <w:r w:rsidRPr="00603B9C">
        <w:t>being an active member of a relevant professional body and participating in activities relevant to the assessment of this type of work.</w:t>
      </w:r>
    </w:p>
    <w:p w:rsidR="00000000" w:rsidRPr="00603B9C" w:rsidP="00603B9C">
      <w:pPr>
        <w:pStyle w:val="AllowPageBreak"/>
      </w:pPr>
    </w:p>
    <w:p w:rsidR="00000000" w:rsidRPr="00603B9C" w:rsidP="00603B9C">
      <w:pPr>
        <w:pStyle w:val="Heading1"/>
      </w:pPr>
      <w:bookmarkStart w:id="5" w:name="O_909375"/>
      <w:bookmarkEnd w:id="5"/>
      <w:r w:rsidRPr="00603B9C">
        <w:t>Links</w:t>
      </w:r>
    </w:p>
    <w:p w:rsidR="00000000" w:rsidRPr="00603B9C" w:rsidP="0065569F">
      <w:pPr>
        <w:pStyle w:val="BodyText"/>
      </w:pPr>
      <w:r w:rsidRPr="00603B9C">
        <w:t>Companion Volume implementation guide</w:t>
      </w:r>
      <w:r w:rsidRPr="00603B9C">
        <w:t xml:space="preserve">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1C0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03B9C" w:rsidP="00603B9C"/>
    <w:sectPr w:rsidSect="00603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9C" w:rsidRPr="0065569F" w:rsidP="0065569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F" w:rsidP="00603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69F" w:rsidP="00603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569F" w:rsidP="00603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B9C" w:rsidRPr="0065569F" w:rsidP="00655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9F" w:rsidRPr="002D2AF8" w:rsidP="00603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PMAWHS311 Lead emergency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5569F" w:rsidP="00603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3C6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44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20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B9C"/>
  </w:style>
  <w:style w:type="character" w:customStyle="1" w:styleId="Heading1Char">
    <w:name w:val="Heading 1 Char"/>
    <w:basedOn w:val="DefaultParagraphFont"/>
    <w:link w:val="Heading1"/>
    <w:rsid w:val="00603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B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B9C"/>
    <w:rPr>
      <w:b/>
      <w:spacing w:val="0"/>
    </w:rPr>
  </w:style>
  <w:style w:type="paragraph" w:customStyle="1" w:styleId="SuperTitle">
    <w:name w:val="SuperTitle"/>
    <w:basedOn w:val="Title"/>
    <w:rsid w:val="00603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B9C"/>
    <w:rPr>
      <w:i/>
    </w:rPr>
  </w:style>
  <w:style w:type="paragraph" w:styleId="Caption">
    <w:name w:val="caption"/>
    <w:basedOn w:val="BodyText"/>
    <w:next w:val="Normal"/>
    <w:qFormat/>
    <w:rsid w:val="00603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B9C"/>
  </w:style>
  <w:style w:type="paragraph" w:styleId="TableofFigures">
    <w:name w:val="table of figures"/>
    <w:basedOn w:val="Normal"/>
    <w:next w:val="Normal"/>
    <w:semiHidden/>
    <w:rsid w:val="00603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3B9C"/>
    <w:rPr>
      <w:rFonts w:ascii="Wingdings" w:hAnsi="Wingdings"/>
    </w:rPr>
  </w:style>
  <w:style w:type="paragraph" w:customStyle="1" w:styleId="TableHeading">
    <w:name w:val="Table Heading"/>
    <w:basedOn w:val="HeadingBase"/>
    <w:rsid w:val="00603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B9C"/>
    <w:rPr>
      <w:color w:val="0033CC"/>
      <w:u w:val="none"/>
    </w:rPr>
  </w:style>
  <w:style w:type="paragraph" w:customStyle="1" w:styleId="BodyTextRight">
    <w:name w:val="Body Text Right"/>
    <w:basedOn w:val="BodyText"/>
    <w:rsid w:val="00603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B9C"/>
    <w:rPr>
      <w:sz w:val="32"/>
    </w:rPr>
  </w:style>
  <w:style w:type="paragraph" w:customStyle="1" w:styleId="HeadingProcedure">
    <w:name w:val="Heading Procedure"/>
    <w:basedOn w:val="HeadingBase"/>
    <w:next w:val="Normal"/>
    <w:rsid w:val="00603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B9C"/>
    <w:pPr>
      <w:spacing w:before="60" w:after="60"/>
    </w:pPr>
  </w:style>
  <w:style w:type="paragraph" w:styleId="ListContinue">
    <w:name w:val="List Continue"/>
    <w:basedOn w:val="List"/>
    <w:rsid w:val="00603B9C"/>
    <w:pPr>
      <w:ind w:firstLine="0"/>
    </w:pPr>
  </w:style>
  <w:style w:type="paragraph" w:customStyle="1" w:styleId="ListNote">
    <w:name w:val="List Note"/>
    <w:basedOn w:val="List"/>
    <w:rsid w:val="00603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B9C"/>
    <w:rPr>
      <w:rFonts w:ascii="Courier New" w:hAnsi="Courier New"/>
    </w:rPr>
  </w:style>
  <w:style w:type="paragraph" w:customStyle="1" w:styleId="NoteBullet">
    <w:name w:val="Note Bullet"/>
    <w:basedOn w:val="Note"/>
    <w:rsid w:val="00603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3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B9C"/>
    <w:rPr>
      <w:b/>
      <w:smallCaps/>
    </w:rPr>
  </w:style>
  <w:style w:type="paragraph" w:customStyle="1" w:styleId="TableListNumber">
    <w:name w:val="Table List Number"/>
    <w:basedOn w:val="ListNumber"/>
    <w:rsid w:val="00603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B9C"/>
    <w:pPr>
      <w:numPr>
        <w:numId w:val="9"/>
      </w:numPr>
    </w:pPr>
  </w:style>
  <w:style w:type="paragraph" w:customStyle="1" w:styleId="ListAlpha2">
    <w:name w:val="List Alpha 2"/>
    <w:basedOn w:val="List2"/>
    <w:rsid w:val="00603B9C"/>
    <w:pPr>
      <w:numPr>
        <w:numId w:val="8"/>
      </w:numPr>
    </w:pPr>
  </w:style>
  <w:style w:type="paragraph" w:styleId="List2">
    <w:name w:val="List 2"/>
    <w:basedOn w:val="BodyText"/>
    <w:rsid w:val="00603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B9C"/>
    <w:pPr>
      <w:numPr>
        <w:numId w:val="4"/>
      </w:numPr>
    </w:pPr>
  </w:style>
  <w:style w:type="paragraph" w:styleId="ListContinue2">
    <w:name w:val="List Continue 2"/>
    <w:basedOn w:val="List2"/>
    <w:rsid w:val="00603B9C"/>
    <w:pPr>
      <w:ind w:firstLine="0"/>
    </w:pPr>
  </w:style>
  <w:style w:type="paragraph" w:styleId="ListContinue3">
    <w:name w:val="List Continue 3"/>
    <w:basedOn w:val="List3"/>
    <w:rsid w:val="00603B9C"/>
    <w:pPr>
      <w:ind w:left="1021" w:firstLine="0"/>
    </w:pPr>
  </w:style>
  <w:style w:type="paragraph" w:styleId="ListContinue4">
    <w:name w:val="List Continue 4"/>
    <w:basedOn w:val="List4"/>
    <w:rsid w:val="00603B9C"/>
    <w:pPr>
      <w:ind w:firstLine="0"/>
    </w:pPr>
  </w:style>
  <w:style w:type="paragraph" w:styleId="ListContinue5">
    <w:name w:val="List Continue 5"/>
    <w:basedOn w:val="List5"/>
    <w:rsid w:val="00603B9C"/>
    <w:pPr>
      <w:ind w:firstLine="0"/>
    </w:pPr>
  </w:style>
  <w:style w:type="paragraph" w:styleId="ListNumber3">
    <w:name w:val="List Number 3"/>
    <w:basedOn w:val="List3"/>
    <w:rsid w:val="00603B9C"/>
    <w:pPr>
      <w:numPr>
        <w:numId w:val="5"/>
      </w:numPr>
    </w:pPr>
  </w:style>
  <w:style w:type="paragraph" w:styleId="ListNumber4">
    <w:name w:val="List Number 4"/>
    <w:basedOn w:val="List4"/>
    <w:rsid w:val="00603B9C"/>
    <w:pPr>
      <w:numPr>
        <w:numId w:val="6"/>
      </w:numPr>
    </w:pPr>
  </w:style>
  <w:style w:type="paragraph" w:styleId="ListNumber5">
    <w:name w:val="List Number 5"/>
    <w:basedOn w:val="List5"/>
    <w:rsid w:val="00603B9C"/>
    <w:pPr>
      <w:numPr>
        <w:numId w:val="7"/>
      </w:numPr>
    </w:pPr>
  </w:style>
  <w:style w:type="paragraph" w:styleId="BlockText">
    <w:name w:val="Block Text"/>
    <w:basedOn w:val="Normal"/>
    <w:rsid w:val="00603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B9C"/>
    <w:rPr>
      <w:sz w:val="16"/>
      <w:vertAlign w:val="superscript"/>
    </w:rPr>
  </w:style>
  <w:style w:type="character" w:customStyle="1" w:styleId="Symbols">
    <w:name w:val="Symbols"/>
    <w:basedOn w:val="DefaultParagraphFont"/>
    <w:rsid w:val="00603B9C"/>
    <w:rPr>
      <w:rFonts w:ascii="Symbol" w:hAnsi="Symbol"/>
    </w:rPr>
  </w:style>
  <w:style w:type="character" w:customStyle="1" w:styleId="MenuOptions">
    <w:name w:val="Menu Options"/>
    <w:basedOn w:val="DefaultParagraphFont"/>
    <w:rsid w:val="00603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B9C"/>
    <w:rPr>
      <w:b/>
    </w:rPr>
  </w:style>
  <w:style w:type="character" w:customStyle="1" w:styleId="Underlined">
    <w:name w:val="Underlined"/>
    <w:basedOn w:val="DefaultParagraphFont"/>
    <w:rsid w:val="00603B9C"/>
    <w:rPr>
      <w:u w:val="single"/>
    </w:rPr>
  </w:style>
  <w:style w:type="paragraph" w:customStyle="1" w:styleId="TableBodyTextRight">
    <w:name w:val="Table Body Text Right"/>
    <w:basedOn w:val="TableBodyText"/>
    <w:rsid w:val="00603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B9C"/>
    <w:rPr>
      <w:sz w:val="18"/>
    </w:rPr>
  </w:style>
  <w:style w:type="paragraph" w:customStyle="1" w:styleId="BodySmallRight">
    <w:name w:val="Body Small Right"/>
    <w:basedOn w:val="BodyTextRight"/>
    <w:rsid w:val="00603B9C"/>
    <w:rPr>
      <w:sz w:val="18"/>
      <w:szCs w:val="18"/>
    </w:rPr>
  </w:style>
  <w:style w:type="paragraph" w:customStyle="1" w:styleId="MarginEdition">
    <w:name w:val="Margin Edition"/>
    <w:basedOn w:val="MarginNote"/>
    <w:rsid w:val="00603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B9C"/>
    <w:rPr>
      <w:sz w:val="2"/>
      <w:szCs w:val="2"/>
    </w:rPr>
  </w:style>
  <w:style w:type="character" w:customStyle="1" w:styleId="Small">
    <w:name w:val="Small"/>
    <w:basedOn w:val="DefaultParagraphFont"/>
    <w:rsid w:val="00603B9C"/>
    <w:rPr>
      <w:sz w:val="16"/>
    </w:rPr>
  </w:style>
  <w:style w:type="paragraph" w:customStyle="1" w:styleId="WideTable">
    <w:name w:val="Wide Table"/>
    <w:basedOn w:val="Normal"/>
    <w:rsid w:val="00603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B9C"/>
  </w:style>
  <w:style w:type="paragraph" w:styleId="Quote">
    <w:name w:val="Quote"/>
    <w:basedOn w:val="Heading1"/>
    <w:link w:val="QuoteChar"/>
    <w:qFormat/>
    <w:rsid w:val="00603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B9C"/>
    <w:pPr>
      <w:pageBreakBefore/>
    </w:pPr>
  </w:style>
  <w:style w:type="paragraph" w:customStyle="1" w:styleId="Border">
    <w:name w:val="Border"/>
    <w:basedOn w:val="Normal"/>
    <w:qFormat/>
    <w:rsid w:val="00603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B9C"/>
    <w:rPr>
      <w:u w:val="single"/>
    </w:rPr>
  </w:style>
  <w:style w:type="character" w:customStyle="1" w:styleId="BoldandItalics">
    <w:name w:val="Bold and Italics"/>
    <w:qFormat/>
    <w:rsid w:val="00603B9C"/>
    <w:rPr>
      <w:b/>
      <w:i/>
      <w:u w:val="none"/>
    </w:rPr>
  </w:style>
  <w:style w:type="paragraph" w:styleId="BalloonText">
    <w:name w:val="Balloon Text"/>
    <w:basedOn w:val="Normal"/>
    <w:link w:val="BalloonTextChar"/>
    <w:rsid w:val="00603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B9C"/>
    <w:pPr>
      <w:spacing w:before="0" w:after="0"/>
    </w:pPr>
  </w:style>
  <w:style w:type="paragraph" w:customStyle="1" w:styleId="BodyTextBold">
    <w:name w:val="Body Text Bold"/>
    <w:basedOn w:val="BodyText"/>
    <w:qFormat/>
    <w:rsid w:val="00603B9C"/>
    <w:rPr>
      <w:b/>
    </w:rPr>
  </w:style>
  <w:style w:type="character" w:styleId="Hyperlink">
    <w:name w:val="Hyperlink"/>
    <w:basedOn w:val="DefaultParagraphFont"/>
    <w:uiPriority w:val="99"/>
    <w:unhideWhenUsed/>
    <w:rsid w:val="00655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5292</Characters>
  <Application>Microsoft Office Word</Application>
  <DocSecurity>0</DocSecurity>
  <Lines>112</Lines>
  <Paragraphs>76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PMAWHS311 Lead emergency teams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