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E34" w:rsidP="00567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PMAWHS213 Undertake fire control and emergency rescue</w:t>
      </w:r>
      <w:r>
        <w:fldChar w:fldCharType="end"/>
      </w:r>
    </w:p>
    <w:p w:rsidR="00567E34" w:rsidP="00567E34">
      <w:pPr>
        <w:pStyle w:val="Version"/>
        <w:sectPr w:rsidSect="00E20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0A35" w:rsidP="00E20A35">
      <w:pPr>
        <w:pStyle w:val="SuperHeading"/>
      </w:pPr>
      <w:r w:rsidRPr="00E20A35">
        <w:t>Assessment Requirements for PMAWHS213 Undertake fire control and emergency rescue</w:t>
      </w:r>
    </w:p>
    <w:p w:rsidR="00000000" w:rsidRPr="00E20A35" w:rsidP="00E20A35">
      <w:pPr>
        <w:pStyle w:val="Heading1"/>
      </w:pPr>
      <w:bookmarkStart w:id="1" w:name="O_1071767"/>
      <w:bookmarkEnd w:id="1"/>
      <w:r w:rsidRPr="00E20A35">
        <w:t>Modification History</w:t>
      </w:r>
    </w:p>
    <w:p w:rsidR="00000000" w:rsidRPr="00E20A35" w:rsidP="00567E34">
      <w:pPr>
        <w:pStyle w:val="BodyText"/>
      </w:pPr>
      <w:r w:rsidRPr="00E20A35">
        <w:t>Release 2. Range of conditions and Knowledge Evidence amended.</w:t>
      </w:r>
    </w:p>
    <w:p w:rsidR="00000000" w:rsidRPr="00E20A35" w:rsidP="00567E34">
      <w:pPr>
        <w:pStyle w:val="BodyText"/>
      </w:pPr>
      <w:r w:rsidRPr="00E20A35">
        <w:t>Release 1. Supersedes and is equivalent to PMAOHS213B Undertake fire control and emergency rescue.</w:t>
      </w:r>
    </w:p>
    <w:p w:rsidR="00000000" w:rsidRPr="00E20A35" w:rsidP="00E20A35">
      <w:pPr>
        <w:pStyle w:val="Heading1"/>
      </w:pPr>
      <w:bookmarkStart w:id="2" w:name="O_1071766"/>
      <w:bookmarkEnd w:id="2"/>
      <w:r w:rsidRPr="00E20A35">
        <w:t>Performance Evidence</w:t>
      </w:r>
    </w:p>
    <w:p w:rsidR="00000000" w:rsidRPr="00E20A35" w:rsidP="00567E34">
      <w:pPr>
        <w:pStyle w:val="BodyText"/>
      </w:pPr>
      <w:r w:rsidRPr="00E20A35">
        <w:t>There must be evidence the candidate has completed the tasks outlined in the elements and performance criteria of thi</w:t>
      </w:r>
      <w:r w:rsidRPr="00E20A35">
        <w:t>s unit, and:</w:t>
      </w:r>
    </w:p>
    <w:p w:rsidR="00000000" w:rsidRPr="00E20A35" w:rsidP="00E20A35">
      <w:pPr>
        <w:pStyle w:val="ListBullet"/>
      </w:pPr>
      <w:r w:rsidRPr="00E20A35">
        <w:t xml:space="preserve">assess fire chemistry, fire characteristics and chemical hazards to identify appropriate fire control strategies </w:t>
      </w:r>
    </w:p>
    <w:p w:rsidR="00000000" w:rsidRPr="00E20A35" w:rsidP="00E20A35">
      <w:pPr>
        <w:pStyle w:val="ListBullet"/>
      </w:pPr>
      <w:r w:rsidRPr="00E20A35">
        <w:t xml:space="preserve">select and use appropriate control and rescue equipment and fire-fighting media </w:t>
      </w:r>
    </w:p>
    <w:p w:rsidR="00000000" w:rsidRPr="00E20A35" w:rsidP="00E20A35">
      <w:pPr>
        <w:pStyle w:val="ListBullet"/>
      </w:pPr>
      <w:r w:rsidRPr="00E20A35">
        <w:t>communicate effectively under stress</w:t>
      </w:r>
    </w:p>
    <w:p w:rsidR="00000000" w:rsidRPr="00E20A35" w:rsidP="00E20A35">
      <w:pPr>
        <w:pStyle w:val="ListBullet"/>
      </w:pPr>
      <w:r w:rsidRPr="00E20A35">
        <w:t>react quic</w:t>
      </w:r>
      <w:r w:rsidRPr="00E20A35">
        <w:t>kly and effectively to changing circumstances</w:t>
      </w:r>
    </w:p>
    <w:p w:rsidR="00000000" w:rsidRPr="00E20A35" w:rsidP="00E20A35">
      <w:pPr>
        <w:pStyle w:val="ListBullet"/>
      </w:pPr>
      <w:r w:rsidRPr="00E20A35">
        <w:t xml:space="preserve">respond to directives given by emergency team leaders and other team members </w:t>
      </w:r>
    </w:p>
    <w:p w:rsidR="00000000" w:rsidRPr="00E20A35" w:rsidP="00E20A35">
      <w:pPr>
        <w:pStyle w:val="ListBullet"/>
      </w:pPr>
      <w:r w:rsidRPr="00E20A35">
        <w:t>identify hazardous circumstances and conditions within the emergency and take action</w:t>
      </w:r>
    </w:p>
    <w:p w:rsidR="00000000" w:rsidRPr="00E20A35" w:rsidP="00E20A35">
      <w:pPr>
        <w:pStyle w:val="ListBullet"/>
      </w:pPr>
      <w:r w:rsidRPr="00E20A35">
        <w:t>apply casualty handling techniques.</w:t>
      </w:r>
    </w:p>
    <w:p w:rsidR="00000000" w:rsidRPr="00E20A35" w:rsidP="00E20A35">
      <w:pPr>
        <w:pStyle w:val="AllowPageBreak"/>
      </w:pPr>
    </w:p>
    <w:p w:rsidR="00000000" w:rsidRPr="00E20A35" w:rsidP="00E20A35">
      <w:pPr>
        <w:pStyle w:val="Heading1"/>
      </w:pPr>
      <w:bookmarkStart w:id="3" w:name="O_1071765"/>
      <w:bookmarkEnd w:id="3"/>
      <w:r w:rsidRPr="00E20A35">
        <w:t>Knowledge Evidence</w:t>
      </w:r>
    </w:p>
    <w:p w:rsidR="00000000" w:rsidRPr="00E20A35" w:rsidP="00567E34">
      <w:pPr>
        <w:pStyle w:val="BodyText"/>
      </w:pPr>
      <w:r w:rsidRPr="00E20A35">
        <w:t>There must be evidence the candidate has knowledge of:</w:t>
      </w:r>
    </w:p>
    <w:p w:rsidR="00000000" w:rsidRPr="00E20A35" w:rsidP="00E20A35">
      <w:pPr>
        <w:pStyle w:val="ListBullet"/>
      </w:pPr>
      <w:r w:rsidRPr="00E20A35">
        <w:t>organisational procedures, including those covering:</w:t>
      </w:r>
    </w:p>
    <w:p w:rsidR="00000000" w:rsidRPr="00E20A35" w:rsidP="00E20A35">
      <w:pPr>
        <w:pStyle w:val="ListBullet2"/>
      </w:pPr>
      <w:r w:rsidRPr="00E20A35">
        <w:t xml:space="preserve">incident, fire and accident </w:t>
      </w:r>
    </w:p>
    <w:p w:rsidR="00000000" w:rsidRPr="00E20A35" w:rsidP="00E20A35">
      <w:pPr>
        <w:pStyle w:val="ListBullet2"/>
      </w:pPr>
      <w:r w:rsidRPr="00E20A35">
        <w:t>personal protective equipment (PPE)</w:t>
      </w:r>
    </w:p>
    <w:p w:rsidR="00000000" w:rsidRPr="00E20A35" w:rsidP="00E20A35">
      <w:pPr>
        <w:pStyle w:val="ListBullet"/>
      </w:pPr>
      <w:r w:rsidRPr="00E20A35">
        <w:t>fire chemistry, fire characteristics and chemical hazards</w:t>
      </w:r>
    </w:p>
    <w:p w:rsidR="00000000" w:rsidRPr="00E20A35" w:rsidP="00E20A35">
      <w:pPr>
        <w:pStyle w:val="ListBullet"/>
      </w:pPr>
      <w:r w:rsidRPr="00E20A35">
        <w:t>location and availability of fire-fighting equipment</w:t>
      </w:r>
    </w:p>
    <w:p w:rsidR="00000000" w:rsidRPr="00E20A35" w:rsidP="00E20A35">
      <w:pPr>
        <w:pStyle w:val="ListBullet"/>
      </w:pPr>
      <w:r w:rsidRPr="00E20A35">
        <w:t xml:space="preserve">types and application of PPE and breathing apparatus </w:t>
      </w:r>
    </w:p>
    <w:p w:rsidR="00000000" w:rsidRPr="00E20A35" w:rsidP="00E20A35">
      <w:pPr>
        <w:pStyle w:val="ListBullet"/>
      </w:pPr>
      <w:r w:rsidRPr="00E20A35">
        <w:t>types and application of fire-fighting and containment media, including:</w:t>
      </w:r>
    </w:p>
    <w:p w:rsidR="00000000" w:rsidRPr="00E20A35" w:rsidP="00E20A35">
      <w:pPr>
        <w:pStyle w:val="ListBullet2"/>
      </w:pPr>
      <w:r w:rsidRPr="00E20A35">
        <w:t>water</w:t>
      </w:r>
    </w:p>
    <w:p w:rsidR="00000000" w:rsidRPr="00E20A35" w:rsidP="00E20A35">
      <w:pPr>
        <w:pStyle w:val="ListBullet2"/>
      </w:pPr>
      <w:r w:rsidRPr="00E20A35">
        <w:t>foam</w:t>
      </w:r>
    </w:p>
    <w:p w:rsidR="00000000" w:rsidRPr="00E20A35" w:rsidP="00E20A35">
      <w:pPr>
        <w:pStyle w:val="ListBullet2"/>
      </w:pPr>
      <w:r w:rsidRPr="00E20A35">
        <w:t>exting</w:t>
      </w:r>
      <w:r w:rsidRPr="00E20A35">
        <w:t>uishing powder</w:t>
      </w:r>
    </w:p>
    <w:p w:rsidR="00000000" w:rsidRPr="00E20A35" w:rsidP="00E20A35">
      <w:pPr>
        <w:pStyle w:val="ListBullet2"/>
      </w:pPr>
      <w:r w:rsidRPr="00E20A35">
        <w:t>gaseous extinguishing agents</w:t>
      </w:r>
    </w:p>
    <w:p w:rsidR="00000000" w:rsidRPr="00E20A35" w:rsidP="00E20A35">
      <w:pPr>
        <w:pStyle w:val="ListBullet2"/>
      </w:pPr>
      <w:r w:rsidRPr="00E20A35">
        <w:t>vapourising liquids</w:t>
      </w:r>
    </w:p>
    <w:p w:rsidR="00000000" w:rsidRPr="00E20A35" w:rsidP="00E20A35">
      <w:pPr>
        <w:pStyle w:val="ListBullet"/>
      </w:pPr>
      <w:r w:rsidRPr="00E20A35">
        <w:t>casualty handling techniques.</w:t>
      </w:r>
    </w:p>
    <w:p w:rsidR="00000000" w:rsidRPr="00E20A35" w:rsidP="00E20A35">
      <w:pPr>
        <w:pStyle w:val="AllowPageBreak"/>
      </w:pPr>
    </w:p>
    <w:p w:rsidR="00000000" w:rsidRPr="00E20A35" w:rsidP="00E20A35">
      <w:pPr>
        <w:pStyle w:val="Heading1"/>
      </w:pPr>
      <w:bookmarkStart w:id="4" w:name="O_1071764"/>
      <w:bookmarkEnd w:id="4"/>
      <w:r w:rsidRPr="00E20A35">
        <w:t>Assessment Conditions</w:t>
      </w:r>
    </w:p>
    <w:p w:rsidR="00000000" w:rsidRPr="00E20A35" w:rsidP="00567E34">
      <w:pPr>
        <w:pStyle w:val="BodyText"/>
      </w:pPr>
      <w:r w:rsidRPr="00E20A35">
        <w:t>Skills must have been demonstrated in the workplace or in a simulated environment that reflects workplace conditions and</w:t>
      </w:r>
      <w:r w:rsidRPr="00E20A35">
        <w:t xml:space="preserve"> contingencies. The following conditions must be met for this unit:</w:t>
      </w:r>
    </w:p>
    <w:p w:rsidR="00000000" w:rsidRPr="00E20A35" w:rsidP="00E20A35">
      <w:pPr>
        <w:pStyle w:val="ListBullet"/>
      </w:pPr>
      <w:r w:rsidRPr="00E20A35">
        <w:t xml:space="preserve">Competency must be achieved before performing this work unsupervised. Therefore this unit will typically be </w:t>
      </w:r>
      <w:r w:rsidRPr="00E20A35">
        <w:t>assessed off the job. Where assessment is undertaken on the job, appropriate supervision and safety precautions must be provided.</w:t>
      </w:r>
    </w:p>
    <w:p w:rsidR="00000000" w:rsidRPr="00E20A35" w:rsidP="00E20A35">
      <w:pPr>
        <w:pStyle w:val="ListBullet"/>
      </w:pPr>
      <w:r w:rsidRPr="00E20A35">
        <w:t xml:space="preserve">The unit should be assessed holistically and the judgement of competence based on a holistic assessment of the evidence. </w:t>
      </w:r>
    </w:p>
    <w:p w:rsidR="00000000" w:rsidRPr="00E20A35" w:rsidP="00E20A35">
      <w:pPr>
        <w:pStyle w:val="ListBullet"/>
      </w:pPr>
      <w:r w:rsidRPr="00E20A35">
        <w:t xml:space="preserve">The </w:t>
      </w:r>
      <w:r w:rsidRPr="00E20A35">
        <w:t>collection of performance evidence:</w:t>
      </w:r>
    </w:p>
    <w:p w:rsidR="00000000" w:rsidRPr="00E20A35" w:rsidP="00E20A35">
      <w:pPr>
        <w:pStyle w:val="ListBullet2"/>
      </w:pPr>
      <w:r w:rsidRPr="00E20A35">
        <w:t>should provide evidence of the ability to perform over the range of situations which might be expected to be encountered, including typical disruptions to normal, smooth work conditions</w:t>
      </w:r>
    </w:p>
    <w:p w:rsidR="00000000" w:rsidRPr="00E20A35" w:rsidP="00E20A35">
      <w:pPr>
        <w:pStyle w:val="ListBullet2"/>
      </w:pPr>
      <w:r w:rsidRPr="00E20A35">
        <w:t>must include the use of real fire</w:t>
      </w:r>
      <w:r w:rsidRPr="00E20A35">
        <w:t xml:space="preserve"> in a simulated industrial environment, appropriate tools, equipment and safety gear </w:t>
      </w:r>
    </w:p>
    <w:p w:rsidR="00000000" w:rsidRPr="00E20A35" w:rsidP="00E20A35">
      <w:pPr>
        <w:pStyle w:val="ListBullet2"/>
      </w:pPr>
      <w:r w:rsidRPr="00E20A35">
        <w:t>may use industry-based simulation for all of this unit, particularly where safety, lack of opportunity or significant cost is an issue.</w:t>
      </w:r>
    </w:p>
    <w:p w:rsidR="00000000" w:rsidRPr="00E20A35" w:rsidP="00E20A35">
      <w:pPr>
        <w:pStyle w:val="ListBullet"/>
      </w:pPr>
      <w:r w:rsidRPr="00E20A35">
        <w:t>Off-the-job assessment must suffi</w:t>
      </w:r>
      <w:r w:rsidRPr="00E20A35">
        <w:t xml:space="preserve">ciently reflect realistic operational workplace conditions that cover all aspects of workplace performance, including environment, task skills, task management skills, contingency management skills and job role environment skills.  </w:t>
      </w:r>
    </w:p>
    <w:p w:rsidR="00000000" w:rsidRPr="00E20A35" w:rsidP="00E20A35">
      <w:pPr>
        <w:pStyle w:val="ListBullet"/>
      </w:pPr>
      <w:r w:rsidRPr="00E20A35">
        <w:t>Assessment in a simulat</w:t>
      </w:r>
      <w:r w:rsidRPr="00E20A35">
        <w:t xml:space="preserve">ed environment should use evidence collected from one or more of: </w:t>
      </w:r>
    </w:p>
    <w:p w:rsidR="00000000" w:rsidRPr="00E20A35" w:rsidP="00E20A35">
      <w:pPr>
        <w:pStyle w:val="ListBullet2"/>
      </w:pPr>
      <w:r w:rsidRPr="00E20A35">
        <w:t xml:space="preserve">walk-throughs </w:t>
      </w:r>
    </w:p>
    <w:p w:rsidR="00000000" w:rsidRPr="00E20A35" w:rsidP="00E20A35">
      <w:pPr>
        <w:pStyle w:val="ListBullet2"/>
      </w:pPr>
      <w:r w:rsidRPr="00E20A35">
        <w:t xml:space="preserve">demonstration of skills </w:t>
      </w:r>
    </w:p>
    <w:p w:rsidR="00000000" w:rsidRPr="00E20A35" w:rsidP="00E20A35">
      <w:pPr>
        <w:pStyle w:val="ListBullet2"/>
      </w:pPr>
      <w:r w:rsidRPr="00E20A35">
        <w:t xml:space="preserve">industry-based case studies/scenarios </w:t>
      </w:r>
    </w:p>
    <w:p w:rsidR="00000000" w:rsidRPr="00E20A35" w:rsidP="00E20A35">
      <w:pPr>
        <w:pStyle w:val="ListBullet2"/>
      </w:pPr>
      <w:r w:rsidRPr="00E20A35">
        <w:t>‘what ifs’.</w:t>
      </w:r>
    </w:p>
    <w:p w:rsidR="00000000" w:rsidRPr="00E20A35" w:rsidP="00E20A35">
      <w:pPr>
        <w:pStyle w:val="ListBullet"/>
      </w:pPr>
      <w:r w:rsidRPr="00E20A35">
        <w:t>Knowledge evidence may be collected concurrently with performance evidence (provided a record is</w:t>
      </w:r>
      <w:r w:rsidRPr="00E20A35">
        <w:t xml:space="preserve"> kept) or through an independent process, such as workbooks, written assessments or interviews (provided a record is kept). </w:t>
      </w:r>
    </w:p>
    <w:p w:rsidR="00000000" w:rsidRPr="00E20A35" w:rsidP="00E20A35">
      <w:pPr>
        <w:pStyle w:val="ListBullet"/>
      </w:pPr>
      <w:r w:rsidRPr="00E20A35">
        <w:t>Assessment processes and techniques must be appropriate to the language, literacy and numeracy requirements of the work being perfo</w:t>
      </w:r>
      <w:r w:rsidRPr="00E20A35">
        <w:t>rmed and the needs of the candidate.</w:t>
      </w:r>
    </w:p>
    <w:p w:rsidR="00000000" w:rsidRPr="00E20A35" w:rsidP="00E20A35">
      <w:pPr>
        <w:pStyle w:val="ListBullet"/>
      </w:pPr>
      <w:r w:rsidRPr="00E20A3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20A35" w:rsidP="00E20A35">
      <w:pPr>
        <w:pStyle w:val="ListBullet"/>
      </w:pPr>
      <w:r w:rsidRPr="00E20A35">
        <w:t>The regulatory framework will be reflected in workplace policies and procedures and is not required to be independently assessed.</w:t>
      </w:r>
    </w:p>
    <w:p w:rsidR="00000000" w:rsidRPr="00E20A35" w:rsidP="00E20A35">
      <w:pPr>
        <w:pStyle w:val="ListBullet"/>
      </w:pPr>
      <w:r w:rsidRPr="00E20A35">
        <w:t>Foundation skills are integral to competent performance of the unit and should not be assessed separately.</w:t>
      </w:r>
    </w:p>
    <w:p w:rsidR="00000000" w:rsidRPr="00E20A35" w:rsidP="00E20A35">
      <w:pPr>
        <w:pStyle w:val="ListBullet"/>
      </w:pPr>
      <w:r w:rsidRPr="00E20A35">
        <w:t>Assessors must sati</w:t>
      </w:r>
      <w:r w:rsidRPr="00E20A35">
        <w:t>sfy the assessor competency requirements that are in place at the time of the assessment as set by the VET regulator.</w:t>
      </w:r>
    </w:p>
    <w:p w:rsidR="00000000" w:rsidRPr="00E20A35" w:rsidP="00E20A35">
      <w:pPr>
        <w:pStyle w:val="ListBullet"/>
      </w:pPr>
      <w:r w:rsidRPr="00E20A35">
        <w:t>In addition, the assessor or anyone acting in subject matter expert role in assessment must demonstrate both technical competency and curr</w:t>
      </w:r>
      <w:r w:rsidRPr="00E20A35">
        <w:t xml:space="preserve">ency. If the assessor cannot demonstrate technical competency and currency they must assess with a subject matter expert who does meet these requirements. </w:t>
      </w:r>
    </w:p>
    <w:p w:rsidR="00000000" w:rsidRPr="00E20A35" w:rsidP="00E20A35">
      <w:pPr>
        <w:pStyle w:val="ListBullet"/>
      </w:pPr>
      <w:r w:rsidRPr="00E20A35">
        <w:t>Technical competence can be demonstrated through one or more of:</w:t>
      </w:r>
    </w:p>
    <w:p w:rsidR="00000000" w:rsidRPr="00E20A35" w:rsidP="00E20A35">
      <w:pPr>
        <w:pStyle w:val="ListBullet2"/>
      </w:pPr>
      <w:r w:rsidRPr="00E20A35">
        <w:t>relevant VET or other qualificatio</w:t>
      </w:r>
      <w:r w:rsidRPr="00E20A35">
        <w:t xml:space="preserve">n/Statement of Attainment </w:t>
      </w:r>
    </w:p>
    <w:p w:rsidR="00000000" w:rsidRPr="00E20A35" w:rsidP="00E20A35">
      <w:pPr>
        <w:pStyle w:val="ListBullet2"/>
      </w:pPr>
      <w:r w:rsidRPr="00E20A35">
        <w:t xml:space="preserve">appropriate workplace experience undertaking the type of work being assessed under routine and non-routine conditions </w:t>
      </w:r>
    </w:p>
    <w:p w:rsidR="00000000" w:rsidRPr="00E20A35" w:rsidP="00E20A35">
      <w:pPr>
        <w:pStyle w:val="ListBullet"/>
      </w:pPr>
      <w:r w:rsidRPr="00E20A35">
        <w:t>appropriate workplace experience supervising/evaluating the type of work being assessed under routine and non</w:t>
      </w:r>
      <w:r w:rsidRPr="00E20A35">
        <w:t>-routine conditions</w:t>
      </w:r>
    </w:p>
    <w:p w:rsidR="00000000" w:rsidRPr="00E20A35" w:rsidP="00E20A35">
      <w:pPr>
        <w:pStyle w:val="ListBullet"/>
      </w:pPr>
      <w:r w:rsidRPr="00E20A35">
        <w:t>Currency can be demonstrated through one or more of:</w:t>
      </w:r>
    </w:p>
    <w:p w:rsidR="00000000" w:rsidRPr="00E20A35" w:rsidP="00E20A35">
      <w:pPr>
        <w:pStyle w:val="ListBullet2"/>
      </w:pPr>
      <w:r w:rsidRPr="00E20A35">
        <w:t xml:space="preserve">being currently employed undertaking the type of work being assessed </w:t>
      </w:r>
    </w:p>
    <w:p w:rsidR="00000000" w:rsidRPr="00E20A35" w:rsidP="00E20A35">
      <w:pPr>
        <w:pStyle w:val="ListBullet2"/>
      </w:pPr>
      <w:r w:rsidRPr="00E20A35">
        <w:t>being employed by the organisation undertaking the type of work being assessed and having maintained currency in</w:t>
      </w:r>
      <w:r w:rsidRPr="00E20A35">
        <w:t xml:space="preserve"> accordance with that organisation’s policies and procedures </w:t>
      </w:r>
    </w:p>
    <w:p w:rsidR="00000000" w:rsidRPr="00E20A35" w:rsidP="00E20A35">
      <w:pPr>
        <w:pStyle w:val="ListBullet2"/>
      </w:pPr>
      <w:r w:rsidRPr="00E20A35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E20A35" w:rsidP="00E20A35">
      <w:pPr>
        <w:pStyle w:val="ListBullet2"/>
      </w:pPr>
      <w:r w:rsidRPr="00E20A35">
        <w:t>conducting on-t</w:t>
      </w:r>
      <w:r w:rsidRPr="00E20A35">
        <w:t xml:space="preserve">he-job training/assessments of the type of work being assessed </w:t>
      </w:r>
    </w:p>
    <w:p w:rsidR="00000000" w:rsidRPr="00E20A35" w:rsidP="00E20A35">
      <w:pPr>
        <w:pStyle w:val="ListBullet2"/>
      </w:pPr>
      <w:r w:rsidRPr="00E20A35">
        <w:t>being an active member of a relevant professional body and participating in activities relevant to the assessment of this type of work.</w:t>
      </w:r>
    </w:p>
    <w:p w:rsidR="00000000" w:rsidRPr="00E20A35" w:rsidP="00E20A35">
      <w:pPr>
        <w:pStyle w:val="BodyText"/>
      </w:pPr>
    </w:p>
    <w:p w:rsidR="00000000" w:rsidRPr="00E20A35" w:rsidP="00567E34">
      <w:pPr>
        <w:pStyle w:val="BodyText"/>
      </w:pPr>
      <w:r w:rsidRPr="00E20A35">
        <w:t>Assessors must satisfy the NVR/AQTF mandatory competency requirements for assessors.</w:t>
      </w:r>
    </w:p>
    <w:p w:rsidR="00000000" w:rsidRPr="00E20A35" w:rsidP="00E20A35">
      <w:pPr>
        <w:pStyle w:val="Heading1"/>
      </w:pPr>
      <w:bookmarkStart w:id="5" w:name="O_1071779"/>
      <w:bookmarkEnd w:id="5"/>
      <w:r w:rsidRPr="00E20A35">
        <w:t>Links</w:t>
      </w:r>
    </w:p>
    <w:p w:rsidR="00000000" w:rsidRPr="00E20A35" w:rsidP="00567E34">
      <w:pPr>
        <w:pStyle w:val="BodyText"/>
      </w:pPr>
      <w:r w:rsidRPr="00E20A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C3DD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20A35" w:rsidP="00E20A35"/>
    <w:sectPr w:rsidSect="00E20A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A35" w:rsidRPr="00567E34" w:rsidP="00567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34" w:rsidP="00E20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E34" w:rsidP="00E20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7E34" w:rsidP="00E20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A35" w:rsidRPr="00567E34" w:rsidP="00567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34" w:rsidRPr="002D2AF8" w:rsidP="00E20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PMAWHS213 Undertake fire control and emergency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567E34" w:rsidP="00E20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5C11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EF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8D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A35"/>
  </w:style>
  <w:style w:type="character" w:customStyle="1" w:styleId="Heading1Char">
    <w:name w:val="Heading 1 Char"/>
    <w:basedOn w:val="DefaultParagraphFont"/>
    <w:link w:val="Heading1"/>
    <w:rsid w:val="00E20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A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0A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A35"/>
    <w:rPr>
      <w:b/>
      <w:spacing w:val="0"/>
    </w:rPr>
  </w:style>
  <w:style w:type="paragraph" w:customStyle="1" w:styleId="SuperTitle">
    <w:name w:val="SuperTitle"/>
    <w:basedOn w:val="Title"/>
    <w:rsid w:val="00E20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A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A35"/>
    <w:rPr>
      <w:i/>
    </w:rPr>
  </w:style>
  <w:style w:type="paragraph" w:styleId="Caption">
    <w:name w:val="caption"/>
    <w:basedOn w:val="BodyText"/>
    <w:next w:val="Normal"/>
    <w:qFormat/>
    <w:rsid w:val="00E20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A35"/>
  </w:style>
  <w:style w:type="paragraph" w:styleId="TableofFigures">
    <w:name w:val="table of figures"/>
    <w:basedOn w:val="Normal"/>
    <w:next w:val="Normal"/>
    <w:semiHidden/>
    <w:rsid w:val="00E20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A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0A35"/>
    <w:rPr>
      <w:rFonts w:ascii="Wingdings" w:hAnsi="Wingdings"/>
    </w:rPr>
  </w:style>
  <w:style w:type="paragraph" w:customStyle="1" w:styleId="TableHeading">
    <w:name w:val="Table Heading"/>
    <w:basedOn w:val="HeadingBase"/>
    <w:rsid w:val="00E20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A35"/>
    <w:rPr>
      <w:color w:val="0033CC"/>
      <w:u w:val="none"/>
    </w:rPr>
  </w:style>
  <w:style w:type="paragraph" w:customStyle="1" w:styleId="BodyTextRight">
    <w:name w:val="Body Text Right"/>
    <w:basedOn w:val="BodyText"/>
    <w:rsid w:val="00E20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A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A35"/>
    <w:rPr>
      <w:sz w:val="32"/>
    </w:rPr>
  </w:style>
  <w:style w:type="paragraph" w:customStyle="1" w:styleId="HeadingProcedure">
    <w:name w:val="Heading Procedure"/>
    <w:basedOn w:val="HeadingBase"/>
    <w:next w:val="Normal"/>
    <w:rsid w:val="00E20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A35"/>
    <w:pPr>
      <w:spacing w:before="60" w:after="60"/>
    </w:pPr>
  </w:style>
  <w:style w:type="paragraph" w:styleId="ListContinue">
    <w:name w:val="List Continue"/>
    <w:basedOn w:val="List"/>
    <w:rsid w:val="00E20A35"/>
    <w:pPr>
      <w:ind w:firstLine="0"/>
    </w:pPr>
  </w:style>
  <w:style w:type="paragraph" w:customStyle="1" w:styleId="ListNote">
    <w:name w:val="List Note"/>
    <w:basedOn w:val="List"/>
    <w:rsid w:val="00E20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A35"/>
    <w:rPr>
      <w:rFonts w:ascii="Courier New" w:hAnsi="Courier New"/>
    </w:rPr>
  </w:style>
  <w:style w:type="paragraph" w:customStyle="1" w:styleId="NoteBullet">
    <w:name w:val="Note Bullet"/>
    <w:basedOn w:val="Note"/>
    <w:rsid w:val="00E20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A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A35"/>
    <w:rPr>
      <w:b/>
      <w:smallCaps/>
    </w:rPr>
  </w:style>
  <w:style w:type="paragraph" w:customStyle="1" w:styleId="TableListNumber">
    <w:name w:val="Table List Number"/>
    <w:basedOn w:val="ListNumber"/>
    <w:rsid w:val="00E20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A35"/>
    <w:pPr>
      <w:numPr>
        <w:numId w:val="9"/>
      </w:numPr>
    </w:pPr>
  </w:style>
  <w:style w:type="paragraph" w:customStyle="1" w:styleId="ListAlpha2">
    <w:name w:val="List Alpha 2"/>
    <w:basedOn w:val="List2"/>
    <w:rsid w:val="00E20A35"/>
    <w:pPr>
      <w:numPr>
        <w:numId w:val="8"/>
      </w:numPr>
    </w:pPr>
  </w:style>
  <w:style w:type="paragraph" w:styleId="List2">
    <w:name w:val="List 2"/>
    <w:basedOn w:val="BodyText"/>
    <w:rsid w:val="00E20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A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A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0A35"/>
    <w:pPr>
      <w:numPr>
        <w:numId w:val="4"/>
      </w:numPr>
    </w:pPr>
  </w:style>
  <w:style w:type="paragraph" w:styleId="ListContinue2">
    <w:name w:val="List Continue 2"/>
    <w:basedOn w:val="List2"/>
    <w:rsid w:val="00E20A35"/>
    <w:pPr>
      <w:ind w:firstLine="0"/>
    </w:pPr>
  </w:style>
  <w:style w:type="paragraph" w:styleId="ListContinue3">
    <w:name w:val="List Continue 3"/>
    <w:basedOn w:val="List3"/>
    <w:rsid w:val="00E20A35"/>
    <w:pPr>
      <w:ind w:left="1021" w:firstLine="0"/>
    </w:pPr>
  </w:style>
  <w:style w:type="paragraph" w:styleId="ListContinue4">
    <w:name w:val="List Continue 4"/>
    <w:basedOn w:val="List4"/>
    <w:rsid w:val="00E20A35"/>
    <w:pPr>
      <w:ind w:firstLine="0"/>
    </w:pPr>
  </w:style>
  <w:style w:type="paragraph" w:styleId="ListContinue5">
    <w:name w:val="List Continue 5"/>
    <w:basedOn w:val="List5"/>
    <w:rsid w:val="00E20A35"/>
    <w:pPr>
      <w:ind w:firstLine="0"/>
    </w:pPr>
  </w:style>
  <w:style w:type="paragraph" w:styleId="ListNumber3">
    <w:name w:val="List Number 3"/>
    <w:basedOn w:val="List3"/>
    <w:rsid w:val="00E20A35"/>
    <w:pPr>
      <w:numPr>
        <w:numId w:val="5"/>
      </w:numPr>
    </w:pPr>
  </w:style>
  <w:style w:type="paragraph" w:styleId="ListNumber4">
    <w:name w:val="List Number 4"/>
    <w:basedOn w:val="List4"/>
    <w:rsid w:val="00E20A35"/>
    <w:pPr>
      <w:numPr>
        <w:numId w:val="6"/>
      </w:numPr>
    </w:pPr>
  </w:style>
  <w:style w:type="paragraph" w:styleId="ListNumber5">
    <w:name w:val="List Number 5"/>
    <w:basedOn w:val="List5"/>
    <w:rsid w:val="00E20A35"/>
    <w:pPr>
      <w:numPr>
        <w:numId w:val="7"/>
      </w:numPr>
    </w:pPr>
  </w:style>
  <w:style w:type="paragraph" w:styleId="BlockText">
    <w:name w:val="Block Text"/>
    <w:basedOn w:val="Normal"/>
    <w:rsid w:val="00E20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A35"/>
    <w:rPr>
      <w:sz w:val="16"/>
      <w:vertAlign w:val="superscript"/>
    </w:rPr>
  </w:style>
  <w:style w:type="character" w:customStyle="1" w:styleId="Symbols">
    <w:name w:val="Symbols"/>
    <w:basedOn w:val="DefaultParagraphFont"/>
    <w:rsid w:val="00E20A35"/>
    <w:rPr>
      <w:rFonts w:ascii="Symbol" w:hAnsi="Symbol"/>
    </w:rPr>
  </w:style>
  <w:style w:type="character" w:customStyle="1" w:styleId="MenuOptions">
    <w:name w:val="Menu Options"/>
    <w:basedOn w:val="DefaultParagraphFont"/>
    <w:rsid w:val="00E20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A35"/>
    <w:rPr>
      <w:b/>
    </w:rPr>
  </w:style>
  <w:style w:type="character" w:customStyle="1" w:styleId="Underlined">
    <w:name w:val="Underlined"/>
    <w:basedOn w:val="DefaultParagraphFont"/>
    <w:rsid w:val="00E20A35"/>
    <w:rPr>
      <w:u w:val="single"/>
    </w:rPr>
  </w:style>
  <w:style w:type="paragraph" w:customStyle="1" w:styleId="TableBodyTextRight">
    <w:name w:val="Table Body Text Right"/>
    <w:basedOn w:val="TableBodyText"/>
    <w:rsid w:val="00E20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A35"/>
    <w:rPr>
      <w:sz w:val="18"/>
    </w:rPr>
  </w:style>
  <w:style w:type="paragraph" w:customStyle="1" w:styleId="BodySmallRight">
    <w:name w:val="Body Small Right"/>
    <w:basedOn w:val="BodyTextRight"/>
    <w:rsid w:val="00E20A35"/>
    <w:rPr>
      <w:sz w:val="18"/>
      <w:szCs w:val="18"/>
    </w:rPr>
  </w:style>
  <w:style w:type="paragraph" w:customStyle="1" w:styleId="MarginEdition">
    <w:name w:val="Margin Edition"/>
    <w:basedOn w:val="MarginNote"/>
    <w:rsid w:val="00E20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A35"/>
    <w:rPr>
      <w:sz w:val="2"/>
      <w:szCs w:val="2"/>
    </w:rPr>
  </w:style>
  <w:style w:type="character" w:customStyle="1" w:styleId="Small">
    <w:name w:val="Small"/>
    <w:basedOn w:val="DefaultParagraphFont"/>
    <w:rsid w:val="00E20A35"/>
    <w:rPr>
      <w:sz w:val="16"/>
    </w:rPr>
  </w:style>
  <w:style w:type="paragraph" w:customStyle="1" w:styleId="WideTable">
    <w:name w:val="Wide Table"/>
    <w:basedOn w:val="Normal"/>
    <w:rsid w:val="00E20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A35"/>
  </w:style>
  <w:style w:type="paragraph" w:styleId="Quote">
    <w:name w:val="Quote"/>
    <w:basedOn w:val="Heading1"/>
    <w:link w:val="QuoteChar"/>
    <w:qFormat/>
    <w:rsid w:val="00E20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A35"/>
    <w:pPr>
      <w:pageBreakBefore/>
    </w:pPr>
  </w:style>
  <w:style w:type="paragraph" w:customStyle="1" w:styleId="Border">
    <w:name w:val="Border"/>
    <w:basedOn w:val="Normal"/>
    <w:qFormat/>
    <w:rsid w:val="00E20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A35"/>
    <w:rPr>
      <w:u w:val="single"/>
    </w:rPr>
  </w:style>
  <w:style w:type="character" w:customStyle="1" w:styleId="BoldandItalics">
    <w:name w:val="Bold and Italics"/>
    <w:qFormat/>
    <w:rsid w:val="00E20A35"/>
    <w:rPr>
      <w:b/>
      <w:i/>
      <w:u w:val="none"/>
    </w:rPr>
  </w:style>
  <w:style w:type="paragraph" w:styleId="BalloonText">
    <w:name w:val="Balloon Text"/>
    <w:basedOn w:val="Normal"/>
    <w:link w:val="BalloonTextChar"/>
    <w:rsid w:val="00E20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A35"/>
    <w:pPr>
      <w:spacing w:before="0" w:after="0"/>
    </w:pPr>
  </w:style>
  <w:style w:type="paragraph" w:customStyle="1" w:styleId="BodyTextBold">
    <w:name w:val="Body Text Bold"/>
    <w:basedOn w:val="BodyText"/>
    <w:qFormat/>
    <w:rsid w:val="00E20A35"/>
    <w:rPr>
      <w:b/>
    </w:rPr>
  </w:style>
  <w:style w:type="character" w:styleId="Hyperlink">
    <w:name w:val="Hyperlink"/>
    <w:basedOn w:val="DefaultParagraphFont"/>
    <w:uiPriority w:val="99"/>
    <w:unhideWhenUsed/>
    <w:rsid w:val="00567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5009</Characters>
  <Application>Microsoft Office Word</Application>
  <DocSecurity>0</DocSecurity>
  <Lines>111</Lines>
  <Paragraphs>75</Paragraphs>
  <ScaleCrop>false</ScaleCrop>
  <Company>Author-it Software Corporation Ltd.</Company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PMAWHS213 Undertake fire control and emergency rescue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