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080" w:rsidP="00E01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PMAWHS211 Prepare equipment for emergency response</w:t>
      </w:r>
      <w:r>
        <w:fldChar w:fldCharType="end"/>
      </w:r>
    </w:p>
    <w:p w:rsidR="00E01080" w:rsidP="00E01080">
      <w:pPr>
        <w:pStyle w:val="Version"/>
        <w:sectPr w:rsidSect="002E1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370" w:rsidP="002E1370">
      <w:pPr>
        <w:pStyle w:val="SuperHeading"/>
      </w:pPr>
      <w:r w:rsidRPr="002E1370">
        <w:t>Assessment Requirements for PMAWHS211 Prepare equipment for emergency response</w:t>
      </w:r>
    </w:p>
    <w:p w:rsidR="00000000" w:rsidRPr="002E1370" w:rsidP="002E1370">
      <w:pPr>
        <w:pStyle w:val="Heading1"/>
      </w:pPr>
      <w:bookmarkStart w:id="1" w:name="O_909262"/>
      <w:bookmarkEnd w:id="1"/>
      <w:r w:rsidRPr="002E1370">
        <w:t>Modification History</w:t>
      </w:r>
    </w:p>
    <w:p w:rsidR="00000000" w:rsidRPr="002E1370" w:rsidP="00E01080">
      <w:pPr>
        <w:pStyle w:val="BodyText"/>
      </w:pPr>
      <w:r w:rsidRPr="002E1370">
        <w:t>Release 1. Supersedes and is equivalent to PMAOHS211B Prepare equipment for emergency response</w:t>
      </w:r>
    </w:p>
    <w:p w:rsidR="00000000" w:rsidRPr="002E1370" w:rsidP="002E1370">
      <w:pPr>
        <w:pStyle w:val="Heading1"/>
      </w:pPr>
      <w:bookmarkStart w:id="2" w:name="O_909265"/>
      <w:bookmarkEnd w:id="2"/>
      <w:r w:rsidRPr="002E1370">
        <w:t>Performance Evidence</w:t>
      </w:r>
    </w:p>
    <w:p w:rsidR="00000000" w:rsidRPr="002E1370" w:rsidP="00E01080">
      <w:pPr>
        <w:pStyle w:val="BodyText"/>
      </w:pPr>
      <w:r w:rsidRPr="002E1370">
        <w:t>Evidence required to demonstrate competence in this unit must be relevant to and satisfy the requirements of the elements and performance criteria, and include the ability to:</w:t>
      </w:r>
    </w:p>
    <w:p w:rsidR="00000000" w:rsidRPr="002E1370" w:rsidP="002E1370">
      <w:pPr>
        <w:pStyle w:val="ListBullet"/>
      </w:pPr>
      <w:r w:rsidRPr="002E1370">
        <w:t>assemble, inspect and service at least three (3) pieces of emergency response e</w:t>
      </w:r>
      <w:r w:rsidRPr="002E1370">
        <w:t>quipment</w:t>
      </w:r>
    </w:p>
    <w:p w:rsidR="00000000" w:rsidRPr="002E1370" w:rsidP="002E1370">
      <w:pPr>
        <w:pStyle w:val="ListBullet"/>
      </w:pPr>
      <w:r w:rsidRPr="002E1370">
        <w:t xml:space="preserve">check that equipment functions according to specifications </w:t>
      </w:r>
    </w:p>
    <w:p w:rsidR="00000000" w:rsidRPr="002E1370" w:rsidP="002E1370">
      <w:pPr>
        <w:pStyle w:val="ListBullet"/>
      </w:pPr>
      <w:r w:rsidRPr="002E1370">
        <w:t>store the emergency response equipment</w:t>
      </w:r>
    </w:p>
    <w:p w:rsidR="00000000" w:rsidRPr="002E1370" w:rsidP="002E1370">
      <w:pPr>
        <w:pStyle w:val="ListBullet"/>
      </w:pPr>
      <w:r w:rsidRPr="002E1370">
        <w:t>recognise early warning signs of equipment in need of servicing and take action</w:t>
      </w:r>
    </w:p>
    <w:p w:rsidR="00000000" w:rsidRPr="002E1370" w:rsidP="002E1370">
      <w:pPr>
        <w:pStyle w:val="ListBullet"/>
      </w:pPr>
      <w:r w:rsidRPr="002E1370">
        <w:t>complete records and forms.</w:t>
      </w:r>
    </w:p>
    <w:p w:rsidR="00000000" w:rsidRPr="002E1370" w:rsidP="002E1370">
      <w:pPr>
        <w:pStyle w:val="AllowPageBreak"/>
      </w:pPr>
    </w:p>
    <w:p w:rsidR="00000000" w:rsidRPr="002E1370" w:rsidP="002E1370">
      <w:pPr>
        <w:pStyle w:val="Heading1"/>
      </w:pPr>
      <w:bookmarkStart w:id="3" w:name="O_909264"/>
      <w:bookmarkEnd w:id="3"/>
      <w:r w:rsidRPr="002E1370">
        <w:t>Knowledge Evidence</w:t>
      </w:r>
    </w:p>
    <w:p w:rsidR="00000000" w:rsidRPr="002E1370" w:rsidP="00E01080">
      <w:pPr>
        <w:pStyle w:val="BodyText"/>
      </w:pPr>
      <w:r w:rsidRPr="002E1370">
        <w:t>Evid</w:t>
      </w:r>
      <w:r w:rsidRPr="002E1370">
        <w:t>ence must be provided that demonstrates knowledge of:</w:t>
      </w:r>
    </w:p>
    <w:p w:rsidR="00000000" w:rsidRPr="002E1370" w:rsidP="002E1370">
      <w:pPr>
        <w:pStyle w:val="ListBullet"/>
      </w:pPr>
      <w:r w:rsidRPr="002E1370">
        <w:t>types and application of emergency response equipment</w:t>
      </w:r>
    </w:p>
    <w:p w:rsidR="00000000" w:rsidRPr="002E1370" w:rsidP="002E1370">
      <w:pPr>
        <w:pStyle w:val="ListBullet"/>
      </w:pPr>
      <w:r w:rsidRPr="002E1370">
        <w:t>principles of operation of the emergency response equipment</w:t>
      </w:r>
    </w:p>
    <w:p w:rsidR="00000000" w:rsidRPr="002E1370" w:rsidP="002E1370">
      <w:pPr>
        <w:pStyle w:val="ListBullet"/>
      </w:pPr>
      <w:r w:rsidRPr="002E1370">
        <w:t>sources of information for equipment servicing schedules and processes</w:t>
      </w:r>
    </w:p>
    <w:p w:rsidR="00000000" w:rsidRPr="002E1370" w:rsidP="002E1370">
      <w:pPr>
        <w:pStyle w:val="ListBullet"/>
      </w:pPr>
      <w:r w:rsidRPr="002E1370">
        <w:t>hazards that may</w:t>
      </w:r>
      <w:r w:rsidRPr="002E1370">
        <w:t xml:space="preserve"> arise in the job/work environment</w:t>
      </w:r>
    </w:p>
    <w:p w:rsidR="00000000" w:rsidRPr="002E1370" w:rsidP="002E1370">
      <w:pPr>
        <w:pStyle w:val="ListBullet"/>
      </w:pPr>
      <w:r w:rsidRPr="002E1370">
        <w:t>hierarchy of controls.</w:t>
      </w:r>
    </w:p>
    <w:p w:rsidR="00000000" w:rsidRPr="002E1370" w:rsidP="002E1370">
      <w:pPr>
        <w:pStyle w:val="AllowPageBreak"/>
      </w:pPr>
    </w:p>
    <w:p w:rsidR="00000000" w:rsidRPr="002E1370" w:rsidP="002E1370">
      <w:pPr>
        <w:pStyle w:val="Heading1"/>
      </w:pPr>
      <w:bookmarkStart w:id="4" w:name="O_909263"/>
      <w:bookmarkEnd w:id="4"/>
      <w:r w:rsidRPr="002E1370">
        <w:t>Assessment Conditions</w:t>
      </w:r>
    </w:p>
    <w:p w:rsidR="00000000" w:rsidRPr="002E1370" w:rsidP="002E1370">
      <w:pPr>
        <w:pStyle w:val="ListBullet"/>
      </w:pPr>
      <w:r w:rsidRPr="002E1370">
        <w:t xml:space="preserve">The unit should be assessed holistically and the judgement of competence based on a holistic assessment of the evidence. </w:t>
      </w:r>
    </w:p>
    <w:p w:rsidR="00000000" w:rsidRPr="002E1370" w:rsidP="002E1370">
      <w:pPr>
        <w:pStyle w:val="ListBullet"/>
      </w:pPr>
      <w:r w:rsidRPr="002E1370">
        <w:t>The collection of performance evidence:</w:t>
      </w:r>
    </w:p>
    <w:p w:rsidR="00000000" w:rsidRPr="002E1370" w:rsidP="002E1370">
      <w:pPr>
        <w:pStyle w:val="ListBullet2"/>
      </w:pPr>
      <w:r w:rsidRPr="002E1370">
        <w:t>should provide evidence of the ability to perform over the range of situations which might be expected to be encountered, including typical disruptions to normal, smooth work conditions</w:t>
      </w:r>
    </w:p>
    <w:p w:rsidR="00000000" w:rsidRPr="002E1370" w:rsidP="002E1370">
      <w:pPr>
        <w:pStyle w:val="ListBullet2"/>
      </w:pPr>
      <w:r w:rsidRPr="002E1370">
        <w:t>must include the use of appro</w:t>
      </w:r>
      <w:r w:rsidRPr="002E1370">
        <w:t>priate tools, equipment and safety gear requiring demonstration of preparation, operation, completion and responding to problems</w:t>
      </w:r>
    </w:p>
    <w:p w:rsidR="00000000" w:rsidRPr="002E1370" w:rsidP="002E1370">
      <w:pPr>
        <w:pStyle w:val="ListBullet2"/>
      </w:pPr>
      <w:r w:rsidRPr="002E1370">
        <w:t>may use industry-based simulation particularly where safety, lack of opportunity or significant cost is an issue.</w:t>
      </w:r>
    </w:p>
    <w:p w:rsidR="00000000" w:rsidRPr="002E1370" w:rsidP="002E1370">
      <w:pPr>
        <w:pStyle w:val="ListBullet"/>
      </w:pPr>
      <w:r w:rsidRPr="002E1370">
        <w:t xml:space="preserve">Off-the-job </w:t>
      </w:r>
      <w:r w:rsidRPr="002E1370">
        <w:t xml:space="preserve">assessment must sufficiently reflect realistic operational workplace conditions that cover all aspects of workplace performance, including environment, task skills, task management skills, contingency management skills and job role environment skills.  </w:t>
      </w:r>
    </w:p>
    <w:p w:rsidR="00000000" w:rsidRPr="002E1370" w:rsidP="002E1370">
      <w:pPr>
        <w:pStyle w:val="ListBullet"/>
      </w:pPr>
      <w:r w:rsidRPr="002E1370">
        <w:t>Kn</w:t>
      </w:r>
      <w:r w:rsidRPr="002E1370">
        <w:t xml:space="preserve">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2E1370" w:rsidP="002E1370">
      <w:pPr>
        <w:pStyle w:val="ListBullet"/>
      </w:pPr>
      <w:r w:rsidRPr="002E1370">
        <w:t>Assessment processes and techniques m</w:t>
      </w:r>
      <w:r w:rsidRPr="002E1370">
        <w:t>ust be appropriate to the language, literacy and numeracy requirements of the work being performed and the needs of the candidate.</w:t>
      </w:r>
    </w:p>
    <w:p w:rsidR="00000000" w:rsidRPr="002E1370" w:rsidP="002E1370">
      <w:pPr>
        <w:pStyle w:val="ListBullet"/>
      </w:pPr>
      <w:r w:rsidRPr="002E1370">
        <w:t>Conditions for assessment must include access to all tools, equipment, materials and documentation required, including releva</w:t>
      </w:r>
      <w:r w:rsidRPr="002E1370">
        <w:t>nt workplace procedures, product and manufacturing specifications associated with this unit.</w:t>
      </w:r>
    </w:p>
    <w:p w:rsidR="00000000" w:rsidRPr="002E1370" w:rsidP="002E1370">
      <w:pPr>
        <w:pStyle w:val="ListBullet"/>
      </w:pPr>
      <w:r w:rsidRPr="002E1370">
        <w:t>The regulatory framework will be reflected in workplace policies and procedures and is not required to be independently assessed.</w:t>
      </w:r>
    </w:p>
    <w:p w:rsidR="00000000" w:rsidRPr="002E1370" w:rsidP="002E1370">
      <w:pPr>
        <w:pStyle w:val="ListBullet"/>
      </w:pPr>
      <w:r w:rsidRPr="002E1370">
        <w:t>Foundation skills are integral to</w:t>
      </w:r>
      <w:r w:rsidRPr="002E1370">
        <w:t xml:space="preserve"> competent performance of the unit and should not be assessed separately. </w:t>
      </w:r>
    </w:p>
    <w:p w:rsidR="00000000" w:rsidRPr="002E1370" w:rsidP="002E1370">
      <w:pPr>
        <w:pStyle w:val="ListBullet"/>
      </w:pPr>
      <w:r w:rsidRPr="002E1370">
        <w:t>Assessors must satisfy the assessor competency requirements that are in place at the time of the assessment as set by the VET regulator.</w:t>
      </w:r>
    </w:p>
    <w:p w:rsidR="00000000" w:rsidRPr="002E1370" w:rsidP="002E1370">
      <w:pPr>
        <w:pStyle w:val="ListBullet"/>
      </w:pPr>
      <w:r w:rsidRPr="002E1370">
        <w:t>In addition, the assessor or anyone acting i</w:t>
      </w:r>
      <w:r w:rsidRPr="002E1370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2E1370" w:rsidP="002E1370">
      <w:pPr>
        <w:pStyle w:val="ListBullet"/>
      </w:pPr>
      <w:r w:rsidRPr="002E1370">
        <w:t>Techni</w:t>
      </w:r>
      <w:r w:rsidRPr="002E1370">
        <w:t>cal competence can be demonstrated through one or more of:</w:t>
      </w:r>
    </w:p>
    <w:p w:rsidR="00000000" w:rsidRPr="002E1370" w:rsidP="002E1370">
      <w:pPr>
        <w:pStyle w:val="ListBullet2"/>
      </w:pPr>
      <w:r w:rsidRPr="002E1370">
        <w:t xml:space="preserve">relevant VET or other qualification/Statement of Attainment </w:t>
      </w:r>
    </w:p>
    <w:p w:rsidR="00000000" w:rsidRPr="002E1370" w:rsidP="002E1370">
      <w:pPr>
        <w:pStyle w:val="ListBullet2"/>
      </w:pPr>
      <w:r w:rsidRPr="002E1370">
        <w:t xml:space="preserve">appropriate workplace experience undertaking the type of work being assessed under routine and non-routine conditions </w:t>
      </w:r>
    </w:p>
    <w:p w:rsidR="00000000" w:rsidRPr="002E1370" w:rsidP="002E1370">
      <w:pPr>
        <w:pStyle w:val="ListBullet2"/>
      </w:pPr>
      <w:r w:rsidRPr="002E1370">
        <w:t>appropriate workplace experience supervising/evaluating the type of work being assessed under routine and non-routine conditions</w:t>
      </w:r>
    </w:p>
    <w:p w:rsidR="00000000" w:rsidRPr="002E1370" w:rsidP="002E1370">
      <w:pPr>
        <w:pStyle w:val="ListBullet"/>
      </w:pPr>
      <w:r w:rsidRPr="002E1370">
        <w:t>Currency can be demonstrated through one or more of:</w:t>
      </w:r>
    </w:p>
    <w:p w:rsidR="00000000" w:rsidRPr="002E1370" w:rsidP="002E1370">
      <w:pPr>
        <w:pStyle w:val="ListBullet2"/>
      </w:pPr>
      <w:r w:rsidRPr="002E1370">
        <w:t xml:space="preserve">being currently employed undertaking the type of work being assessed </w:t>
      </w:r>
    </w:p>
    <w:p w:rsidR="00000000" w:rsidRPr="002E1370" w:rsidP="002E1370">
      <w:pPr>
        <w:pStyle w:val="ListBullet2"/>
      </w:pPr>
      <w:r w:rsidRPr="002E1370">
        <w:t>be</w:t>
      </w:r>
      <w:r w:rsidRPr="002E1370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2E1370" w:rsidP="002E1370">
      <w:pPr>
        <w:pStyle w:val="ListBullet2"/>
      </w:pPr>
      <w:r w:rsidRPr="002E1370">
        <w:t>having consulted/had contact with an organisation undertaking the type of work being</w:t>
      </w:r>
      <w:r w:rsidRPr="002E1370">
        <w:t xml:space="preserve"> assessed within the last twelve months, the consultation/contact being related to assessment </w:t>
      </w:r>
    </w:p>
    <w:p w:rsidR="00000000" w:rsidRPr="002E1370" w:rsidP="002E1370">
      <w:pPr>
        <w:pStyle w:val="ListBullet2"/>
      </w:pPr>
      <w:r w:rsidRPr="002E1370">
        <w:t xml:space="preserve">conducting on-the-job training/assessments of the type of work being assessed </w:t>
      </w:r>
    </w:p>
    <w:p w:rsidR="00000000" w:rsidRPr="002E1370" w:rsidP="002E1370">
      <w:pPr>
        <w:pStyle w:val="ListBullet2"/>
      </w:pPr>
      <w:r w:rsidRPr="002E1370">
        <w:t>being an active member of a relevant professional body and participating in activi</w:t>
      </w:r>
      <w:r w:rsidRPr="002E1370">
        <w:t>ties relevant to the assessment of this type of work.</w:t>
      </w:r>
    </w:p>
    <w:p w:rsidR="00000000" w:rsidRPr="002E1370" w:rsidP="002E1370">
      <w:pPr>
        <w:pStyle w:val="AllowPageBreak"/>
      </w:pPr>
    </w:p>
    <w:p w:rsidR="00000000" w:rsidRPr="002E1370" w:rsidP="002E1370">
      <w:pPr>
        <w:pStyle w:val="Heading1"/>
      </w:pPr>
      <w:bookmarkStart w:id="5" w:name="O_909261"/>
      <w:bookmarkEnd w:id="5"/>
      <w:r w:rsidRPr="002E1370">
        <w:t>Links</w:t>
      </w:r>
    </w:p>
    <w:p w:rsidR="00000000" w:rsidRPr="002E1370" w:rsidP="00E01080">
      <w:pPr>
        <w:pStyle w:val="BodyText"/>
      </w:pPr>
      <w:r w:rsidRPr="002E1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8625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E1370" w:rsidP="002E1370"/>
    <w:sectPr w:rsidSect="002E1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70" w:rsidRPr="00E01080" w:rsidP="00E01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80" w:rsidP="002E1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080" w:rsidP="002E1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1080" w:rsidP="002E1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370" w:rsidRPr="00E01080" w:rsidP="00E01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80" w:rsidRPr="002D2AF8" w:rsidP="002E1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PMAWHS211 Prepare equipment for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01080" w:rsidP="002E1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10A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63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EE0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370"/>
  </w:style>
  <w:style w:type="character" w:customStyle="1" w:styleId="Heading1Char">
    <w:name w:val="Heading 1 Char"/>
    <w:basedOn w:val="DefaultParagraphFont"/>
    <w:link w:val="Heading1"/>
    <w:rsid w:val="002E1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3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3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370"/>
    <w:rPr>
      <w:b/>
      <w:spacing w:val="0"/>
    </w:rPr>
  </w:style>
  <w:style w:type="paragraph" w:customStyle="1" w:styleId="SuperTitle">
    <w:name w:val="SuperTitle"/>
    <w:basedOn w:val="Title"/>
    <w:rsid w:val="002E1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3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370"/>
    <w:rPr>
      <w:i/>
    </w:rPr>
  </w:style>
  <w:style w:type="paragraph" w:styleId="Caption">
    <w:name w:val="caption"/>
    <w:basedOn w:val="BodyText"/>
    <w:next w:val="Normal"/>
    <w:qFormat/>
    <w:rsid w:val="002E1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370"/>
  </w:style>
  <w:style w:type="paragraph" w:styleId="TableofFigures">
    <w:name w:val="table of figures"/>
    <w:basedOn w:val="Normal"/>
    <w:next w:val="Normal"/>
    <w:semiHidden/>
    <w:rsid w:val="002E1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3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370"/>
    <w:rPr>
      <w:rFonts w:ascii="Wingdings" w:hAnsi="Wingdings"/>
    </w:rPr>
  </w:style>
  <w:style w:type="paragraph" w:customStyle="1" w:styleId="TableHeading">
    <w:name w:val="Table Heading"/>
    <w:basedOn w:val="HeadingBase"/>
    <w:rsid w:val="002E1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370"/>
    <w:rPr>
      <w:color w:val="0033CC"/>
      <w:u w:val="none"/>
    </w:rPr>
  </w:style>
  <w:style w:type="paragraph" w:customStyle="1" w:styleId="BodyTextRight">
    <w:name w:val="Body Text Right"/>
    <w:basedOn w:val="BodyText"/>
    <w:rsid w:val="002E1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3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370"/>
    <w:rPr>
      <w:sz w:val="32"/>
    </w:rPr>
  </w:style>
  <w:style w:type="paragraph" w:customStyle="1" w:styleId="HeadingProcedure">
    <w:name w:val="Heading Procedure"/>
    <w:basedOn w:val="HeadingBase"/>
    <w:next w:val="Normal"/>
    <w:rsid w:val="002E1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370"/>
    <w:pPr>
      <w:spacing w:before="60" w:after="60"/>
    </w:pPr>
  </w:style>
  <w:style w:type="paragraph" w:styleId="ListContinue">
    <w:name w:val="List Continue"/>
    <w:basedOn w:val="List"/>
    <w:rsid w:val="002E1370"/>
    <w:pPr>
      <w:ind w:firstLine="0"/>
    </w:pPr>
  </w:style>
  <w:style w:type="paragraph" w:customStyle="1" w:styleId="ListNote">
    <w:name w:val="List Note"/>
    <w:basedOn w:val="List"/>
    <w:rsid w:val="002E1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370"/>
    <w:rPr>
      <w:rFonts w:ascii="Courier New" w:hAnsi="Courier New"/>
    </w:rPr>
  </w:style>
  <w:style w:type="paragraph" w:customStyle="1" w:styleId="NoteBullet">
    <w:name w:val="Note Bullet"/>
    <w:basedOn w:val="Note"/>
    <w:rsid w:val="002E1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3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370"/>
    <w:rPr>
      <w:b/>
      <w:smallCaps/>
    </w:rPr>
  </w:style>
  <w:style w:type="paragraph" w:customStyle="1" w:styleId="TableListNumber">
    <w:name w:val="Table List Number"/>
    <w:basedOn w:val="ListNumber"/>
    <w:rsid w:val="002E1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370"/>
    <w:pPr>
      <w:numPr>
        <w:numId w:val="9"/>
      </w:numPr>
    </w:pPr>
  </w:style>
  <w:style w:type="paragraph" w:customStyle="1" w:styleId="ListAlpha2">
    <w:name w:val="List Alpha 2"/>
    <w:basedOn w:val="List2"/>
    <w:rsid w:val="002E1370"/>
    <w:pPr>
      <w:numPr>
        <w:numId w:val="8"/>
      </w:numPr>
    </w:pPr>
  </w:style>
  <w:style w:type="paragraph" w:styleId="List2">
    <w:name w:val="List 2"/>
    <w:basedOn w:val="BodyText"/>
    <w:rsid w:val="002E1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3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3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370"/>
    <w:pPr>
      <w:numPr>
        <w:numId w:val="4"/>
      </w:numPr>
    </w:pPr>
  </w:style>
  <w:style w:type="paragraph" w:styleId="ListContinue2">
    <w:name w:val="List Continue 2"/>
    <w:basedOn w:val="List2"/>
    <w:rsid w:val="002E1370"/>
    <w:pPr>
      <w:ind w:firstLine="0"/>
    </w:pPr>
  </w:style>
  <w:style w:type="paragraph" w:styleId="ListContinue3">
    <w:name w:val="List Continue 3"/>
    <w:basedOn w:val="List3"/>
    <w:rsid w:val="002E1370"/>
    <w:pPr>
      <w:ind w:left="1021" w:firstLine="0"/>
    </w:pPr>
  </w:style>
  <w:style w:type="paragraph" w:styleId="ListContinue4">
    <w:name w:val="List Continue 4"/>
    <w:basedOn w:val="List4"/>
    <w:rsid w:val="002E1370"/>
    <w:pPr>
      <w:ind w:firstLine="0"/>
    </w:pPr>
  </w:style>
  <w:style w:type="paragraph" w:styleId="ListContinue5">
    <w:name w:val="List Continue 5"/>
    <w:basedOn w:val="List5"/>
    <w:rsid w:val="002E1370"/>
    <w:pPr>
      <w:ind w:firstLine="0"/>
    </w:pPr>
  </w:style>
  <w:style w:type="paragraph" w:styleId="ListNumber3">
    <w:name w:val="List Number 3"/>
    <w:basedOn w:val="List3"/>
    <w:rsid w:val="002E1370"/>
    <w:pPr>
      <w:numPr>
        <w:numId w:val="5"/>
      </w:numPr>
    </w:pPr>
  </w:style>
  <w:style w:type="paragraph" w:styleId="ListNumber4">
    <w:name w:val="List Number 4"/>
    <w:basedOn w:val="List4"/>
    <w:rsid w:val="002E1370"/>
    <w:pPr>
      <w:numPr>
        <w:numId w:val="6"/>
      </w:numPr>
    </w:pPr>
  </w:style>
  <w:style w:type="paragraph" w:styleId="ListNumber5">
    <w:name w:val="List Number 5"/>
    <w:basedOn w:val="List5"/>
    <w:rsid w:val="002E1370"/>
    <w:pPr>
      <w:numPr>
        <w:numId w:val="7"/>
      </w:numPr>
    </w:pPr>
  </w:style>
  <w:style w:type="paragraph" w:styleId="BlockText">
    <w:name w:val="Block Text"/>
    <w:basedOn w:val="Normal"/>
    <w:rsid w:val="002E1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370"/>
    <w:rPr>
      <w:sz w:val="16"/>
      <w:vertAlign w:val="superscript"/>
    </w:rPr>
  </w:style>
  <w:style w:type="character" w:customStyle="1" w:styleId="Symbols">
    <w:name w:val="Symbols"/>
    <w:basedOn w:val="DefaultParagraphFont"/>
    <w:rsid w:val="002E1370"/>
    <w:rPr>
      <w:rFonts w:ascii="Symbol" w:hAnsi="Symbol"/>
    </w:rPr>
  </w:style>
  <w:style w:type="character" w:customStyle="1" w:styleId="MenuOptions">
    <w:name w:val="Menu Options"/>
    <w:basedOn w:val="DefaultParagraphFont"/>
    <w:rsid w:val="002E1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370"/>
    <w:rPr>
      <w:b/>
    </w:rPr>
  </w:style>
  <w:style w:type="character" w:customStyle="1" w:styleId="Underlined">
    <w:name w:val="Underlined"/>
    <w:basedOn w:val="DefaultParagraphFont"/>
    <w:rsid w:val="002E1370"/>
    <w:rPr>
      <w:u w:val="single"/>
    </w:rPr>
  </w:style>
  <w:style w:type="paragraph" w:customStyle="1" w:styleId="TableBodyTextRight">
    <w:name w:val="Table Body Text Right"/>
    <w:basedOn w:val="TableBodyText"/>
    <w:rsid w:val="002E1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370"/>
    <w:rPr>
      <w:sz w:val="18"/>
    </w:rPr>
  </w:style>
  <w:style w:type="paragraph" w:customStyle="1" w:styleId="BodySmallRight">
    <w:name w:val="Body Small Right"/>
    <w:basedOn w:val="BodyTextRight"/>
    <w:rsid w:val="002E1370"/>
    <w:rPr>
      <w:sz w:val="18"/>
      <w:szCs w:val="18"/>
    </w:rPr>
  </w:style>
  <w:style w:type="paragraph" w:customStyle="1" w:styleId="MarginEdition">
    <w:name w:val="Margin Edition"/>
    <w:basedOn w:val="MarginNote"/>
    <w:rsid w:val="002E1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370"/>
    <w:rPr>
      <w:sz w:val="2"/>
      <w:szCs w:val="2"/>
    </w:rPr>
  </w:style>
  <w:style w:type="character" w:customStyle="1" w:styleId="Small">
    <w:name w:val="Small"/>
    <w:basedOn w:val="DefaultParagraphFont"/>
    <w:rsid w:val="002E1370"/>
    <w:rPr>
      <w:sz w:val="16"/>
    </w:rPr>
  </w:style>
  <w:style w:type="paragraph" w:customStyle="1" w:styleId="WideTable">
    <w:name w:val="Wide Table"/>
    <w:basedOn w:val="Normal"/>
    <w:rsid w:val="002E1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370"/>
  </w:style>
  <w:style w:type="paragraph" w:styleId="Quote">
    <w:name w:val="Quote"/>
    <w:basedOn w:val="Heading1"/>
    <w:link w:val="QuoteChar"/>
    <w:qFormat/>
    <w:rsid w:val="002E1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370"/>
    <w:pPr>
      <w:pageBreakBefore/>
    </w:pPr>
  </w:style>
  <w:style w:type="paragraph" w:customStyle="1" w:styleId="Border">
    <w:name w:val="Border"/>
    <w:basedOn w:val="Normal"/>
    <w:qFormat/>
    <w:rsid w:val="002E1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370"/>
    <w:rPr>
      <w:u w:val="single"/>
    </w:rPr>
  </w:style>
  <w:style w:type="character" w:customStyle="1" w:styleId="BoldandItalics">
    <w:name w:val="Bold and Italics"/>
    <w:qFormat/>
    <w:rsid w:val="002E1370"/>
    <w:rPr>
      <w:b/>
      <w:i/>
      <w:u w:val="none"/>
    </w:rPr>
  </w:style>
  <w:style w:type="paragraph" w:styleId="BalloonText">
    <w:name w:val="Balloon Text"/>
    <w:basedOn w:val="Normal"/>
    <w:link w:val="BalloonTextChar"/>
    <w:rsid w:val="002E1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370"/>
    <w:pPr>
      <w:spacing w:before="0" w:after="0"/>
    </w:pPr>
  </w:style>
  <w:style w:type="paragraph" w:customStyle="1" w:styleId="BodyTextBold">
    <w:name w:val="Body Text Bold"/>
    <w:basedOn w:val="BodyText"/>
    <w:qFormat/>
    <w:rsid w:val="002E1370"/>
    <w:rPr>
      <w:b/>
    </w:rPr>
  </w:style>
  <w:style w:type="character" w:styleId="Hyperlink">
    <w:name w:val="Hyperlink"/>
    <w:basedOn w:val="DefaultParagraphFont"/>
    <w:uiPriority w:val="99"/>
    <w:unhideWhenUsed/>
    <w:rsid w:val="00E01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4054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PMAWHS211 Prepare equipment for emergency response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