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1345" w:rsidP="00A31345">
      <w:pPr>
        <w:pStyle w:val="Title"/>
      </w:pPr>
      <w:r>
        <w:fldChar w:fldCharType="begin"/>
      </w:r>
      <w:r>
        <w:instrText xml:space="preserve"> TITLE   \* MERGEFORMAT </w:instrText>
      </w:r>
      <w:r>
        <w:fldChar w:fldCharType="separate"/>
      </w:r>
      <w:r>
        <w:t>PMASUP540 Analyse equipment performance</w:t>
      </w:r>
      <w:r>
        <w:fldChar w:fldCharType="end"/>
      </w:r>
    </w:p>
    <w:p w:rsidR="00A31345" w:rsidP="00A31345">
      <w:pPr>
        <w:pStyle w:val="Version"/>
        <w:sectPr w:rsidSect="00C33D5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33D5A" w:rsidP="00C33D5A">
      <w:pPr>
        <w:pStyle w:val="SuperHeading"/>
      </w:pPr>
      <w:r w:rsidRPr="00C33D5A">
        <w:t>PMASUP540 Analyse equipment performance</w:t>
      </w:r>
    </w:p>
    <w:p w:rsidR="00000000" w:rsidRPr="00C33D5A" w:rsidP="00C33D5A">
      <w:pPr>
        <w:pStyle w:val="Heading1"/>
      </w:pPr>
      <w:bookmarkStart w:id="1" w:name="O_909950"/>
      <w:bookmarkEnd w:id="1"/>
      <w:r w:rsidRPr="00C33D5A">
        <w:t>Modification History</w:t>
      </w:r>
    </w:p>
    <w:p w:rsidR="00000000" w:rsidRPr="00C33D5A" w:rsidP="00A31345">
      <w:pPr>
        <w:pStyle w:val="BodyText"/>
      </w:pPr>
      <w:r w:rsidRPr="00C33D5A">
        <w:t>Release 1. Supersedes and is equivalent to PMASUP540B Analyse equipment performance</w:t>
      </w:r>
    </w:p>
    <w:p w:rsidR="00000000" w:rsidRPr="00C33D5A" w:rsidP="00C33D5A">
      <w:pPr>
        <w:pStyle w:val="Heading1"/>
      </w:pPr>
      <w:bookmarkStart w:id="2" w:name="O_909958"/>
      <w:bookmarkEnd w:id="2"/>
      <w:r w:rsidRPr="00C33D5A">
        <w:t>Application</w:t>
      </w:r>
    </w:p>
    <w:p w:rsidR="00000000" w:rsidRPr="00C33D5A" w:rsidP="00A31345">
      <w:pPr>
        <w:pStyle w:val="BodyText"/>
      </w:pPr>
      <w:r w:rsidRPr="00C33D5A">
        <w:t xml:space="preserve">This unit of competency covers the skills and knowledge required to analyse performance of plant, equipment and equipment </w:t>
      </w:r>
      <w:r w:rsidRPr="00C33D5A">
        <w:t>components and recommend improvements. It applies to all work environments and sectors within the chemical, hydrocarbons and refining industry.</w:t>
      </w:r>
    </w:p>
    <w:p w:rsidR="00000000" w:rsidRPr="00C33D5A" w:rsidP="00A31345">
      <w:pPr>
        <w:pStyle w:val="BodyText"/>
      </w:pPr>
      <w:r w:rsidRPr="00C33D5A">
        <w:t>This unit of competency applies to senior technicians or those in similar roles who are required to apply in-de</w:t>
      </w:r>
      <w:r w:rsidRPr="00C33D5A">
        <w:t>pth knowledge of process and plant in order to calculate the theoretical performance of an item of equipment, gather data to determine the actual performance of the item of equipment, calculate actual versus theoretical performance, and make recommendation</w:t>
      </w:r>
      <w:r w:rsidRPr="00C33D5A">
        <w:t>s based on the performance verification results.</w:t>
      </w:r>
    </w:p>
    <w:p w:rsidR="00000000" w:rsidRPr="00C33D5A" w:rsidP="00A31345">
      <w:pPr>
        <w:pStyle w:val="BodyText"/>
      </w:pPr>
      <w:r w:rsidRPr="00C33D5A">
        <w:t xml:space="preserve">The technician will have detailed operational and process knowledge but is not required to demonstrate </w:t>
      </w:r>
      <w:r>
        <w:t>‘</w:t>
      </w:r>
      <w:r w:rsidRPr="00C33D5A">
        <w:t>hands on</w:t>
      </w:r>
      <w:r>
        <w:t>’</w:t>
      </w:r>
      <w:r w:rsidRPr="00C33D5A">
        <w:t xml:space="preserve"> operation of equipment as part of this unit of competency.</w:t>
      </w:r>
    </w:p>
    <w:p w:rsidR="00000000" w:rsidRPr="00C33D5A" w:rsidP="00A31345">
      <w:pPr>
        <w:pStyle w:val="BodyText"/>
      </w:pPr>
      <w:r w:rsidRPr="00C33D5A">
        <w:t>No licensing, legislative or cer</w:t>
      </w:r>
      <w:r w:rsidRPr="00C33D5A">
        <w:t>tification requirements apply to this unit at the time of publication.</w:t>
      </w:r>
    </w:p>
    <w:p w:rsidR="00000000" w:rsidRPr="00C33D5A" w:rsidP="00C33D5A">
      <w:pPr>
        <w:pStyle w:val="Heading1"/>
      </w:pPr>
      <w:bookmarkStart w:id="3" w:name="O_909957"/>
      <w:bookmarkEnd w:id="3"/>
      <w:r w:rsidRPr="00C33D5A">
        <w:t>Pre-requisite Unit</w:t>
      </w:r>
    </w:p>
    <w:p w:rsidR="00000000" w:rsidRPr="00C33D5A" w:rsidP="00A31345">
      <w:pPr>
        <w:pStyle w:val="BodyText"/>
      </w:pPr>
      <w:r w:rsidRPr="00C33D5A">
        <w:t>Nil</w:t>
      </w:r>
    </w:p>
    <w:p w:rsidR="00000000" w:rsidRPr="00C33D5A" w:rsidP="00C33D5A">
      <w:pPr>
        <w:pStyle w:val="Heading1"/>
      </w:pPr>
      <w:bookmarkStart w:id="4" w:name="O_909956"/>
      <w:bookmarkEnd w:id="4"/>
      <w:r w:rsidRPr="00C33D5A">
        <w:t>Competency Field</w:t>
      </w:r>
    </w:p>
    <w:p w:rsidR="00000000" w:rsidRPr="00C33D5A" w:rsidP="00A31345">
      <w:pPr>
        <w:pStyle w:val="BodyText"/>
      </w:pPr>
      <w:r w:rsidRPr="00C33D5A">
        <w:t>Support</w:t>
      </w:r>
    </w:p>
    <w:p w:rsidR="00000000" w:rsidRPr="00C33D5A" w:rsidP="00C33D5A">
      <w:pPr>
        <w:pStyle w:val="Heading1"/>
      </w:pPr>
      <w:bookmarkStart w:id="5" w:name="O_909955"/>
      <w:bookmarkEnd w:id="5"/>
      <w:r w:rsidRPr="00C33D5A">
        <w:t>Unit Sector</w:t>
      </w:r>
    </w:p>
    <w:p w:rsidR="00000000" w:rsidRPr="00C33D5A" w:rsidP="00C33D5A">
      <w:pPr>
        <w:pStyle w:val="Heading1"/>
      </w:pPr>
      <w:bookmarkStart w:id="6" w:name="O_909954"/>
      <w:bookmarkEnd w:id="6"/>
      <w:r w:rsidRPr="00C33D5A">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C33D5A">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C33D5A">
            <w:pPr>
              <w:pStyle w:val="BodyText"/>
              <w:rPr>
                <w:lang w:val="en-NZ"/>
              </w:rPr>
            </w:pPr>
            <w:r w:rsidRPr="00C33D5A">
              <w:t>Elements describe the es</w:t>
            </w:r>
            <w:r w:rsidRPr="00C33D5A">
              <w:t>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C33D5A">
            <w:pPr>
              <w:pStyle w:val="BodyText"/>
              <w:rPr>
                <w:lang w:val="en-NZ"/>
              </w:rPr>
            </w:pPr>
            <w:r w:rsidRPr="00C33D5A">
              <w:t>Performance criteria describe the performance needed to demonstrate achievement of the element.</w:t>
            </w:r>
          </w:p>
        </w:tc>
      </w:tr>
      <w:tr w:rsidTr="00C33D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33D5A" w:rsidP="00C33D5A">
            <w:pPr>
              <w:pStyle w:val="BodyText"/>
            </w:pPr>
            <w:r w:rsidRPr="00C33D5A">
              <w:t>1</w:t>
            </w:r>
          </w:p>
        </w:tc>
        <w:tc>
          <w:tcPr>
            <w:tcW w:w="1962" w:type="dxa"/>
            <w:vMerge w:val="restart"/>
            <w:tcBorders>
              <w:top w:val="nil"/>
              <w:left w:val="nil"/>
              <w:bottom w:val="nil"/>
              <w:right w:val="nil"/>
            </w:tcBorders>
            <w:tcMar>
              <w:top w:w="0" w:type="dxa"/>
              <w:left w:w="62" w:type="dxa"/>
              <w:bottom w:w="0" w:type="dxa"/>
              <w:right w:w="62" w:type="dxa"/>
            </w:tcMar>
          </w:tcPr>
          <w:p w:rsidR="00000000" w:rsidP="00C33D5A">
            <w:pPr>
              <w:pStyle w:val="BodyText"/>
              <w:rPr>
                <w:lang w:val="en-NZ"/>
              </w:rPr>
            </w:pPr>
            <w:r w:rsidRPr="00C33D5A">
              <w:rPr>
                <w:rStyle w:val="SpecialBold"/>
              </w:rPr>
              <w:t xml:space="preserve">Determine </w:t>
            </w:r>
            <w:r w:rsidRPr="00C33D5A">
              <w:rPr>
                <w:rStyle w:val="SpecialBold"/>
              </w:rPr>
              <w:t>theoretical performance</w:t>
            </w:r>
          </w:p>
        </w:tc>
        <w:tc>
          <w:tcPr>
            <w:tcW w:w="770" w:type="dxa"/>
            <w:tcBorders>
              <w:top w:val="nil"/>
              <w:left w:val="nil"/>
              <w:bottom w:val="nil"/>
              <w:right w:val="nil"/>
            </w:tcBorders>
            <w:tcMar>
              <w:top w:w="0" w:type="dxa"/>
              <w:left w:w="62" w:type="dxa"/>
              <w:bottom w:w="0" w:type="dxa"/>
              <w:right w:w="62" w:type="dxa"/>
            </w:tcMar>
          </w:tcPr>
          <w:p w:rsidR="00000000" w:rsidP="00C33D5A">
            <w:pPr>
              <w:pStyle w:val="BodyText"/>
              <w:rPr>
                <w:lang w:val="en-NZ"/>
              </w:rPr>
            </w:pPr>
            <w:r w:rsidRPr="00C33D5A">
              <w:t>1.1</w:t>
            </w:r>
          </w:p>
        </w:tc>
        <w:tc>
          <w:tcPr>
            <w:tcW w:w="5610" w:type="dxa"/>
            <w:tcBorders>
              <w:top w:val="nil"/>
              <w:left w:val="nil"/>
              <w:bottom w:val="nil"/>
              <w:right w:val="nil"/>
            </w:tcBorders>
            <w:tcMar>
              <w:top w:w="0" w:type="dxa"/>
              <w:left w:w="62" w:type="dxa"/>
              <w:bottom w:w="0" w:type="dxa"/>
              <w:right w:w="62" w:type="dxa"/>
            </w:tcMar>
          </w:tcPr>
          <w:p w:rsidR="00000000" w:rsidP="00C33D5A">
            <w:pPr>
              <w:pStyle w:val="BodyText"/>
              <w:rPr>
                <w:lang w:val="en-NZ"/>
              </w:rPr>
            </w:pPr>
            <w:r w:rsidRPr="00C33D5A">
              <w:t>Identify item of plant or equipment to be analysed</w:t>
            </w:r>
          </w:p>
        </w:tc>
      </w:tr>
      <w:tr w:rsidTr="00C33D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3D5A">
            <w:pPr>
              <w:pStyle w:val="BodyText"/>
              <w:rPr>
                <w:lang w:val="en-NZ"/>
              </w:rPr>
            </w:pPr>
            <w:r w:rsidRPr="00C33D5A">
              <w:t>1.2</w:t>
            </w:r>
          </w:p>
        </w:tc>
        <w:tc>
          <w:tcPr>
            <w:tcW w:w="5610" w:type="dxa"/>
            <w:tcBorders>
              <w:top w:val="nil"/>
              <w:left w:val="nil"/>
              <w:bottom w:val="nil"/>
              <w:right w:val="nil"/>
            </w:tcBorders>
            <w:tcMar>
              <w:top w:w="0" w:type="dxa"/>
              <w:left w:w="62" w:type="dxa"/>
              <w:bottom w:w="0" w:type="dxa"/>
              <w:right w:w="62" w:type="dxa"/>
            </w:tcMar>
          </w:tcPr>
          <w:p w:rsidR="00000000" w:rsidP="00C33D5A">
            <w:pPr>
              <w:pStyle w:val="BodyText"/>
              <w:rPr>
                <w:lang w:val="en-NZ"/>
              </w:rPr>
            </w:pPr>
            <w:r w:rsidRPr="00C33D5A">
              <w:t>Locate and interpret design specification</w:t>
            </w:r>
          </w:p>
        </w:tc>
      </w:tr>
      <w:tr w:rsidTr="00C33D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3D5A">
            <w:pPr>
              <w:pStyle w:val="BodyText"/>
              <w:rPr>
                <w:lang w:val="en-NZ"/>
              </w:rPr>
            </w:pPr>
            <w:r w:rsidRPr="00C33D5A">
              <w:t>1.3</w:t>
            </w:r>
          </w:p>
        </w:tc>
        <w:tc>
          <w:tcPr>
            <w:tcW w:w="5610" w:type="dxa"/>
            <w:tcBorders>
              <w:top w:val="nil"/>
              <w:left w:val="nil"/>
              <w:bottom w:val="nil"/>
              <w:right w:val="nil"/>
            </w:tcBorders>
            <w:tcMar>
              <w:top w:w="0" w:type="dxa"/>
              <w:left w:w="62" w:type="dxa"/>
              <w:bottom w:w="0" w:type="dxa"/>
              <w:right w:w="62" w:type="dxa"/>
            </w:tcMar>
          </w:tcPr>
          <w:p w:rsidR="00000000" w:rsidP="00C33D5A">
            <w:pPr>
              <w:pStyle w:val="BodyText"/>
              <w:rPr>
                <w:lang w:val="en-NZ"/>
              </w:rPr>
            </w:pPr>
            <w:r w:rsidRPr="00C33D5A">
              <w:t>Identify process materials being, or to be, processed during verification trial</w:t>
            </w:r>
          </w:p>
        </w:tc>
      </w:tr>
      <w:tr w:rsidTr="00C33D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3D5A">
            <w:pPr>
              <w:pStyle w:val="BodyText"/>
              <w:rPr>
                <w:lang w:val="en-NZ"/>
              </w:rPr>
            </w:pPr>
            <w:r w:rsidRPr="00C33D5A">
              <w:t>1.4</w:t>
            </w:r>
          </w:p>
        </w:tc>
        <w:tc>
          <w:tcPr>
            <w:tcW w:w="5610" w:type="dxa"/>
            <w:tcBorders>
              <w:top w:val="nil"/>
              <w:left w:val="nil"/>
              <w:bottom w:val="nil"/>
              <w:right w:val="nil"/>
            </w:tcBorders>
            <w:tcMar>
              <w:top w:w="0" w:type="dxa"/>
              <w:left w:w="62" w:type="dxa"/>
              <w:bottom w:w="0" w:type="dxa"/>
              <w:right w:w="62" w:type="dxa"/>
            </w:tcMar>
          </w:tcPr>
          <w:p w:rsidR="00000000" w:rsidP="00C33D5A">
            <w:pPr>
              <w:pStyle w:val="BodyText"/>
              <w:rPr>
                <w:lang w:val="en-NZ"/>
              </w:rPr>
            </w:pPr>
            <w:r w:rsidRPr="00C33D5A">
              <w:t>Determine process material properties under process conditions</w:t>
            </w:r>
          </w:p>
        </w:tc>
      </w:tr>
      <w:tr w:rsidTr="00C33D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3D5A">
            <w:pPr>
              <w:pStyle w:val="BodyText"/>
              <w:rPr>
                <w:lang w:val="en-NZ"/>
              </w:rPr>
            </w:pPr>
            <w:r w:rsidRPr="00C33D5A">
              <w:t>1.5</w:t>
            </w:r>
          </w:p>
        </w:tc>
        <w:tc>
          <w:tcPr>
            <w:tcW w:w="5610" w:type="dxa"/>
            <w:tcBorders>
              <w:top w:val="nil"/>
              <w:left w:val="nil"/>
              <w:bottom w:val="nil"/>
              <w:right w:val="nil"/>
            </w:tcBorders>
            <w:tcMar>
              <w:top w:w="0" w:type="dxa"/>
              <w:left w:w="62" w:type="dxa"/>
              <w:bottom w:w="0" w:type="dxa"/>
              <w:right w:w="62" w:type="dxa"/>
            </w:tcMar>
          </w:tcPr>
          <w:p w:rsidR="00000000" w:rsidP="00C33D5A">
            <w:pPr>
              <w:pStyle w:val="BodyText"/>
              <w:rPr>
                <w:lang w:val="en-NZ"/>
              </w:rPr>
            </w:pPr>
            <w:r w:rsidRPr="00C33D5A">
              <w:t>Calculate theoretical performance of components with that material under those conditions</w:t>
            </w:r>
          </w:p>
        </w:tc>
      </w:tr>
      <w:tr w:rsidTr="00C33D5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33D5A">
            <w:pPr>
              <w:pStyle w:val="BodyText"/>
              <w:rPr>
                <w:lang w:val="en-NZ"/>
              </w:rPr>
            </w:pPr>
          </w:p>
        </w:tc>
      </w:tr>
      <w:tr w:rsidTr="00C33D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33D5A" w:rsidP="00C33D5A">
            <w:pPr>
              <w:pStyle w:val="BodyText"/>
            </w:pPr>
            <w:r w:rsidRPr="00C33D5A">
              <w:t>2</w:t>
            </w:r>
          </w:p>
        </w:tc>
        <w:tc>
          <w:tcPr>
            <w:tcW w:w="1962" w:type="dxa"/>
            <w:vMerge w:val="restart"/>
            <w:tcBorders>
              <w:top w:val="nil"/>
              <w:left w:val="nil"/>
              <w:bottom w:val="nil"/>
              <w:right w:val="nil"/>
            </w:tcBorders>
            <w:tcMar>
              <w:top w:w="0" w:type="dxa"/>
              <w:left w:w="62" w:type="dxa"/>
              <w:bottom w:w="0" w:type="dxa"/>
              <w:right w:w="62" w:type="dxa"/>
            </w:tcMar>
          </w:tcPr>
          <w:p w:rsidR="00000000" w:rsidP="00C33D5A">
            <w:pPr>
              <w:pStyle w:val="BodyText"/>
              <w:rPr>
                <w:lang w:val="en-NZ"/>
              </w:rPr>
            </w:pPr>
            <w:r w:rsidRPr="00C33D5A">
              <w:rPr>
                <w:rStyle w:val="SpecialBold"/>
              </w:rPr>
              <w:t>Conduct trial</w:t>
            </w:r>
          </w:p>
        </w:tc>
        <w:tc>
          <w:tcPr>
            <w:tcW w:w="770" w:type="dxa"/>
            <w:tcBorders>
              <w:top w:val="nil"/>
              <w:left w:val="nil"/>
              <w:bottom w:val="nil"/>
              <w:right w:val="nil"/>
            </w:tcBorders>
            <w:tcMar>
              <w:top w:w="0" w:type="dxa"/>
              <w:left w:w="62" w:type="dxa"/>
              <w:bottom w:w="0" w:type="dxa"/>
              <w:right w:w="62" w:type="dxa"/>
            </w:tcMar>
          </w:tcPr>
          <w:p w:rsidR="00000000" w:rsidP="00C33D5A">
            <w:pPr>
              <w:pStyle w:val="BodyText"/>
              <w:rPr>
                <w:lang w:val="en-NZ"/>
              </w:rPr>
            </w:pPr>
            <w:r w:rsidRPr="00C33D5A">
              <w:t>2.1</w:t>
            </w:r>
          </w:p>
        </w:tc>
        <w:tc>
          <w:tcPr>
            <w:tcW w:w="5610" w:type="dxa"/>
            <w:tcBorders>
              <w:top w:val="nil"/>
              <w:left w:val="nil"/>
              <w:bottom w:val="nil"/>
              <w:right w:val="nil"/>
            </w:tcBorders>
            <w:tcMar>
              <w:top w:w="0" w:type="dxa"/>
              <w:left w:w="62" w:type="dxa"/>
              <w:bottom w:w="0" w:type="dxa"/>
              <w:right w:w="62" w:type="dxa"/>
            </w:tcMar>
          </w:tcPr>
          <w:p w:rsidR="00000000" w:rsidP="00C33D5A">
            <w:pPr>
              <w:pStyle w:val="BodyText"/>
              <w:rPr>
                <w:lang w:val="en-NZ"/>
              </w:rPr>
            </w:pPr>
            <w:r w:rsidRPr="00C33D5A">
              <w:t>Design verification trial to be compatible with theoretical analysis</w:t>
            </w:r>
          </w:p>
        </w:tc>
      </w:tr>
      <w:tr w:rsidTr="00C33D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3D5A">
            <w:pPr>
              <w:pStyle w:val="BodyText"/>
              <w:rPr>
                <w:lang w:val="en-NZ"/>
              </w:rPr>
            </w:pPr>
            <w:r w:rsidRPr="00C33D5A">
              <w:t>2.2</w:t>
            </w:r>
          </w:p>
        </w:tc>
        <w:tc>
          <w:tcPr>
            <w:tcW w:w="5610" w:type="dxa"/>
            <w:tcBorders>
              <w:top w:val="nil"/>
              <w:left w:val="nil"/>
              <w:bottom w:val="nil"/>
              <w:right w:val="nil"/>
            </w:tcBorders>
            <w:tcMar>
              <w:top w:w="0" w:type="dxa"/>
              <w:left w:w="62" w:type="dxa"/>
              <w:bottom w:w="0" w:type="dxa"/>
              <w:right w:w="62" w:type="dxa"/>
            </w:tcMar>
          </w:tcPr>
          <w:p w:rsidR="00000000" w:rsidP="00C33D5A">
            <w:pPr>
              <w:pStyle w:val="BodyText"/>
              <w:rPr>
                <w:lang w:val="en-NZ"/>
              </w:rPr>
            </w:pPr>
            <w:r w:rsidRPr="00C33D5A">
              <w:t>Determine measurements needed from trial to yield required data</w:t>
            </w:r>
          </w:p>
        </w:tc>
      </w:tr>
      <w:tr w:rsidTr="00C33D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3D5A">
            <w:pPr>
              <w:pStyle w:val="BodyText"/>
              <w:rPr>
                <w:lang w:val="en-NZ"/>
              </w:rPr>
            </w:pPr>
            <w:r w:rsidRPr="00C33D5A">
              <w:t>2.3</w:t>
            </w:r>
          </w:p>
        </w:tc>
        <w:tc>
          <w:tcPr>
            <w:tcW w:w="5610" w:type="dxa"/>
            <w:tcBorders>
              <w:top w:val="nil"/>
              <w:left w:val="nil"/>
              <w:bottom w:val="nil"/>
              <w:right w:val="nil"/>
            </w:tcBorders>
            <w:tcMar>
              <w:top w:w="0" w:type="dxa"/>
              <w:left w:w="62" w:type="dxa"/>
              <w:bottom w:w="0" w:type="dxa"/>
              <w:right w:w="62" w:type="dxa"/>
            </w:tcMar>
          </w:tcPr>
          <w:p w:rsidR="00000000" w:rsidP="00C33D5A">
            <w:pPr>
              <w:pStyle w:val="BodyText"/>
              <w:rPr>
                <w:lang w:val="en-NZ"/>
              </w:rPr>
            </w:pPr>
            <w:r w:rsidRPr="00C33D5A">
              <w:t>Select equipment suitable to give required measurements</w:t>
            </w:r>
          </w:p>
        </w:tc>
      </w:tr>
      <w:tr w:rsidTr="00C33D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3D5A">
            <w:pPr>
              <w:pStyle w:val="BodyText"/>
              <w:rPr>
                <w:lang w:val="en-NZ"/>
              </w:rPr>
            </w:pPr>
            <w:r w:rsidRPr="00C33D5A">
              <w:t>2.4</w:t>
            </w:r>
          </w:p>
        </w:tc>
        <w:tc>
          <w:tcPr>
            <w:tcW w:w="5610" w:type="dxa"/>
            <w:tcBorders>
              <w:top w:val="nil"/>
              <w:left w:val="nil"/>
              <w:bottom w:val="nil"/>
              <w:right w:val="nil"/>
            </w:tcBorders>
            <w:tcMar>
              <w:top w:w="0" w:type="dxa"/>
              <w:left w:w="62" w:type="dxa"/>
              <w:bottom w:w="0" w:type="dxa"/>
              <w:right w:w="62" w:type="dxa"/>
            </w:tcMar>
          </w:tcPr>
          <w:p w:rsidR="00000000" w:rsidP="00C33D5A">
            <w:pPr>
              <w:pStyle w:val="BodyText"/>
              <w:rPr>
                <w:lang w:val="en-NZ"/>
              </w:rPr>
            </w:pPr>
            <w:r w:rsidRPr="00C33D5A">
              <w:t>Arrange for verification trial with relevant process personnel</w:t>
            </w:r>
          </w:p>
        </w:tc>
      </w:tr>
      <w:tr w:rsidTr="00C33D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3D5A">
            <w:pPr>
              <w:pStyle w:val="BodyText"/>
              <w:rPr>
                <w:lang w:val="en-NZ"/>
              </w:rPr>
            </w:pPr>
            <w:r w:rsidRPr="00C33D5A">
              <w:t>2.5</w:t>
            </w:r>
          </w:p>
        </w:tc>
        <w:tc>
          <w:tcPr>
            <w:tcW w:w="5610" w:type="dxa"/>
            <w:tcBorders>
              <w:top w:val="nil"/>
              <w:left w:val="nil"/>
              <w:bottom w:val="nil"/>
              <w:right w:val="nil"/>
            </w:tcBorders>
            <w:tcMar>
              <w:top w:w="0" w:type="dxa"/>
              <w:left w:w="62" w:type="dxa"/>
              <w:bottom w:w="0" w:type="dxa"/>
              <w:right w:w="62" w:type="dxa"/>
            </w:tcMar>
          </w:tcPr>
          <w:p w:rsidR="00000000" w:rsidP="00C33D5A">
            <w:pPr>
              <w:pStyle w:val="BodyText"/>
              <w:rPr>
                <w:lang w:val="en-NZ"/>
              </w:rPr>
            </w:pPr>
            <w:r w:rsidRPr="00C33D5A">
              <w:t>Set up required measurement equipment</w:t>
            </w:r>
          </w:p>
        </w:tc>
      </w:tr>
      <w:tr w:rsidTr="00C33D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3D5A">
            <w:pPr>
              <w:pStyle w:val="BodyText"/>
              <w:rPr>
                <w:lang w:val="en-NZ"/>
              </w:rPr>
            </w:pPr>
            <w:r w:rsidRPr="00C33D5A">
              <w:t>2.6</w:t>
            </w:r>
          </w:p>
        </w:tc>
        <w:tc>
          <w:tcPr>
            <w:tcW w:w="5610" w:type="dxa"/>
            <w:tcBorders>
              <w:top w:val="nil"/>
              <w:left w:val="nil"/>
              <w:bottom w:val="nil"/>
              <w:right w:val="nil"/>
            </w:tcBorders>
            <w:tcMar>
              <w:top w:w="0" w:type="dxa"/>
              <w:left w:w="62" w:type="dxa"/>
              <w:bottom w:w="0" w:type="dxa"/>
              <w:right w:w="62" w:type="dxa"/>
            </w:tcMar>
          </w:tcPr>
          <w:p w:rsidR="00000000" w:rsidP="00C33D5A">
            <w:pPr>
              <w:pStyle w:val="BodyText"/>
              <w:rPr>
                <w:lang w:val="en-NZ"/>
              </w:rPr>
            </w:pPr>
            <w:r w:rsidRPr="00C33D5A">
              <w:t>Supervise trial and ensure trial conditions are appropriate</w:t>
            </w:r>
          </w:p>
        </w:tc>
      </w:tr>
      <w:tr w:rsidTr="00C33D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3D5A">
            <w:pPr>
              <w:pStyle w:val="BodyText"/>
              <w:rPr>
                <w:lang w:val="en-NZ"/>
              </w:rPr>
            </w:pPr>
            <w:r w:rsidRPr="00C33D5A">
              <w:t>2.7</w:t>
            </w:r>
          </w:p>
        </w:tc>
        <w:tc>
          <w:tcPr>
            <w:tcW w:w="5610" w:type="dxa"/>
            <w:tcBorders>
              <w:top w:val="nil"/>
              <w:left w:val="nil"/>
              <w:bottom w:val="nil"/>
              <w:right w:val="nil"/>
            </w:tcBorders>
            <w:tcMar>
              <w:top w:w="0" w:type="dxa"/>
              <w:left w:w="62" w:type="dxa"/>
              <w:bottom w:w="0" w:type="dxa"/>
              <w:right w:w="62" w:type="dxa"/>
            </w:tcMar>
          </w:tcPr>
          <w:p w:rsidR="00000000" w:rsidP="00C33D5A">
            <w:pPr>
              <w:pStyle w:val="BodyText"/>
              <w:rPr>
                <w:lang w:val="en-NZ"/>
              </w:rPr>
            </w:pPr>
            <w:r w:rsidRPr="00C33D5A">
              <w:t>Collect trial data for analysis</w:t>
            </w:r>
          </w:p>
        </w:tc>
      </w:tr>
      <w:tr w:rsidTr="00C33D5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33D5A">
            <w:pPr>
              <w:pStyle w:val="BodyText"/>
              <w:rPr>
                <w:lang w:val="en-NZ"/>
              </w:rPr>
            </w:pPr>
          </w:p>
        </w:tc>
      </w:tr>
      <w:tr w:rsidTr="00C33D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33D5A" w:rsidP="00C33D5A">
            <w:pPr>
              <w:pStyle w:val="BodyText"/>
            </w:pPr>
            <w:r w:rsidRPr="00C33D5A">
              <w:t>3</w:t>
            </w:r>
          </w:p>
        </w:tc>
        <w:tc>
          <w:tcPr>
            <w:tcW w:w="1962" w:type="dxa"/>
            <w:vMerge w:val="restart"/>
            <w:tcBorders>
              <w:top w:val="nil"/>
              <w:left w:val="nil"/>
              <w:bottom w:val="nil"/>
              <w:right w:val="nil"/>
            </w:tcBorders>
            <w:tcMar>
              <w:top w:w="0" w:type="dxa"/>
              <w:left w:w="62" w:type="dxa"/>
              <w:bottom w:w="0" w:type="dxa"/>
              <w:right w:w="62" w:type="dxa"/>
            </w:tcMar>
          </w:tcPr>
          <w:p w:rsidR="00000000" w:rsidP="00C33D5A">
            <w:pPr>
              <w:pStyle w:val="BodyText"/>
              <w:rPr>
                <w:lang w:val="en-NZ"/>
              </w:rPr>
            </w:pPr>
            <w:r w:rsidRPr="00C33D5A">
              <w:rPr>
                <w:rStyle w:val="SpecialBold"/>
              </w:rPr>
              <w:t>Verify performance of plant/equipment</w:t>
            </w:r>
          </w:p>
        </w:tc>
        <w:tc>
          <w:tcPr>
            <w:tcW w:w="770" w:type="dxa"/>
            <w:tcBorders>
              <w:top w:val="nil"/>
              <w:left w:val="nil"/>
              <w:bottom w:val="nil"/>
              <w:right w:val="nil"/>
            </w:tcBorders>
            <w:tcMar>
              <w:top w:w="0" w:type="dxa"/>
              <w:left w:w="62" w:type="dxa"/>
              <w:bottom w:w="0" w:type="dxa"/>
              <w:right w:w="62" w:type="dxa"/>
            </w:tcMar>
          </w:tcPr>
          <w:p w:rsidR="00000000" w:rsidP="00C33D5A">
            <w:pPr>
              <w:pStyle w:val="BodyText"/>
              <w:rPr>
                <w:lang w:val="en-NZ"/>
              </w:rPr>
            </w:pPr>
            <w:r w:rsidRPr="00C33D5A">
              <w:t>3.1</w:t>
            </w:r>
          </w:p>
        </w:tc>
        <w:tc>
          <w:tcPr>
            <w:tcW w:w="5610" w:type="dxa"/>
            <w:tcBorders>
              <w:top w:val="nil"/>
              <w:left w:val="nil"/>
              <w:bottom w:val="nil"/>
              <w:right w:val="nil"/>
            </w:tcBorders>
            <w:tcMar>
              <w:top w:w="0" w:type="dxa"/>
              <w:left w:w="62" w:type="dxa"/>
              <w:bottom w:w="0" w:type="dxa"/>
              <w:right w:w="62" w:type="dxa"/>
            </w:tcMar>
          </w:tcPr>
          <w:p w:rsidR="00000000" w:rsidP="00C33D5A">
            <w:pPr>
              <w:pStyle w:val="BodyText"/>
              <w:rPr>
                <w:lang w:val="en-NZ"/>
              </w:rPr>
            </w:pPr>
            <w:r w:rsidRPr="00C33D5A">
              <w:t>Compare theoretical with actual performance</w:t>
            </w:r>
          </w:p>
        </w:tc>
      </w:tr>
      <w:tr w:rsidTr="00C33D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3D5A">
            <w:pPr>
              <w:pStyle w:val="BodyText"/>
              <w:rPr>
                <w:lang w:val="en-NZ"/>
              </w:rPr>
            </w:pPr>
            <w:r w:rsidRPr="00C33D5A">
              <w:t>3.2</w:t>
            </w:r>
          </w:p>
        </w:tc>
        <w:tc>
          <w:tcPr>
            <w:tcW w:w="5610" w:type="dxa"/>
            <w:tcBorders>
              <w:top w:val="nil"/>
              <w:left w:val="nil"/>
              <w:bottom w:val="nil"/>
              <w:right w:val="nil"/>
            </w:tcBorders>
            <w:tcMar>
              <w:top w:w="0" w:type="dxa"/>
              <w:left w:w="62" w:type="dxa"/>
              <w:bottom w:w="0" w:type="dxa"/>
              <w:right w:w="62" w:type="dxa"/>
            </w:tcMar>
          </w:tcPr>
          <w:p w:rsidR="00000000" w:rsidP="00C33D5A">
            <w:pPr>
              <w:pStyle w:val="BodyText"/>
              <w:rPr>
                <w:lang w:val="en-NZ"/>
              </w:rPr>
            </w:pPr>
            <w:r w:rsidRPr="00C33D5A">
              <w:t>Determine significance of variation between theoretical and actual performance</w:t>
            </w:r>
          </w:p>
        </w:tc>
      </w:tr>
      <w:tr w:rsidTr="00C33D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3D5A">
            <w:pPr>
              <w:pStyle w:val="BodyText"/>
              <w:rPr>
                <w:lang w:val="en-NZ"/>
              </w:rPr>
            </w:pPr>
            <w:r w:rsidRPr="00C33D5A">
              <w:t>3.3</w:t>
            </w:r>
          </w:p>
        </w:tc>
        <w:tc>
          <w:tcPr>
            <w:tcW w:w="5610" w:type="dxa"/>
            <w:tcBorders>
              <w:top w:val="nil"/>
              <w:left w:val="nil"/>
              <w:bottom w:val="nil"/>
              <w:right w:val="nil"/>
            </w:tcBorders>
            <w:tcMar>
              <w:top w:w="0" w:type="dxa"/>
              <w:left w:w="62" w:type="dxa"/>
              <w:bottom w:w="0" w:type="dxa"/>
              <w:right w:w="62" w:type="dxa"/>
            </w:tcMar>
          </w:tcPr>
          <w:p w:rsidR="00000000" w:rsidP="00C33D5A">
            <w:pPr>
              <w:pStyle w:val="BodyText"/>
              <w:rPr>
                <w:lang w:val="en-NZ"/>
              </w:rPr>
            </w:pPr>
            <w:r w:rsidRPr="00C33D5A">
              <w:t>Investigate any suspicious results and take action</w:t>
            </w:r>
          </w:p>
        </w:tc>
      </w:tr>
      <w:tr w:rsidTr="00C33D5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33D5A">
            <w:pPr>
              <w:pStyle w:val="BodyText"/>
              <w:rPr>
                <w:lang w:val="en-NZ"/>
              </w:rPr>
            </w:pPr>
          </w:p>
        </w:tc>
      </w:tr>
      <w:tr w:rsidTr="00C33D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33D5A" w:rsidP="00C33D5A">
            <w:pPr>
              <w:pStyle w:val="BodyText"/>
            </w:pPr>
            <w:r w:rsidRPr="00C33D5A">
              <w:t>4</w:t>
            </w:r>
          </w:p>
        </w:tc>
        <w:tc>
          <w:tcPr>
            <w:tcW w:w="1962" w:type="dxa"/>
            <w:vMerge w:val="restart"/>
            <w:tcBorders>
              <w:top w:val="nil"/>
              <w:left w:val="nil"/>
              <w:bottom w:val="nil"/>
              <w:right w:val="nil"/>
            </w:tcBorders>
            <w:tcMar>
              <w:top w:w="0" w:type="dxa"/>
              <w:left w:w="62" w:type="dxa"/>
              <w:bottom w:w="0" w:type="dxa"/>
              <w:right w:w="62" w:type="dxa"/>
            </w:tcMar>
          </w:tcPr>
          <w:p w:rsidR="00000000" w:rsidP="00C33D5A">
            <w:pPr>
              <w:pStyle w:val="BodyText"/>
              <w:rPr>
                <w:lang w:val="en-NZ"/>
              </w:rPr>
            </w:pPr>
            <w:r w:rsidRPr="00C33D5A">
              <w:rPr>
                <w:rStyle w:val="SpecialBold"/>
              </w:rPr>
              <w:t>Recommend required action</w:t>
            </w:r>
          </w:p>
        </w:tc>
        <w:tc>
          <w:tcPr>
            <w:tcW w:w="770" w:type="dxa"/>
            <w:tcBorders>
              <w:top w:val="nil"/>
              <w:left w:val="nil"/>
              <w:bottom w:val="nil"/>
              <w:right w:val="nil"/>
            </w:tcBorders>
            <w:tcMar>
              <w:top w:w="0" w:type="dxa"/>
              <w:left w:w="62" w:type="dxa"/>
              <w:bottom w:w="0" w:type="dxa"/>
              <w:right w:w="62" w:type="dxa"/>
            </w:tcMar>
          </w:tcPr>
          <w:p w:rsidR="00000000" w:rsidP="00C33D5A">
            <w:pPr>
              <w:pStyle w:val="BodyText"/>
              <w:rPr>
                <w:lang w:val="en-NZ"/>
              </w:rPr>
            </w:pPr>
            <w:r w:rsidRPr="00C33D5A">
              <w:t>4.1</w:t>
            </w:r>
          </w:p>
        </w:tc>
        <w:tc>
          <w:tcPr>
            <w:tcW w:w="5610" w:type="dxa"/>
            <w:tcBorders>
              <w:top w:val="nil"/>
              <w:left w:val="nil"/>
              <w:bottom w:val="nil"/>
              <w:right w:val="nil"/>
            </w:tcBorders>
            <w:tcMar>
              <w:top w:w="0" w:type="dxa"/>
              <w:left w:w="62" w:type="dxa"/>
              <w:bottom w:w="0" w:type="dxa"/>
              <w:right w:w="62" w:type="dxa"/>
            </w:tcMar>
          </w:tcPr>
          <w:p w:rsidR="00000000" w:rsidP="00C33D5A">
            <w:pPr>
              <w:pStyle w:val="BodyText"/>
              <w:rPr>
                <w:lang w:val="en-NZ"/>
              </w:rPr>
            </w:pPr>
            <w:r w:rsidRPr="00C33D5A">
              <w:t>Determine action to bring performance to desired level</w:t>
            </w:r>
          </w:p>
        </w:tc>
      </w:tr>
      <w:tr w:rsidTr="00C33D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3D5A">
            <w:pPr>
              <w:pStyle w:val="BodyText"/>
              <w:rPr>
                <w:lang w:val="en-NZ"/>
              </w:rPr>
            </w:pPr>
            <w:r w:rsidRPr="00C33D5A">
              <w:t>4.2</w:t>
            </w:r>
          </w:p>
        </w:tc>
        <w:tc>
          <w:tcPr>
            <w:tcW w:w="5610" w:type="dxa"/>
            <w:tcBorders>
              <w:top w:val="nil"/>
              <w:left w:val="nil"/>
              <w:bottom w:val="nil"/>
              <w:right w:val="nil"/>
            </w:tcBorders>
            <w:tcMar>
              <w:top w:w="0" w:type="dxa"/>
              <w:left w:w="62" w:type="dxa"/>
              <w:bottom w:w="0" w:type="dxa"/>
              <w:right w:w="62" w:type="dxa"/>
            </w:tcMar>
          </w:tcPr>
          <w:p w:rsidR="00000000" w:rsidP="00C33D5A">
            <w:pPr>
              <w:pStyle w:val="BodyText"/>
              <w:rPr>
                <w:lang w:val="en-NZ"/>
              </w:rPr>
            </w:pPr>
            <w:r w:rsidRPr="00C33D5A">
              <w:t>Initiate the corrective action in accordance with company procedures</w:t>
            </w:r>
          </w:p>
        </w:tc>
      </w:tr>
      <w:tr w:rsidTr="00C33D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3D5A">
            <w:pPr>
              <w:pStyle w:val="BodyText"/>
              <w:rPr>
                <w:lang w:val="en-NZ"/>
              </w:rPr>
            </w:pPr>
            <w:r w:rsidRPr="00C33D5A">
              <w:t>4.3</w:t>
            </w:r>
          </w:p>
        </w:tc>
        <w:tc>
          <w:tcPr>
            <w:tcW w:w="5610" w:type="dxa"/>
            <w:tcBorders>
              <w:top w:val="nil"/>
              <w:left w:val="nil"/>
              <w:bottom w:val="nil"/>
              <w:right w:val="nil"/>
            </w:tcBorders>
            <w:tcMar>
              <w:top w:w="0" w:type="dxa"/>
              <w:left w:w="62" w:type="dxa"/>
              <w:bottom w:w="0" w:type="dxa"/>
              <w:right w:w="62" w:type="dxa"/>
            </w:tcMar>
          </w:tcPr>
          <w:p w:rsidR="00000000" w:rsidP="00C33D5A">
            <w:pPr>
              <w:pStyle w:val="BodyText"/>
              <w:rPr>
                <w:lang w:val="en-NZ"/>
              </w:rPr>
            </w:pPr>
            <w:r w:rsidRPr="00C33D5A">
              <w:t>Determine measures to increase equipment productivity</w:t>
            </w:r>
          </w:p>
        </w:tc>
      </w:tr>
      <w:tr w:rsidTr="00C33D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3D5A">
            <w:pPr>
              <w:pStyle w:val="BodyText"/>
              <w:rPr>
                <w:lang w:val="en-NZ"/>
              </w:rPr>
            </w:pPr>
            <w:r w:rsidRPr="00C33D5A">
              <w:t>4.4</w:t>
            </w:r>
          </w:p>
        </w:tc>
        <w:tc>
          <w:tcPr>
            <w:tcW w:w="5610" w:type="dxa"/>
            <w:tcBorders>
              <w:top w:val="nil"/>
              <w:left w:val="nil"/>
              <w:bottom w:val="nil"/>
              <w:right w:val="nil"/>
            </w:tcBorders>
            <w:tcMar>
              <w:top w:w="0" w:type="dxa"/>
              <w:left w:w="62" w:type="dxa"/>
              <w:bottom w:w="0" w:type="dxa"/>
              <w:right w:w="62" w:type="dxa"/>
            </w:tcMar>
          </w:tcPr>
          <w:p w:rsidR="00000000" w:rsidRPr="00C33D5A" w:rsidP="00C33D5A">
            <w:pPr>
              <w:pStyle w:val="BodyText"/>
            </w:pPr>
            <w:r w:rsidRPr="00C33D5A">
              <w:t xml:space="preserve">Re-check performance after corrective action is </w:t>
            </w:r>
            <w:r w:rsidRPr="00C33D5A">
              <w:t>implemented</w:t>
            </w:r>
          </w:p>
        </w:tc>
      </w:tr>
    </w:tbl>
    <w:p w:rsidR="00000000" w:rsidRPr="00C33D5A" w:rsidP="00C33D5A">
      <w:pPr>
        <w:pStyle w:val="BodyText"/>
      </w:pPr>
    </w:p>
    <w:p w:rsidR="00000000" w:rsidRPr="00C33D5A" w:rsidP="00C33D5A">
      <w:pPr>
        <w:pStyle w:val="AllowPageBreak"/>
      </w:pPr>
    </w:p>
    <w:p w:rsidR="00000000" w:rsidRPr="00C33D5A" w:rsidP="00C33D5A">
      <w:pPr>
        <w:pStyle w:val="Heading1"/>
      </w:pPr>
      <w:bookmarkStart w:id="7" w:name="O_909953"/>
      <w:bookmarkEnd w:id="7"/>
      <w:r w:rsidRPr="00C33D5A">
        <w:t>Foundation Skills</w:t>
      </w:r>
    </w:p>
    <w:p w:rsidR="00000000" w:rsidRPr="00C33D5A" w:rsidP="00A31345">
      <w:pPr>
        <w:pStyle w:val="BodyText"/>
      </w:pPr>
      <w:r w:rsidRPr="00C33D5A">
        <w:t>This section describes those language, literacy, numeracy and employment skills that are essential to performance.</w:t>
      </w:r>
    </w:p>
    <w:p w:rsidR="00000000" w:rsidRPr="00C33D5A" w:rsidP="00A31345">
      <w:pPr>
        <w:pStyle w:val="BodyText"/>
      </w:pPr>
      <w:r w:rsidRPr="00C33D5A">
        <w:t xml:space="preserve">Foundation skills essential to performance </w:t>
      </w:r>
      <w:r w:rsidRPr="00C33D5A">
        <w:t>are explicit in the performance criteria of this unit of competency.</w:t>
      </w:r>
    </w:p>
    <w:p w:rsidR="00000000" w:rsidRPr="00C33D5A" w:rsidP="00C33D5A">
      <w:pPr>
        <w:pStyle w:val="Heading1"/>
      </w:pPr>
      <w:bookmarkStart w:id="8" w:name="O_909952"/>
      <w:bookmarkEnd w:id="8"/>
      <w:r w:rsidRPr="00C33D5A">
        <w:t>Range of Conditions</w:t>
      </w:r>
    </w:p>
    <w:tbl>
      <w:tblPr>
        <w:tblW w:w="0" w:type="auto"/>
        <w:tblCellMar>
          <w:left w:w="62" w:type="dxa"/>
          <w:right w:w="62" w:type="dxa"/>
        </w:tblCellMar>
        <w:tblLook w:val="0000"/>
      </w:tblPr>
      <w:tblGrid>
        <w:gridCol w:w="2163"/>
        <w:gridCol w:w="7033"/>
      </w:tblGrid>
      <w:tr w:rsidTr="00A3134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33D5A">
            <w:pPr>
              <w:pStyle w:val="BodyText"/>
              <w:rPr>
                <w:lang w:val="en-NZ"/>
              </w:rPr>
            </w:pPr>
            <w:r w:rsidRPr="00C33D5A">
              <w:t>This field allows for different work environments and conditions that may affect performance. Essential operating conditions that may be present (depe</w:t>
            </w:r>
            <w:r w:rsidRPr="00C33D5A">
              <w:t>nding on the work situation, needs of the candidate, accessibility of the item, and local industry and regional contexts) are included.</w:t>
            </w:r>
          </w:p>
        </w:tc>
      </w:tr>
      <w:tr w:rsidTr="00A3134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33D5A" w:rsidP="00C33D5A">
            <w:pPr>
              <w:pStyle w:val="BodyText"/>
            </w:pPr>
            <w:r w:rsidRPr="00C33D5A">
              <w:rPr>
                <w:rStyle w:val="SpecialBold"/>
              </w:rPr>
              <w:t xml:space="preserve">Regulatory framework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C33D5A" w:rsidP="00C33D5A">
            <w:pPr>
              <w:pStyle w:val="BodyText"/>
            </w:pPr>
            <w:r w:rsidRPr="00C33D5A">
              <w:t>The latest version of all legislation, regulations, industry codes of practice and Australian/international standards, or the version specified by the local regulatory authority, must be used, and include one or more of the following:</w:t>
            </w:r>
          </w:p>
          <w:p w:rsidR="00000000" w:rsidRPr="00C33D5A" w:rsidP="00C33D5A">
            <w:pPr>
              <w:pStyle w:val="ListBullet"/>
            </w:pPr>
            <w:r w:rsidRPr="00C33D5A">
              <w:t>legislative requirem</w:t>
            </w:r>
            <w:r w:rsidRPr="00C33D5A">
              <w:t>ents, including work health and safety (WHS)</w:t>
            </w:r>
          </w:p>
          <w:p w:rsidR="00000000" w:rsidRPr="00C33D5A" w:rsidP="00C33D5A">
            <w:pPr>
              <w:pStyle w:val="ListBullet"/>
            </w:pPr>
            <w:r w:rsidRPr="00C33D5A">
              <w:t>industry codes of practice and guidelines</w:t>
            </w:r>
          </w:p>
          <w:p w:rsidR="00000000" w:rsidRPr="00C33D5A" w:rsidP="00C33D5A">
            <w:pPr>
              <w:pStyle w:val="ListBullet"/>
            </w:pPr>
            <w:r w:rsidRPr="00C33D5A">
              <w:t xml:space="preserve">environmental regulations and guidelines </w:t>
            </w:r>
          </w:p>
          <w:p w:rsidR="00000000" w:rsidRPr="00C33D5A" w:rsidP="00C33D5A">
            <w:pPr>
              <w:pStyle w:val="ListBullet"/>
            </w:pPr>
            <w:r w:rsidRPr="00C33D5A">
              <w:t>Australian and other standards</w:t>
            </w:r>
          </w:p>
          <w:p w:rsidR="00000000" w:rsidRPr="00C33D5A" w:rsidP="00C33D5A">
            <w:pPr>
              <w:pStyle w:val="ListBullet"/>
            </w:pPr>
            <w:r w:rsidRPr="00C33D5A">
              <w:t xml:space="preserve">licence and certification requirements </w:t>
            </w:r>
          </w:p>
          <w:p w:rsidR="00000000" w:rsidRPr="00C33D5A" w:rsidP="00C33D5A">
            <w:pPr>
              <w:pStyle w:val="BodyText"/>
            </w:pPr>
          </w:p>
          <w:p w:rsidR="00000000" w:rsidRPr="00C33D5A" w:rsidP="00C33D5A">
            <w:pPr>
              <w:pStyle w:val="BodyText"/>
            </w:pPr>
            <w:r w:rsidRPr="00C33D5A">
              <w:t>All operations to which this unit applies are subject t</w:t>
            </w:r>
            <w:r w:rsidRPr="00C33D5A">
              <w:t>o stringent health, safety and environment (HSE) requirements, which may be imposed through state/territory or federal legislation, and these must not be compromised at any time. Where there is an apparent conflict between performance criteria and HSE requ</w:t>
            </w:r>
            <w:r w:rsidRPr="00C33D5A">
              <w:t>irements, the HSE requirements take precedence.</w:t>
            </w:r>
          </w:p>
          <w:p w:rsidR="00000000" w:rsidP="00C33D5A">
            <w:pPr>
              <w:pStyle w:val="BodyText"/>
              <w:rPr>
                <w:lang w:val="en-NZ"/>
              </w:rPr>
            </w:pPr>
          </w:p>
        </w:tc>
      </w:tr>
      <w:tr w:rsidTr="00A3134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33D5A">
            <w:pPr>
              <w:pStyle w:val="BodyText"/>
              <w:rPr>
                <w:lang w:val="en-NZ"/>
              </w:rPr>
            </w:pPr>
            <w:r w:rsidRPr="00C33D5A">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C33D5A" w:rsidP="00C33D5A">
            <w:pPr>
              <w:pStyle w:val="BodyText"/>
            </w:pPr>
            <w:r w:rsidRPr="00C33D5A">
              <w:t>All operations must be performed in accordance with relevant procedures.</w:t>
            </w:r>
          </w:p>
          <w:p w:rsidR="00000000" w:rsidRPr="00C33D5A" w:rsidP="00C33D5A">
            <w:pPr>
              <w:pStyle w:val="BodyText"/>
            </w:pPr>
          </w:p>
          <w:p w:rsidR="00000000" w:rsidRPr="00C33D5A" w:rsidP="00C33D5A">
            <w:pPr>
              <w:pStyle w:val="BodyText"/>
            </w:pPr>
            <w:r w:rsidRPr="00C33D5A">
              <w:t>Procedures are written, verbal, visual, computer-based or in some other form, include one or more of the following:</w:t>
            </w:r>
          </w:p>
          <w:p w:rsidR="00000000" w:rsidRPr="00C33D5A" w:rsidP="00C33D5A">
            <w:pPr>
              <w:pStyle w:val="ListBullet"/>
            </w:pPr>
            <w:r w:rsidRPr="00C33D5A">
              <w:t>emergency procedures</w:t>
            </w:r>
          </w:p>
          <w:p w:rsidR="00000000" w:rsidRPr="00C33D5A" w:rsidP="00C33D5A">
            <w:pPr>
              <w:pStyle w:val="ListBullet"/>
            </w:pPr>
            <w:r w:rsidRPr="00C33D5A">
              <w:t>work instructions</w:t>
            </w:r>
          </w:p>
          <w:p w:rsidR="00000000" w:rsidRPr="00C33D5A" w:rsidP="00C33D5A">
            <w:pPr>
              <w:pStyle w:val="ListBullet"/>
            </w:pPr>
            <w:r w:rsidRPr="00C33D5A">
              <w:t>standard operating procedures (SOPs)</w:t>
            </w:r>
          </w:p>
          <w:p w:rsidR="00000000" w:rsidRPr="00C33D5A" w:rsidP="00C33D5A">
            <w:pPr>
              <w:pStyle w:val="ListBullet"/>
            </w:pPr>
            <w:r w:rsidRPr="00C33D5A">
              <w:t>safe work method statements (SWMS)</w:t>
            </w:r>
          </w:p>
          <w:p w:rsidR="00000000" w:rsidRPr="00C33D5A" w:rsidP="00C33D5A">
            <w:pPr>
              <w:pStyle w:val="ListBullet"/>
            </w:pPr>
            <w:r w:rsidRPr="00C33D5A">
              <w:t>formulas/recipes</w:t>
            </w:r>
          </w:p>
          <w:p w:rsidR="00000000" w:rsidRPr="00C33D5A" w:rsidP="00C33D5A">
            <w:pPr>
              <w:pStyle w:val="ListBullet"/>
            </w:pPr>
            <w:r w:rsidRPr="00C33D5A">
              <w:t>batch sheets</w:t>
            </w:r>
          </w:p>
          <w:p w:rsidR="00000000" w:rsidRPr="00C33D5A" w:rsidP="00C33D5A">
            <w:pPr>
              <w:pStyle w:val="ListBullet"/>
            </w:pPr>
            <w:r w:rsidRPr="00C33D5A">
              <w:t>temporary instructions</w:t>
            </w:r>
          </w:p>
          <w:p w:rsidR="00000000" w:rsidRPr="00C33D5A" w:rsidP="00C33D5A">
            <w:pPr>
              <w:pStyle w:val="ListBullet"/>
            </w:pPr>
            <w:r w:rsidRPr="00C33D5A">
              <w:t>any similar instructions provided for the smooth running of the plant</w:t>
            </w:r>
          </w:p>
          <w:p w:rsidR="00000000" w:rsidRPr="00C33D5A" w:rsidP="00C33D5A">
            <w:pPr>
              <w:pStyle w:val="BodyText"/>
            </w:pPr>
          </w:p>
        </w:tc>
      </w:tr>
    </w:tbl>
    <w:p w:rsidR="00000000" w:rsidRPr="00C33D5A" w:rsidP="00C33D5A">
      <w:pPr>
        <w:pStyle w:val="BodyText"/>
      </w:pPr>
    </w:p>
    <w:p w:rsidR="00000000" w:rsidRPr="00C33D5A" w:rsidP="00C33D5A">
      <w:pPr>
        <w:pStyle w:val="AllowPageBreak"/>
      </w:pPr>
    </w:p>
    <w:p w:rsidR="00000000" w:rsidRPr="00C33D5A" w:rsidP="00C33D5A">
      <w:pPr>
        <w:pStyle w:val="Heading1"/>
      </w:pPr>
      <w:bookmarkStart w:id="9" w:name="O_909951"/>
      <w:bookmarkEnd w:id="9"/>
      <w:r w:rsidRPr="00C33D5A">
        <w:t>Unit Mapping Information</w:t>
      </w:r>
    </w:p>
    <w:p w:rsidR="00000000" w:rsidRPr="00C33D5A" w:rsidP="00A31345">
      <w:pPr>
        <w:pStyle w:val="BodyText"/>
      </w:pPr>
      <w:r w:rsidRPr="00C33D5A">
        <w:t>Release 1. Supersedes and is equivalent to PMASUP540B Analyse equipment performance</w:t>
      </w:r>
    </w:p>
    <w:p w:rsidR="00000000" w:rsidRPr="00C33D5A" w:rsidP="00C33D5A">
      <w:pPr>
        <w:pStyle w:val="Heading1"/>
      </w:pPr>
      <w:bookmarkStart w:id="10" w:name="O_909944"/>
      <w:bookmarkEnd w:id="10"/>
      <w:r w:rsidRPr="00C33D5A">
        <w:t>Links</w:t>
      </w:r>
    </w:p>
    <w:p w:rsidR="00000000" w:rsidRPr="00C33D5A" w:rsidP="00A31345">
      <w:pPr>
        <w:pStyle w:val="BodyText"/>
      </w:pPr>
      <w:r w:rsidRPr="00C33D5A">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486AE7">
        <w:rPr>
          <w:rStyle w:val="Hyperlink"/>
        </w:rPr>
        <w:t>https://vetnet.gov.au/Pages/TrainingDocs.aspx?q=9fc2cf53-e570-4e9f-ad6a-b228ffdb6875</w:t>
      </w:r>
      <w:r>
        <w:fldChar w:fldCharType="end"/>
      </w:r>
    </w:p>
    <w:p w:rsidR="00000000" w:rsidRPr="00C33D5A" w:rsidP="00A31345">
      <w:pPr>
        <w:pStyle w:val="BodyText"/>
        <w:sectPr w:rsidSect="00C33D5A">
          <w:headerReference w:type="default" r:id="rId10"/>
          <w:footerReference w:type="default" r:id="rId11"/>
          <w:pgSz w:w="11908" w:h="16833"/>
          <w:pgMar w:top="1702" w:right="1418" w:bottom="1702" w:left="1418" w:header="992" w:footer="992" w:gutter="0"/>
          <w:cols w:space="720"/>
          <w:noEndnote/>
          <w:docGrid w:linePitch="299"/>
        </w:sectPr>
      </w:pPr>
    </w:p>
    <w:p w:rsidR="00000000" w:rsidRPr="00C33D5A" w:rsidP="00C33D5A">
      <w:pPr>
        <w:pStyle w:val="SuperHeading"/>
      </w:pPr>
      <w:r w:rsidRPr="00C33D5A">
        <w:t>Assessment Requirements for PMASUP540 Analyse equipment performance</w:t>
      </w:r>
    </w:p>
    <w:p w:rsidR="00000000" w:rsidRPr="00C33D5A" w:rsidP="00C33D5A">
      <w:pPr>
        <w:pStyle w:val="Heading1"/>
      </w:pPr>
      <w:bookmarkStart w:id="11" w:name="O_909946"/>
      <w:bookmarkEnd w:id="11"/>
      <w:r w:rsidRPr="00C33D5A">
        <w:t>Modification History</w:t>
      </w:r>
    </w:p>
    <w:p w:rsidR="00000000" w:rsidRPr="00C33D5A" w:rsidP="00A31345">
      <w:pPr>
        <w:pStyle w:val="BodyText"/>
      </w:pPr>
      <w:r w:rsidRPr="00C33D5A">
        <w:t>Release 1. Supersedes and is equivalent to PMASUP540B Analyse equipment performanc</w:t>
      </w:r>
      <w:r w:rsidRPr="00C33D5A">
        <w:t>e</w:t>
      </w:r>
    </w:p>
    <w:p w:rsidR="00000000" w:rsidRPr="00C33D5A" w:rsidP="00C33D5A">
      <w:pPr>
        <w:pStyle w:val="Heading1"/>
      </w:pPr>
      <w:bookmarkStart w:id="12" w:name="O_909949"/>
      <w:bookmarkEnd w:id="12"/>
      <w:r w:rsidRPr="00C33D5A">
        <w:t>Performance Evidence</w:t>
      </w:r>
    </w:p>
    <w:p w:rsidR="00000000" w:rsidRPr="00C33D5A" w:rsidP="00C33D5A">
      <w:pPr>
        <w:pStyle w:val="ListBullet"/>
      </w:pPr>
      <w:r w:rsidRPr="00C33D5A">
        <w:t>Evidence required to demonstrate competence in this unit must be relevant to and satisfy the requirements of the elements and performance criteria, and include the ability to:</w:t>
      </w:r>
    </w:p>
    <w:p w:rsidR="00000000" w:rsidRPr="00C33D5A" w:rsidP="00C33D5A">
      <w:pPr>
        <w:pStyle w:val="ListBullet"/>
      </w:pPr>
      <w:r w:rsidRPr="00C33D5A">
        <w:t>design and implement verification trial appropriate to the plant/equipment, theoretical analysis and required data</w:t>
      </w:r>
    </w:p>
    <w:p w:rsidR="00000000" w:rsidRPr="00C33D5A" w:rsidP="00C33D5A">
      <w:pPr>
        <w:pStyle w:val="ListBullet"/>
      </w:pPr>
      <w:r w:rsidRPr="00C33D5A">
        <w:t xml:space="preserve">undertake theoretical/mathematical and practical analysis of the process </w:t>
      </w:r>
    </w:p>
    <w:p w:rsidR="00000000" w:rsidRPr="00C33D5A" w:rsidP="00C33D5A">
      <w:pPr>
        <w:pStyle w:val="ListBullet"/>
      </w:pPr>
      <w:r w:rsidRPr="00C33D5A">
        <w:t>recommended changes that are justified based on the comparison of t</w:t>
      </w:r>
      <w:r w:rsidRPr="00C33D5A">
        <w:t>rial and theoretical data</w:t>
      </w:r>
    </w:p>
    <w:p w:rsidR="00000000" w:rsidRPr="00C33D5A" w:rsidP="00C33D5A">
      <w:pPr>
        <w:pStyle w:val="ListBullet"/>
      </w:pPr>
      <w:r w:rsidRPr="00C33D5A">
        <w:t>calculate equipment and component performance from the design specification</w:t>
      </w:r>
    </w:p>
    <w:p w:rsidR="00000000" w:rsidRPr="00C33D5A" w:rsidP="00C33D5A">
      <w:pPr>
        <w:pStyle w:val="ListBullet"/>
      </w:pPr>
      <w:r w:rsidRPr="00C33D5A">
        <w:t>determine equipment and design performance from practical trials</w:t>
      </w:r>
    </w:p>
    <w:p w:rsidR="00000000" w:rsidRPr="00C33D5A" w:rsidP="00C33D5A">
      <w:pPr>
        <w:pStyle w:val="ListBullet"/>
      </w:pPr>
      <w:r w:rsidRPr="00C33D5A">
        <w:t xml:space="preserve">determine the </w:t>
      </w:r>
      <w:r>
        <w:t>‘</w:t>
      </w:r>
      <w:r w:rsidRPr="00C33D5A">
        <w:t>limiting component</w:t>
      </w:r>
      <w:r>
        <w:t>’</w:t>
      </w:r>
      <w:r w:rsidRPr="00C33D5A">
        <w:t xml:space="preserve"> in the performance of an item of equipment or a proces</w:t>
      </w:r>
      <w:r w:rsidRPr="00C33D5A">
        <w:t>s</w:t>
      </w:r>
    </w:p>
    <w:p w:rsidR="00000000" w:rsidRPr="00C33D5A" w:rsidP="00C33D5A">
      <w:pPr>
        <w:pStyle w:val="ListBullet"/>
      </w:pPr>
      <w:r w:rsidRPr="00C33D5A">
        <w:t xml:space="preserve">determine possible performance of an item of equipment/process if practical improvements were made to the </w:t>
      </w:r>
      <w:r>
        <w:t>‘</w:t>
      </w:r>
      <w:r w:rsidRPr="00C33D5A">
        <w:t>limiting item</w:t>
      </w:r>
      <w:r>
        <w:t>’</w:t>
      </w:r>
    </w:p>
    <w:p w:rsidR="00000000" w:rsidRPr="00C33D5A" w:rsidP="00A31345">
      <w:pPr>
        <w:pStyle w:val="BodyText"/>
      </w:pPr>
      <w:r w:rsidRPr="00C33D5A">
        <w:t>predict interactions between materials, equipment and process and their impacts on performance.</w:t>
      </w:r>
    </w:p>
    <w:p w:rsidR="00000000" w:rsidRPr="00C33D5A" w:rsidP="00C33D5A">
      <w:pPr>
        <w:pStyle w:val="Heading1"/>
      </w:pPr>
      <w:bookmarkStart w:id="13" w:name="O_909948"/>
      <w:bookmarkEnd w:id="13"/>
      <w:r w:rsidRPr="00C33D5A">
        <w:t>Knowledge Evidence</w:t>
      </w:r>
    </w:p>
    <w:p w:rsidR="00000000" w:rsidRPr="00C33D5A" w:rsidP="00A31345">
      <w:pPr>
        <w:pStyle w:val="BodyText"/>
      </w:pPr>
      <w:r w:rsidRPr="00C33D5A">
        <w:t>Evidence must be provided that demonstrates sufficient knowledge to interact with relevant personnel and be able to analyse equipment performance, including knowledge of:</w:t>
      </w:r>
    </w:p>
    <w:p w:rsidR="00000000" w:rsidRPr="00C33D5A" w:rsidP="00C33D5A">
      <w:pPr>
        <w:pStyle w:val="ListBullet"/>
      </w:pPr>
      <w:r w:rsidRPr="00C33D5A">
        <w:t>methods of identifying and calculating theoretical performance</w:t>
      </w:r>
    </w:p>
    <w:p w:rsidR="00000000" w:rsidRPr="00C33D5A" w:rsidP="00C33D5A">
      <w:pPr>
        <w:pStyle w:val="ListBullet"/>
      </w:pPr>
      <w:r w:rsidRPr="00C33D5A">
        <w:t>ways of trialling, tr</w:t>
      </w:r>
      <w:r w:rsidRPr="00C33D5A">
        <w:t>ial design and implementation</w:t>
      </w:r>
    </w:p>
    <w:p w:rsidR="00000000" w:rsidRPr="00C33D5A" w:rsidP="00C33D5A">
      <w:pPr>
        <w:pStyle w:val="ListBullet"/>
      </w:pPr>
      <w:r w:rsidRPr="00C33D5A">
        <w:t>methods of data analysis to determine trial outcomes</w:t>
      </w:r>
    </w:p>
    <w:p w:rsidR="00000000" w:rsidRPr="00C33D5A" w:rsidP="00C33D5A">
      <w:pPr>
        <w:pStyle w:val="ListBullet"/>
      </w:pPr>
      <w:r w:rsidRPr="00C33D5A">
        <w:t>methods of interpreting information deduced from trial data</w:t>
      </w:r>
    </w:p>
    <w:p w:rsidR="00000000" w:rsidRPr="00C33D5A" w:rsidP="00C33D5A">
      <w:pPr>
        <w:pStyle w:val="ListBullet"/>
      </w:pPr>
      <w:r w:rsidRPr="00C33D5A">
        <w:t>all items on a schematic (e.g. piping and instrumentation diagrams (P&amp;IDs) and process flow diagrams (PFDs) of th</w:t>
      </w:r>
      <w:r w:rsidRPr="00C33D5A">
        <w:t xml:space="preserve">e system and the function and principles of operation of each </w:t>
      </w:r>
    </w:p>
    <w:p w:rsidR="00000000" w:rsidRPr="00C33D5A" w:rsidP="00C33D5A">
      <w:pPr>
        <w:pStyle w:val="ListBullet"/>
      </w:pPr>
      <w:r w:rsidRPr="00C33D5A">
        <w:t>systems operating parameters</w:t>
      </w:r>
    </w:p>
    <w:p w:rsidR="00000000" w:rsidRPr="00C33D5A" w:rsidP="00C33D5A">
      <w:pPr>
        <w:pStyle w:val="ListBullet"/>
      </w:pPr>
      <w:r w:rsidRPr="00C33D5A">
        <w:t>system integrity limits</w:t>
      </w:r>
    </w:p>
    <w:p w:rsidR="00000000" w:rsidRPr="00C33D5A" w:rsidP="00C33D5A">
      <w:pPr>
        <w:pStyle w:val="ListBullet"/>
      </w:pPr>
      <w:r w:rsidRPr="00C33D5A">
        <w:t>process control philosophies and strategies</w:t>
      </w:r>
    </w:p>
    <w:p w:rsidR="00000000" w:rsidRPr="00C33D5A" w:rsidP="00C33D5A">
      <w:pPr>
        <w:pStyle w:val="ListBullet"/>
      </w:pPr>
      <w:r w:rsidRPr="00C33D5A">
        <w:t>process parameters and limits</w:t>
      </w:r>
    </w:p>
    <w:p w:rsidR="00000000" w:rsidRPr="00C33D5A" w:rsidP="00C33D5A">
      <w:pPr>
        <w:pStyle w:val="ListBullet"/>
      </w:pPr>
      <w:r w:rsidRPr="00C33D5A">
        <w:t>product specifications and tolerances</w:t>
      </w:r>
    </w:p>
    <w:p w:rsidR="00000000" w:rsidRPr="00C33D5A" w:rsidP="00C33D5A">
      <w:pPr>
        <w:pStyle w:val="ListBullet"/>
      </w:pPr>
      <w:r w:rsidRPr="00C33D5A">
        <w:t xml:space="preserve">principles of operation of plant/equipment </w:t>
      </w:r>
    </w:p>
    <w:p w:rsidR="00000000" w:rsidRPr="00C33D5A" w:rsidP="00C33D5A">
      <w:pPr>
        <w:pStyle w:val="ListBullet"/>
      </w:pPr>
      <w:r w:rsidRPr="00C33D5A">
        <w:t>science (e.g. physics, chemistry and biochemistry) relevant to process and materials</w:t>
      </w:r>
    </w:p>
    <w:p w:rsidR="00000000" w:rsidRPr="00C33D5A" w:rsidP="00C33D5A">
      <w:pPr>
        <w:pStyle w:val="ListBullet"/>
      </w:pPr>
      <w:r w:rsidRPr="00C33D5A">
        <w:t xml:space="preserve">organisation procedures </w:t>
      </w:r>
    </w:p>
    <w:p w:rsidR="00000000" w:rsidRPr="00C33D5A" w:rsidP="00C33D5A">
      <w:pPr>
        <w:pStyle w:val="ListBullet"/>
      </w:pPr>
      <w:r w:rsidRPr="00C33D5A">
        <w:t>duty of care obligations</w:t>
      </w:r>
    </w:p>
    <w:p w:rsidR="00000000" w:rsidRPr="00C33D5A" w:rsidP="00C33D5A">
      <w:pPr>
        <w:pStyle w:val="ListBullet"/>
      </w:pPr>
      <w:r w:rsidRPr="00C33D5A">
        <w:t>hierarchy of control.</w:t>
      </w:r>
    </w:p>
    <w:p w:rsidR="00000000" w:rsidRPr="00C33D5A" w:rsidP="00C33D5A">
      <w:pPr>
        <w:pStyle w:val="AllowPageBreak"/>
      </w:pPr>
    </w:p>
    <w:p w:rsidR="00000000" w:rsidRPr="00C33D5A" w:rsidP="00C33D5A">
      <w:pPr>
        <w:pStyle w:val="Heading1"/>
      </w:pPr>
      <w:bookmarkStart w:id="14" w:name="O_909947"/>
      <w:bookmarkEnd w:id="14"/>
      <w:r w:rsidRPr="00C33D5A">
        <w:t>Assessment Conditions</w:t>
      </w:r>
    </w:p>
    <w:p w:rsidR="00000000" w:rsidRPr="00C33D5A" w:rsidP="00C33D5A">
      <w:pPr>
        <w:pStyle w:val="ListBullet"/>
      </w:pPr>
      <w:r w:rsidRPr="00C33D5A">
        <w:t>The unit should</w:t>
      </w:r>
      <w:r w:rsidRPr="00C33D5A">
        <w:t xml:space="preserve"> be assessed holistically and the judgement of competence based on a holistic assessment of the evidence. </w:t>
      </w:r>
    </w:p>
    <w:p w:rsidR="00000000" w:rsidRPr="00C33D5A" w:rsidP="00C33D5A">
      <w:pPr>
        <w:pStyle w:val="ListBullet"/>
      </w:pPr>
      <w:r w:rsidRPr="00C33D5A">
        <w:t>The collection of performance evidence is best done from a report and/or folio of evidence drawn from:</w:t>
      </w:r>
    </w:p>
    <w:p w:rsidR="00000000" w:rsidRPr="00C33D5A" w:rsidP="00C33D5A">
      <w:pPr>
        <w:pStyle w:val="ListBullet2"/>
      </w:pPr>
      <w:r w:rsidRPr="00C33D5A">
        <w:t>a single project which provides sufficient ev</w:t>
      </w:r>
      <w:r w:rsidRPr="00C33D5A">
        <w:t>idence of the requirements of all the elements and performance criteria</w:t>
      </w:r>
    </w:p>
    <w:p w:rsidR="00000000" w:rsidRPr="00C33D5A" w:rsidP="00C33D5A">
      <w:pPr>
        <w:pStyle w:val="ListBullet2"/>
      </w:pPr>
      <w:r w:rsidRPr="00C33D5A">
        <w:t>multiple smaller projects which together provide sufficient evidence of the requirements of all the elements and performance criteria.</w:t>
      </w:r>
    </w:p>
    <w:p w:rsidR="00000000" w:rsidRPr="00C33D5A" w:rsidP="00C33D5A">
      <w:pPr>
        <w:pStyle w:val="ListBullet"/>
      </w:pPr>
      <w:r w:rsidRPr="00C33D5A">
        <w:t xml:space="preserve">A third-party report, or similar, may be needed </w:t>
      </w:r>
      <w:r w:rsidRPr="00C33D5A">
        <w:t>to testify to the work done by the individual, particularly when the project has been done as part of a project team.</w:t>
      </w:r>
    </w:p>
    <w:p w:rsidR="00000000" w:rsidRPr="00C33D5A" w:rsidP="00C33D5A">
      <w:pPr>
        <w:pStyle w:val="ListBullet"/>
      </w:pPr>
      <w:r w:rsidRPr="00C33D5A">
        <w:t xml:space="preserve">Assessment should use a real project in an operational workplace. Where this is not possible or practical, assessment must occur using a sufficiently rigorous simulated environment reflecting realistic operational workplace conditions. This must cover all </w:t>
      </w:r>
      <w:r w:rsidRPr="00C33D5A">
        <w:t>aspects of workplace performance, including environment, task skills, task management skills, contingency management skills and job role environment skills.</w:t>
      </w:r>
    </w:p>
    <w:p w:rsidR="00000000" w:rsidRPr="00C33D5A" w:rsidP="00C33D5A">
      <w:pPr>
        <w:pStyle w:val="ListBullet"/>
      </w:pPr>
      <w:r w:rsidRPr="00C33D5A">
        <w:t>Simulation may be used for part only of this unit.</w:t>
      </w:r>
    </w:p>
    <w:p w:rsidR="00000000" w:rsidRPr="00C33D5A" w:rsidP="00C33D5A">
      <w:pPr>
        <w:pStyle w:val="ListBullet"/>
      </w:pPr>
      <w:r w:rsidRPr="00C33D5A">
        <w:t>Knowledge evidence may be collected concurrently</w:t>
      </w:r>
      <w:r w:rsidRPr="00C33D5A">
        <w:t xml:space="preserve"> with performance evidence or through an independent process, such as workbooks, written assessments or interviews (provided a record is kept).</w:t>
      </w:r>
    </w:p>
    <w:p w:rsidR="00000000" w:rsidRPr="00C33D5A" w:rsidP="00C33D5A">
      <w:pPr>
        <w:pStyle w:val="ListBullet"/>
      </w:pPr>
      <w:r w:rsidRPr="00C33D5A">
        <w:t>Assessment processes and techniques must be appropriate to the language, literacy and numeracy requirements of t</w:t>
      </w:r>
      <w:r w:rsidRPr="00C33D5A">
        <w:t>he work being performed and the needs of the candidate.</w:t>
      </w:r>
    </w:p>
    <w:p w:rsidR="00000000" w:rsidRPr="00C33D5A" w:rsidP="00C33D5A">
      <w:pPr>
        <w:pStyle w:val="ListBullet"/>
      </w:pPr>
      <w:r w:rsidRPr="00C33D5A">
        <w:t>Conditions for assessment must include access to all tools, equipment, materials and documentation required, including relevant workplace procedures, product and manufacturing specifications associate</w:t>
      </w:r>
      <w:r w:rsidRPr="00C33D5A">
        <w:t>d with this unit.</w:t>
      </w:r>
    </w:p>
    <w:p w:rsidR="00000000" w:rsidRPr="00C33D5A" w:rsidP="00C33D5A">
      <w:pPr>
        <w:pStyle w:val="ListBullet"/>
      </w:pPr>
      <w:r w:rsidRPr="00C33D5A">
        <w:t>The regulatory framework will be reflected in workplace policies and procedures and is not required to be independently assessed.</w:t>
      </w:r>
    </w:p>
    <w:p w:rsidR="00000000" w:rsidRPr="00C33D5A" w:rsidP="00C33D5A">
      <w:pPr>
        <w:pStyle w:val="ListBullet"/>
      </w:pPr>
      <w:r w:rsidRPr="00C33D5A">
        <w:t>Foundation skills are integral to competent performance of the unit and should not be assessed separately.</w:t>
      </w:r>
    </w:p>
    <w:p w:rsidR="00000000" w:rsidRPr="00C33D5A" w:rsidP="00C33D5A">
      <w:pPr>
        <w:pStyle w:val="ListBullet"/>
      </w:pPr>
      <w:r w:rsidRPr="00C33D5A">
        <w:t>A</w:t>
      </w:r>
      <w:r w:rsidRPr="00C33D5A">
        <w:t>ssessors must satisfy the assessor competency requirements that are in place at the time of the assessment as set by the VET regulator.</w:t>
      </w:r>
    </w:p>
    <w:p w:rsidR="00000000" w:rsidRPr="00C33D5A" w:rsidP="00C33D5A">
      <w:pPr>
        <w:pStyle w:val="ListBullet"/>
      </w:pPr>
      <w:r w:rsidRPr="00C33D5A">
        <w:t>In addition, the assessor or anyone acting in subject matter expert role in assessment must demonstrate both technical c</w:t>
      </w:r>
      <w:r w:rsidRPr="00C33D5A">
        <w:t xml:space="preserve">ompetency and currency. If the assessor cannot demonstrate technical competency and currency they must assess with a subject matter expert who does meet these requirements. </w:t>
      </w:r>
    </w:p>
    <w:p w:rsidR="00000000" w:rsidRPr="00C33D5A" w:rsidP="00C33D5A">
      <w:pPr>
        <w:pStyle w:val="ListBullet"/>
      </w:pPr>
      <w:r w:rsidRPr="00C33D5A">
        <w:t>Technical competence can be demonstrated through one or more of:</w:t>
      </w:r>
    </w:p>
    <w:p w:rsidR="00000000" w:rsidRPr="00C33D5A" w:rsidP="00C33D5A">
      <w:pPr>
        <w:pStyle w:val="ListBullet2"/>
      </w:pPr>
      <w:r w:rsidRPr="00C33D5A">
        <w:t xml:space="preserve">relevant VET or </w:t>
      </w:r>
      <w:r w:rsidRPr="00C33D5A">
        <w:t xml:space="preserve">other qualification/Statement of Attainment </w:t>
      </w:r>
    </w:p>
    <w:p w:rsidR="00000000" w:rsidRPr="00C33D5A" w:rsidP="00C33D5A">
      <w:pPr>
        <w:pStyle w:val="ListBullet2"/>
      </w:pPr>
      <w:r w:rsidRPr="00C33D5A">
        <w:t xml:space="preserve">appropriate workplace experience undertaking the type of work being assessed under routine and non-routine conditions </w:t>
      </w:r>
    </w:p>
    <w:p w:rsidR="00000000" w:rsidRPr="00C33D5A" w:rsidP="00C33D5A">
      <w:pPr>
        <w:pStyle w:val="ListBullet2"/>
      </w:pPr>
      <w:r w:rsidRPr="00C33D5A">
        <w:t>appropriate workplace experience supervising/evaluating the type of work being assessed unde</w:t>
      </w:r>
      <w:r w:rsidRPr="00C33D5A">
        <w:t>r routine and non-routine conditions</w:t>
      </w:r>
    </w:p>
    <w:p w:rsidR="00000000" w:rsidRPr="00C33D5A" w:rsidP="00C33D5A">
      <w:pPr>
        <w:pStyle w:val="ListBullet"/>
      </w:pPr>
      <w:r w:rsidRPr="00C33D5A">
        <w:t>Currency can be demonstrated through one or more of:</w:t>
      </w:r>
    </w:p>
    <w:p w:rsidR="00000000" w:rsidRPr="00C33D5A" w:rsidP="00C33D5A">
      <w:pPr>
        <w:pStyle w:val="ListBullet2"/>
      </w:pPr>
      <w:r w:rsidRPr="00C33D5A">
        <w:t xml:space="preserve">being currently employed undertaking the type of work being assessed </w:t>
      </w:r>
    </w:p>
    <w:p w:rsidR="00000000" w:rsidRPr="00C33D5A" w:rsidP="00C33D5A">
      <w:pPr>
        <w:pStyle w:val="ListBullet2"/>
      </w:pPr>
      <w:r w:rsidRPr="00C33D5A">
        <w:t xml:space="preserve">being employed by the organisation </w:t>
      </w:r>
      <w:r w:rsidRPr="00C33D5A">
        <w:t xml:space="preserve">undertaking the type of work being assessed and having maintained currency in accordance with that organisation’s policies and procedures </w:t>
      </w:r>
    </w:p>
    <w:p w:rsidR="00000000" w:rsidRPr="00C33D5A" w:rsidP="00C33D5A">
      <w:pPr>
        <w:pStyle w:val="ListBullet2"/>
      </w:pPr>
      <w:r w:rsidRPr="00C33D5A">
        <w:t xml:space="preserve">having consulted/had contact with an organisation undertaking the type of work being assessed within the last twelve </w:t>
      </w:r>
      <w:r w:rsidRPr="00C33D5A">
        <w:t xml:space="preserve">months, the consultation/contact being related to assessment </w:t>
      </w:r>
    </w:p>
    <w:p w:rsidR="00000000" w:rsidRPr="00C33D5A" w:rsidP="00C33D5A">
      <w:pPr>
        <w:pStyle w:val="ListBullet2"/>
      </w:pPr>
      <w:r w:rsidRPr="00C33D5A">
        <w:t xml:space="preserve">conducting on-the-job training/assessments of the type of work being assessed </w:t>
      </w:r>
    </w:p>
    <w:p w:rsidR="00000000" w:rsidRPr="00C33D5A" w:rsidP="00C33D5A">
      <w:pPr>
        <w:pStyle w:val="ListBullet2"/>
      </w:pPr>
      <w:r w:rsidRPr="00C33D5A">
        <w:t>being an active member of a relevant professional body and participating in activities relevant to the assessment o</w:t>
      </w:r>
      <w:r w:rsidRPr="00C33D5A">
        <w:t>f this type of work.</w:t>
      </w:r>
    </w:p>
    <w:p w:rsidR="00000000" w:rsidRPr="00C33D5A" w:rsidP="00C33D5A">
      <w:pPr>
        <w:pStyle w:val="AllowPageBreak"/>
      </w:pPr>
    </w:p>
    <w:p w:rsidR="00000000" w:rsidRPr="00C33D5A" w:rsidP="00C33D5A">
      <w:pPr>
        <w:pStyle w:val="Heading1"/>
      </w:pPr>
      <w:bookmarkStart w:id="15" w:name="O_909945"/>
      <w:bookmarkEnd w:id="15"/>
      <w:r w:rsidRPr="00C33D5A">
        <w:t>Links</w:t>
      </w:r>
    </w:p>
    <w:p w:rsidR="00000000" w:rsidRPr="00C33D5A" w:rsidP="00A31345">
      <w:pPr>
        <w:pStyle w:val="BodyText"/>
      </w:pPr>
      <w:r w:rsidRPr="00C33D5A">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486AE7">
        <w:rPr>
          <w:rStyle w:val="Hyperlink"/>
        </w:rPr>
        <w:t>https://vetnet.gov.au/Pages/TrainingDocs.aspx?q=9fc2cf53-e570-4e9f-ad6a-b228ffdb6875</w:t>
      </w:r>
      <w:r>
        <w:fldChar w:fldCharType="end"/>
      </w:r>
    </w:p>
    <w:p w:rsidR="00000000" w:rsidRPr="00C33D5A" w:rsidP="00C33D5A"/>
    <w:sectPr w:rsidSect="00C33D5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D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D5A" w:rsidRPr="00A31345" w:rsidP="00A313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D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345" w:rsidP="00C33D5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31345" w:rsidP="00C33D5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A31345" w:rsidP="00C33D5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D5A" w:rsidP="00C33D5A">
    <w:pPr>
      <w:pStyle w:val="Footer"/>
      <w:framePr w:wrap="around"/>
    </w:pPr>
    <w:r>
      <w:fldChar w:fldCharType="begin"/>
    </w:r>
    <w:r>
      <w:instrText xml:space="preserve"> DOCPROPERTY  Subject  \* MERGEFORMAT </w:instrText>
    </w:r>
    <w:r>
      <w:fldChar w:fldCharType="separate"/>
    </w:r>
    <w:r w:rsidR="00A31345">
      <w:t>Approved</w:t>
    </w:r>
    <w:r w:rsidR="00A31345">
      <w:fldChar w:fldCharType="end"/>
    </w:r>
    <w:r>
      <w:tab/>
      <w:t xml:space="preserve">Page </w:t>
    </w:r>
    <w:r>
      <w:fldChar w:fldCharType="begin"/>
    </w:r>
    <w:r>
      <w:instrText xml:space="preserve"> PAGE  \* Arabic  \* MERGEFORMAT </w:instrText>
    </w:r>
    <w:r>
      <w:fldChar w:fldCharType="separate"/>
    </w:r>
    <w:r w:rsidR="00A3134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31345">
      <w:rPr>
        <w:noProof/>
      </w:rPr>
      <w:t>5</w:t>
    </w:r>
    <w:r>
      <w:rPr>
        <w:noProof/>
      </w:rPr>
      <w:fldChar w:fldCharType="end"/>
    </w:r>
  </w:p>
  <w:p w:rsidR="00C33D5A" w:rsidP="00C33D5A">
    <w:pPr>
      <w:pStyle w:val="Footer"/>
      <w:framePr w:wrap="around"/>
    </w:pPr>
    <w:r>
      <w:t xml:space="preserve">© Commonwealth of Australia, </w:t>
    </w:r>
    <w:r>
      <w:fldChar w:fldCharType="begin"/>
    </w:r>
    <w:r>
      <w:instrText xml:space="preserve"> DATE  \@ "yyyy"  \* MERGEFORMAT </w:instrText>
    </w:r>
    <w:r>
      <w:fldChar w:fldCharType="separate"/>
    </w:r>
    <w:r w:rsidR="00A31345">
      <w:rPr>
        <w:noProof/>
      </w:rPr>
      <w:t>2025</w:t>
    </w:r>
    <w:r>
      <w:fldChar w:fldCharType="end"/>
    </w:r>
    <w:r>
      <w:tab/>
    </w:r>
    <w:r>
      <w:fldChar w:fldCharType="begin"/>
    </w:r>
    <w:r>
      <w:instrText xml:space="preserve"> DOCPROPERTY  Author  \* MERGEFORMAT </w:instrText>
    </w:r>
    <w:r>
      <w:fldChar w:fldCharType="separate"/>
    </w:r>
    <w:r w:rsidR="00A31345">
      <w:t>Manufacturing Industry Skills Alliance</w:t>
    </w:r>
    <w:r w:rsidR="00A31345">
      <w:fldChar w:fldCharType="end"/>
    </w:r>
  </w:p>
  <w:p w:rsidR="00C33D5A" w:rsidP="00C33D5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D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34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33D5A" w:rsidRPr="00A31345" w:rsidP="00A3134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D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345" w:rsidRPr="002D2AF8" w:rsidP="00C33D5A">
    <w:pPr>
      <w:pStyle w:val="Header"/>
      <w:framePr w:wrap="around"/>
    </w:pPr>
    <w:r>
      <w:fldChar w:fldCharType="begin"/>
    </w:r>
    <w:r>
      <w:instrText xml:space="preserve"> TITLE   \* MERGEFORMAT </w:instrText>
    </w:r>
    <w:r>
      <w:fldChar w:fldCharType="separate"/>
    </w:r>
    <w:r>
      <w:t>PMASUP540 Analyse equipment performance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31345" w:rsidP="00C33D5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D5A" w:rsidRPr="002D2AF8" w:rsidP="00C33D5A">
    <w:pPr>
      <w:pStyle w:val="Header"/>
      <w:framePr w:wrap="around"/>
    </w:pPr>
    <w:r>
      <w:fldChar w:fldCharType="begin"/>
    </w:r>
    <w:r>
      <w:instrText xml:space="preserve"> TITLE   \* MERGEFORMAT </w:instrText>
    </w:r>
    <w:r>
      <w:fldChar w:fldCharType="separate"/>
    </w:r>
    <w:r w:rsidR="00A31345">
      <w:t>PMASUP540 Analyse equipment performance</w:t>
    </w:r>
    <w:r w:rsidR="00A31345">
      <w:fldChar w:fldCharType="end"/>
    </w:r>
    <w:r>
      <w:tab/>
      <w:t xml:space="preserve">Date this document was generated: </w:t>
    </w:r>
    <w:r>
      <w:fldChar w:fldCharType="begin"/>
    </w:r>
    <w:r>
      <w:instrText xml:space="preserve"> CREATEDATE  \@ "d MMMM yyyy"  \* MERGEFORMAT </w:instrText>
    </w:r>
    <w:r>
      <w:fldChar w:fldCharType="separate"/>
    </w:r>
    <w:r w:rsidR="00A31345">
      <w:rPr>
        <w:noProof/>
      </w:rPr>
      <w:t>1 March 2025</w:t>
    </w:r>
    <w:r>
      <w:fldChar w:fldCharType="end"/>
    </w:r>
  </w:p>
  <w:p w:rsidR="00C33D5A" w:rsidP="00C33D5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BAA42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60C6E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A266B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3D5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33D5A"/>
    <w:pPr>
      <w:spacing w:before="360" w:after="60"/>
      <w:outlineLvl w:val="0"/>
    </w:pPr>
    <w:rPr>
      <w:sz w:val="32"/>
    </w:rPr>
  </w:style>
  <w:style w:type="paragraph" w:styleId="Heading2">
    <w:name w:val="heading 2"/>
    <w:basedOn w:val="HeadingBase"/>
    <w:next w:val="BodyText"/>
    <w:link w:val="Heading2Char"/>
    <w:qFormat/>
    <w:rsid w:val="00C33D5A"/>
    <w:pPr>
      <w:keepLines/>
      <w:spacing w:before="240" w:after="120"/>
      <w:outlineLvl w:val="1"/>
    </w:pPr>
    <w:rPr>
      <w:sz w:val="28"/>
      <w:szCs w:val="40"/>
    </w:rPr>
  </w:style>
  <w:style w:type="paragraph" w:styleId="Heading3">
    <w:name w:val="heading 3"/>
    <w:basedOn w:val="HeadingBase"/>
    <w:next w:val="BodyText"/>
    <w:link w:val="Heading3Char"/>
    <w:qFormat/>
    <w:rsid w:val="00C33D5A"/>
    <w:pPr>
      <w:spacing w:before="180" w:after="120"/>
      <w:outlineLvl w:val="2"/>
    </w:pPr>
    <w:rPr>
      <w:spacing w:val="-10"/>
      <w:kern w:val="32"/>
    </w:rPr>
  </w:style>
  <w:style w:type="paragraph" w:styleId="Heading4">
    <w:name w:val="heading 4"/>
    <w:basedOn w:val="HeadingBase"/>
    <w:next w:val="BodyText"/>
    <w:link w:val="Heading4Char"/>
    <w:qFormat/>
    <w:rsid w:val="00C33D5A"/>
    <w:pPr>
      <w:spacing w:before="160" w:after="120"/>
      <w:outlineLvl w:val="3"/>
    </w:pPr>
    <w:rPr>
      <w:sz w:val="22"/>
    </w:rPr>
  </w:style>
  <w:style w:type="paragraph" w:styleId="Heading5">
    <w:name w:val="heading 5"/>
    <w:basedOn w:val="HeadingBase"/>
    <w:next w:val="Normal"/>
    <w:link w:val="Heading5Char"/>
    <w:qFormat/>
    <w:rsid w:val="00C33D5A"/>
    <w:pPr>
      <w:spacing w:before="80"/>
      <w:outlineLvl w:val="4"/>
    </w:pPr>
    <w:rPr>
      <w:color w:val="918585"/>
      <w:sz w:val="20"/>
    </w:rPr>
  </w:style>
  <w:style w:type="paragraph" w:styleId="Heading6">
    <w:name w:val="heading 6"/>
    <w:basedOn w:val="HeadingBase"/>
    <w:next w:val="Normal"/>
    <w:link w:val="Heading6Char"/>
    <w:qFormat/>
    <w:rsid w:val="00C33D5A"/>
    <w:pPr>
      <w:spacing w:before="60"/>
      <w:outlineLvl w:val="5"/>
    </w:pPr>
    <w:rPr>
      <w:color w:val="918585"/>
      <w:sz w:val="20"/>
    </w:rPr>
  </w:style>
  <w:style w:type="paragraph" w:styleId="Heading7">
    <w:name w:val="heading 7"/>
    <w:basedOn w:val="Normal"/>
    <w:next w:val="Normal"/>
    <w:link w:val="Heading7Char"/>
    <w:qFormat/>
    <w:rsid w:val="00C33D5A"/>
    <w:pPr>
      <w:ind w:left="720"/>
      <w:outlineLvl w:val="6"/>
    </w:pPr>
    <w:rPr>
      <w:i/>
    </w:rPr>
  </w:style>
  <w:style w:type="paragraph" w:styleId="Heading8">
    <w:name w:val="heading 8"/>
    <w:basedOn w:val="Normal"/>
    <w:next w:val="Normal"/>
    <w:link w:val="Heading8Char"/>
    <w:qFormat/>
    <w:rsid w:val="00C33D5A"/>
    <w:pPr>
      <w:ind w:left="720"/>
      <w:outlineLvl w:val="7"/>
    </w:pPr>
    <w:rPr>
      <w:i/>
    </w:rPr>
  </w:style>
  <w:style w:type="paragraph" w:styleId="Heading9">
    <w:name w:val="heading 9"/>
    <w:basedOn w:val="Normal"/>
    <w:next w:val="Normal"/>
    <w:link w:val="Heading9Char"/>
    <w:qFormat/>
    <w:rsid w:val="00C33D5A"/>
    <w:pPr>
      <w:ind w:left="720"/>
      <w:outlineLvl w:val="8"/>
    </w:pPr>
    <w:rPr>
      <w:i/>
    </w:rPr>
  </w:style>
  <w:style w:type="character" w:default="1" w:styleId="DefaultParagraphFont">
    <w:name w:val="Default Paragraph Font"/>
    <w:uiPriority w:val="1"/>
    <w:unhideWhenUsed/>
    <w:rsid w:val="00C33D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3D5A"/>
  </w:style>
  <w:style w:type="character" w:customStyle="1" w:styleId="Heading1Char">
    <w:name w:val="Heading 1 Char"/>
    <w:basedOn w:val="DefaultParagraphFont"/>
    <w:link w:val="Heading1"/>
    <w:rsid w:val="00C33D5A"/>
    <w:rPr>
      <w:rFonts w:ascii="Times New Roman" w:eastAsia="Times New Roman" w:hAnsi="Times New Roman" w:cs="Times New Roman"/>
      <w:b/>
      <w:sz w:val="32"/>
      <w:szCs w:val="20"/>
      <w:lang w:eastAsia="en-US"/>
    </w:rPr>
  </w:style>
  <w:style w:type="paragraph" w:styleId="BodyText">
    <w:name w:val="Body Text"/>
    <w:basedOn w:val="Normal"/>
    <w:link w:val="BodyTextChar"/>
    <w:rsid w:val="00C33D5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33D5A"/>
    <w:rPr>
      <w:rFonts w:ascii="Times New Roman" w:eastAsia="Times New Roman" w:hAnsi="Times New Roman" w:cs="Times New Roman"/>
      <w:sz w:val="24"/>
      <w:lang w:eastAsia="en-US"/>
    </w:rPr>
  </w:style>
  <w:style w:type="paragraph" w:styleId="ListBullet">
    <w:name w:val="List Bullet"/>
    <w:basedOn w:val="List"/>
    <w:rsid w:val="00C33D5A"/>
    <w:pPr>
      <w:numPr>
        <w:numId w:val="12"/>
      </w:numPr>
      <w:tabs>
        <w:tab w:val="clear" w:pos="340"/>
      </w:tabs>
      <w:spacing w:before="40" w:after="40"/>
    </w:pPr>
  </w:style>
  <w:style w:type="character" w:customStyle="1" w:styleId="SpecialBold">
    <w:name w:val="Special Bold"/>
    <w:basedOn w:val="DefaultParagraphFont"/>
    <w:rsid w:val="00C33D5A"/>
    <w:rPr>
      <w:b/>
      <w:spacing w:val="0"/>
    </w:rPr>
  </w:style>
  <w:style w:type="paragraph" w:styleId="ListBullet2">
    <w:name w:val="List Bullet 2"/>
    <w:basedOn w:val="List2"/>
    <w:rsid w:val="00C33D5A"/>
    <w:pPr>
      <w:numPr>
        <w:numId w:val="13"/>
      </w:numPr>
      <w:tabs>
        <w:tab w:val="clear" w:pos="680"/>
      </w:tabs>
    </w:pPr>
  </w:style>
  <w:style w:type="paragraph" w:customStyle="1" w:styleId="SuperHeading">
    <w:name w:val="SuperHeading"/>
    <w:basedOn w:val="Normal"/>
    <w:rsid w:val="00C33D5A"/>
    <w:pPr>
      <w:spacing w:before="240" w:after="120"/>
      <w:outlineLvl w:val="0"/>
    </w:pPr>
    <w:rPr>
      <w:rFonts w:ascii="Times New Roman" w:hAnsi="Times New Roman"/>
      <w:b/>
      <w:sz w:val="32"/>
    </w:rPr>
  </w:style>
  <w:style w:type="paragraph" w:customStyle="1" w:styleId="AllowPageBreak">
    <w:name w:val="AllowPageBreak"/>
    <w:rsid w:val="00C33D5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33D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3D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3D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3D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3D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3D5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33D5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33D5A"/>
    <w:rPr>
      <w:rFonts w:ascii="Courier New" w:eastAsia="Times New Roman" w:hAnsi="Courier New" w:cs="Times New Roman"/>
      <w:i/>
      <w:szCs w:val="20"/>
      <w:lang w:eastAsia="en-US"/>
    </w:rPr>
  </w:style>
  <w:style w:type="paragraph" w:customStyle="1" w:styleId="HeadingBase">
    <w:name w:val="Heading Base"/>
    <w:rsid w:val="00C33D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3D5A"/>
    <w:pPr>
      <w:tabs>
        <w:tab w:val="right" w:leader="dot" w:pos="9072"/>
      </w:tabs>
      <w:ind w:left="567"/>
    </w:pPr>
    <w:rPr>
      <w:szCs w:val="22"/>
    </w:rPr>
  </w:style>
  <w:style w:type="paragraph" w:customStyle="1" w:styleId="TOCBase">
    <w:name w:val="TOC Base"/>
    <w:rsid w:val="00C33D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3D5A"/>
    <w:pPr>
      <w:tabs>
        <w:tab w:val="right" w:leader="dot" w:pos="9072"/>
      </w:tabs>
      <w:spacing w:before="40" w:after="40"/>
      <w:ind w:left="284"/>
    </w:pPr>
    <w:rPr>
      <w:rFonts w:ascii="Times New Roman" w:hAnsi="Times New Roman"/>
    </w:rPr>
  </w:style>
  <w:style w:type="paragraph" w:styleId="TOC1">
    <w:name w:val="toc 1"/>
    <w:basedOn w:val="TOCBase"/>
    <w:next w:val="Normal"/>
    <w:rsid w:val="00C33D5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33D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3D5A"/>
    <w:rPr>
      <w:rFonts w:ascii="Times New Roman" w:eastAsia="Times New Roman" w:hAnsi="Times New Roman" w:cs="Times New Roman"/>
      <w:sz w:val="16"/>
      <w:lang w:eastAsia="en-US"/>
    </w:rPr>
  </w:style>
  <w:style w:type="paragraph" w:styleId="Title">
    <w:name w:val="Title"/>
    <w:basedOn w:val="HeadingBase"/>
    <w:link w:val="TitleChar"/>
    <w:qFormat/>
    <w:rsid w:val="00C33D5A"/>
    <w:pPr>
      <w:spacing w:before="5040"/>
      <w:jc w:val="center"/>
    </w:pPr>
    <w:rPr>
      <w:sz w:val="48"/>
      <w:szCs w:val="72"/>
      <w:lang w:val="en-US"/>
    </w:rPr>
  </w:style>
  <w:style w:type="character" w:customStyle="1" w:styleId="TitleChar">
    <w:name w:val="Title Char"/>
    <w:basedOn w:val="DefaultParagraphFont"/>
    <w:link w:val="Title"/>
    <w:rsid w:val="00C33D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3D5A"/>
    <w:pPr>
      <w:tabs>
        <w:tab w:val="left" w:pos="3600"/>
        <w:tab w:val="left" w:pos="3958"/>
      </w:tabs>
    </w:pPr>
  </w:style>
  <w:style w:type="paragraph" w:styleId="List">
    <w:name w:val="List"/>
    <w:basedOn w:val="BodyText"/>
    <w:next w:val="BodyText"/>
    <w:rsid w:val="00C33D5A"/>
    <w:pPr>
      <w:tabs>
        <w:tab w:val="left" w:pos="340"/>
      </w:tabs>
      <w:spacing w:before="60" w:after="60"/>
      <w:ind w:left="340" w:hanging="340"/>
    </w:pPr>
  </w:style>
  <w:style w:type="paragraph" w:customStyle="1" w:styleId="Note">
    <w:name w:val="Note"/>
    <w:basedOn w:val="BodyText"/>
    <w:rsid w:val="00C33D5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33D5A"/>
    <w:pPr>
      <w:framePr w:wrap="auto" w:hAnchor="text" w:y="6049"/>
    </w:pPr>
    <w:rPr>
      <w:color w:val="000000"/>
      <w:sz w:val="40"/>
    </w:rPr>
  </w:style>
  <w:style w:type="paragraph" w:customStyle="1" w:styleId="TOCTitle">
    <w:name w:val="TOCTitle"/>
    <w:basedOn w:val="Heading1"/>
    <w:rsid w:val="00C33D5A"/>
    <w:pPr>
      <w:spacing w:after="240"/>
      <w:jc w:val="center"/>
      <w:outlineLvl w:val="9"/>
    </w:pPr>
    <w:rPr>
      <w:caps/>
    </w:rPr>
  </w:style>
  <w:style w:type="paragraph" w:customStyle="1" w:styleId="Version">
    <w:name w:val="Version"/>
    <w:rsid w:val="00C33D5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33D5A"/>
    <w:pPr>
      <w:keepNext w:val="0"/>
      <w:tabs>
        <w:tab w:val="right" w:pos="4176"/>
      </w:tabs>
      <w:ind w:left="198" w:hanging="198"/>
    </w:pPr>
    <w:rPr>
      <w:rFonts w:ascii="Garamond" w:hAnsi="Garamond"/>
    </w:rPr>
  </w:style>
  <w:style w:type="paragraph" w:styleId="IndexHeading">
    <w:name w:val="index heading"/>
    <w:basedOn w:val="Normal"/>
    <w:next w:val="Index1"/>
    <w:semiHidden/>
    <w:rsid w:val="00C33D5A"/>
    <w:pPr>
      <w:spacing w:before="120" w:after="120"/>
    </w:pPr>
    <w:rPr>
      <w:rFonts w:ascii="Arial" w:hAnsi="Arial"/>
      <w:b/>
      <w:color w:val="918585"/>
      <w:sz w:val="24"/>
    </w:rPr>
  </w:style>
  <w:style w:type="paragraph" w:styleId="Header">
    <w:name w:val="header"/>
    <w:basedOn w:val="Normal"/>
    <w:link w:val="HeaderChar"/>
    <w:rsid w:val="00C33D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3D5A"/>
    <w:rPr>
      <w:rFonts w:ascii="Times New Roman" w:eastAsia="Times New Roman" w:hAnsi="Times New Roman" w:cs="Times New Roman"/>
      <w:sz w:val="16"/>
      <w:szCs w:val="20"/>
      <w:lang w:val="en-GB" w:eastAsia="en-US"/>
    </w:rPr>
  </w:style>
  <w:style w:type="paragraph" w:customStyle="1" w:styleId="Chapter">
    <w:name w:val="Chapter"/>
    <w:basedOn w:val="Normal"/>
    <w:rsid w:val="00C33D5A"/>
    <w:pPr>
      <w:spacing w:before="240"/>
    </w:pPr>
    <w:rPr>
      <w:rFonts w:ascii="Times New Roman" w:hAnsi="Times New Roman"/>
      <w:smallCaps/>
      <w:spacing w:val="80"/>
      <w:sz w:val="28"/>
    </w:rPr>
  </w:style>
  <w:style w:type="paragraph" w:customStyle="1" w:styleId="InChapter">
    <w:name w:val="InChapter"/>
    <w:basedOn w:val="Heading3"/>
    <w:rsid w:val="00C33D5A"/>
    <w:pPr>
      <w:spacing w:after="240"/>
      <w:outlineLvl w:val="9"/>
    </w:pPr>
    <w:rPr>
      <w:noProof/>
    </w:rPr>
  </w:style>
  <w:style w:type="paragraph" w:styleId="Index2">
    <w:name w:val="index 2"/>
    <w:basedOn w:val="Normal"/>
    <w:next w:val="Normal"/>
    <w:semiHidden/>
    <w:rsid w:val="00C33D5A"/>
    <w:pPr>
      <w:tabs>
        <w:tab w:val="right" w:pos="4176"/>
      </w:tabs>
      <w:ind w:left="568" w:hanging="284"/>
    </w:pPr>
    <w:rPr>
      <w:rFonts w:ascii="Garamond" w:hAnsi="Garamond"/>
    </w:rPr>
  </w:style>
  <w:style w:type="paragraph" w:customStyle="1" w:styleId="Byline">
    <w:name w:val="Byline"/>
    <w:rsid w:val="00C33D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3D5A"/>
    <w:pPr>
      <w:tabs>
        <w:tab w:val="clear" w:pos="3600"/>
        <w:tab w:val="clear" w:pos="3958"/>
      </w:tabs>
      <w:jc w:val="right"/>
    </w:pPr>
  </w:style>
  <w:style w:type="character" w:styleId="Emphasis">
    <w:name w:val="Emphasis"/>
    <w:basedOn w:val="DefaultParagraphFont"/>
    <w:qFormat/>
    <w:rsid w:val="00C33D5A"/>
    <w:rPr>
      <w:i/>
    </w:rPr>
  </w:style>
  <w:style w:type="paragraph" w:styleId="Caption">
    <w:name w:val="caption"/>
    <w:basedOn w:val="BodyText"/>
    <w:next w:val="Normal"/>
    <w:qFormat/>
    <w:rsid w:val="00C33D5A"/>
    <w:pPr>
      <w:framePr w:w="2268" w:hSpace="181" w:vSpace="181" w:wrap="around" w:vAnchor="text" w:hAnchor="page" w:x="1135" w:y="285" w:anchorLock="1"/>
    </w:pPr>
    <w:rPr>
      <w:i/>
    </w:rPr>
  </w:style>
  <w:style w:type="paragraph" w:customStyle="1" w:styleId="MiniTOCTitle">
    <w:name w:val="MiniTOCTitle"/>
    <w:basedOn w:val="Heading4"/>
    <w:rsid w:val="00C33D5A"/>
    <w:pPr>
      <w:spacing w:before="240"/>
      <w:outlineLvl w:val="9"/>
    </w:pPr>
    <w:rPr>
      <w:noProof/>
      <w:sz w:val="24"/>
    </w:rPr>
  </w:style>
  <w:style w:type="paragraph" w:customStyle="1" w:styleId="MiniTOCItem">
    <w:name w:val="MiniTOCItem"/>
    <w:basedOn w:val="ListBullet"/>
    <w:rsid w:val="00C33D5A"/>
    <w:pPr>
      <w:numPr>
        <w:numId w:val="0"/>
      </w:numPr>
      <w:tabs>
        <w:tab w:val="right" w:leader="dot" w:pos="6521"/>
      </w:tabs>
      <w:spacing w:before="0" w:after="0"/>
    </w:pPr>
  </w:style>
  <w:style w:type="paragraph" w:customStyle="1" w:styleId="TOFTitle">
    <w:name w:val="TOFTitle"/>
    <w:basedOn w:val="TOCTitle"/>
    <w:rsid w:val="00C33D5A"/>
  </w:style>
  <w:style w:type="paragraph" w:styleId="TableofFigures">
    <w:name w:val="table of figures"/>
    <w:basedOn w:val="Normal"/>
    <w:next w:val="Normal"/>
    <w:semiHidden/>
    <w:rsid w:val="00C33D5A"/>
    <w:pPr>
      <w:tabs>
        <w:tab w:val="right" w:leader="dot" w:pos="9072"/>
      </w:tabs>
      <w:ind w:left="970" w:hanging="403"/>
    </w:pPr>
    <w:rPr>
      <w:rFonts w:ascii="Times New Roman" w:hAnsi="Times New Roman"/>
      <w:b/>
    </w:rPr>
  </w:style>
  <w:style w:type="paragraph" w:styleId="ListNumber">
    <w:name w:val="List Number"/>
    <w:basedOn w:val="List"/>
    <w:rsid w:val="00C33D5A"/>
    <w:pPr>
      <w:numPr>
        <w:numId w:val="15"/>
      </w:numPr>
      <w:tabs>
        <w:tab w:val="clear" w:pos="340"/>
      </w:tabs>
    </w:pPr>
  </w:style>
  <w:style w:type="character" w:customStyle="1" w:styleId="WingdingSymbols">
    <w:name w:val="Wingding Symbols"/>
    <w:rsid w:val="00C33D5A"/>
    <w:rPr>
      <w:rFonts w:ascii="Wingdings" w:hAnsi="Wingdings"/>
    </w:rPr>
  </w:style>
  <w:style w:type="paragraph" w:customStyle="1" w:styleId="TableHeading">
    <w:name w:val="Table Heading"/>
    <w:basedOn w:val="HeadingBase"/>
    <w:rsid w:val="00C33D5A"/>
    <w:pPr>
      <w:keepLines/>
      <w:pBdr>
        <w:bottom w:val="single" w:sz="6" w:space="1" w:color="918585"/>
      </w:pBdr>
      <w:spacing w:before="240"/>
    </w:pPr>
  </w:style>
  <w:style w:type="character" w:customStyle="1" w:styleId="HotSpot">
    <w:name w:val="HotSpot"/>
    <w:rsid w:val="00C33D5A"/>
    <w:rPr>
      <w:color w:val="0033CC"/>
      <w:u w:val="none"/>
    </w:rPr>
  </w:style>
  <w:style w:type="paragraph" w:customStyle="1" w:styleId="BodyTextRight">
    <w:name w:val="Body Text Right"/>
    <w:basedOn w:val="BodyText"/>
    <w:rsid w:val="00C33D5A"/>
    <w:pPr>
      <w:spacing w:before="0" w:after="0"/>
      <w:jc w:val="right"/>
    </w:pPr>
  </w:style>
  <w:style w:type="paragraph" w:styleId="Index3">
    <w:name w:val="index 3"/>
    <w:basedOn w:val="ListNumber2"/>
    <w:next w:val="Normal"/>
    <w:semiHidden/>
    <w:rsid w:val="00C33D5A"/>
    <w:pPr>
      <w:numPr>
        <w:numId w:val="0"/>
      </w:numPr>
      <w:tabs>
        <w:tab w:val="right" w:leader="dot" w:pos="4176"/>
      </w:tabs>
    </w:pPr>
  </w:style>
  <w:style w:type="paragraph" w:styleId="ListNumber2">
    <w:name w:val="List Number 2"/>
    <w:basedOn w:val="List2"/>
    <w:rsid w:val="00C33D5A"/>
    <w:pPr>
      <w:numPr>
        <w:numId w:val="10"/>
      </w:numPr>
      <w:tabs>
        <w:tab w:val="clear" w:pos="1060"/>
      </w:tabs>
    </w:pPr>
  </w:style>
  <w:style w:type="paragraph" w:customStyle="1" w:styleId="MarginNote">
    <w:name w:val="Margin Note"/>
    <w:basedOn w:val="BodyText"/>
    <w:rsid w:val="00C33D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3D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3D5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33D5A"/>
    <w:rPr>
      <w:sz w:val="32"/>
    </w:rPr>
  </w:style>
  <w:style w:type="paragraph" w:customStyle="1" w:styleId="HeadingProcedure">
    <w:name w:val="Heading Procedure"/>
    <w:basedOn w:val="HeadingBase"/>
    <w:next w:val="Normal"/>
    <w:rsid w:val="00C33D5A"/>
    <w:pPr>
      <w:tabs>
        <w:tab w:val="left" w:pos="0"/>
      </w:tabs>
      <w:spacing w:before="120" w:after="60"/>
    </w:pPr>
    <w:rPr>
      <w:i/>
      <w:color w:val="918585"/>
      <w:sz w:val="22"/>
    </w:rPr>
  </w:style>
  <w:style w:type="paragraph" w:customStyle="1" w:styleId="TableBodyText">
    <w:name w:val="Table Body Text"/>
    <w:basedOn w:val="BodyText"/>
    <w:rsid w:val="00C33D5A"/>
    <w:pPr>
      <w:spacing w:before="60" w:after="60"/>
    </w:pPr>
  </w:style>
  <w:style w:type="paragraph" w:styleId="ListContinue">
    <w:name w:val="List Continue"/>
    <w:basedOn w:val="List"/>
    <w:rsid w:val="00C33D5A"/>
    <w:pPr>
      <w:ind w:firstLine="0"/>
    </w:pPr>
  </w:style>
  <w:style w:type="paragraph" w:customStyle="1" w:styleId="ListNote">
    <w:name w:val="List Note"/>
    <w:basedOn w:val="List"/>
    <w:rsid w:val="00C33D5A"/>
    <w:pPr>
      <w:pBdr>
        <w:top w:val="single" w:sz="6" w:space="2" w:color="918585"/>
        <w:bottom w:val="single" w:sz="6" w:space="2" w:color="918585"/>
      </w:pBdr>
      <w:tabs>
        <w:tab w:val="left" w:pos="1021"/>
      </w:tabs>
      <w:ind w:firstLine="0"/>
    </w:pPr>
  </w:style>
  <w:style w:type="paragraph" w:customStyle="1" w:styleId="Warning">
    <w:name w:val="Warning"/>
    <w:basedOn w:val="BodyText"/>
    <w:rsid w:val="00C33D5A"/>
    <w:pPr>
      <w:shd w:val="clear" w:color="auto" w:fill="D9D9D9"/>
      <w:tabs>
        <w:tab w:val="left" w:pos="992"/>
      </w:tabs>
      <w:ind w:left="119" w:right="119"/>
    </w:pPr>
    <w:rPr>
      <w:sz w:val="20"/>
    </w:rPr>
  </w:style>
  <w:style w:type="paragraph" w:customStyle="1" w:styleId="MarginIcons">
    <w:name w:val="Margin Icons"/>
    <w:basedOn w:val="BodyText"/>
    <w:rsid w:val="00C33D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3D5A"/>
    <w:rPr>
      <w:rFonts w:ascii="Courier New" w:hAnsi="Courier New"/>
    </w:rPr>
  </w:style>
  <w:style w:type="paragraph" w:customStyle="1" w:styleId="NoteBullet">
    <w:name w:val="Note Bullet"/>
    <w:basedOn w:val="Note"/>
    <w:rsid w:val="00C33D5A"/>
    <w:pPr>
      <w:tabs>
        <w:tab w:val="clear" w:pos="680"/>
      </w:tabs>
      <w:spacing w:before="60" w:after="60"/>
    </w:pPr>
  </w:style>
  <w:style w:type="paragraph" w:customStyle="1" w:styleId="SubHeading2">
    <w:name w:val="SubHeading2"/>
    <w:basedOn w:val="HeadingBase"/>
    <w:rsid w:val="00C33D5A"/>
    <w:pPr>
      <w:spacing w:before="240" w:after="60"/>
    </w:pPr>
    <w:rPr>
      <w:sz w:val="20"/>
    </w:rPr>
  </w:style>
  <w:style w:type="paragraph" w:customStyle="1" w:styleId="SubHeading1">
    <w:name w:val="SubHeading1"/>
    <w:basedOn w:val="HeadingBase"/>
    <w:rsid w:val="00C33D5A"/>
    <w:pPr>
      <w:spacing w:before="240" w:after="60"/>
    </w:pPr>
    <w:rPr>
      <w:color w:val="918585"/>
      <w:sz w:val="22"/>
    </w:rPr>
  </w:style>
  <w:style w:type="paragraph" w:customStyle="1" w:styleId="SideHeading">
    <w:name w:val="Side Heading"/>
    <w:basedOn w:val="HeadingBase"/>
    <w:rsid w:val="00C33D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3D5A"/>
    <w:pPr>
      <w:tabs>
        <w:tab w:val="num" w:pos="360"/>
      </w:tabs>
    </w:pPr>
  </w:style>
  <w:style w:type="paragraph" w:styleId="PlainText">
    <w:name w:val="Plain Text"/>
    <w:basedOn w:val="Normal"/>
    <w:link w:val="PlainTextChar"/>
    <w:rsid w:val="00C33D5A"/>
    <w:rPr>
      <w:sz w:val="20"/>
    </w:rPr>
  </w:style>
  <w:style w:type="character" w:customStyle="1" w:styleId="PlainTextChar">
    <w:name w:val="Plain Text Char"/>
    <w:basedOn w:val="DefaultParagraphFont"/>
    <w:link w:val="PlainText"/>
    <w:rsid w:val="00C33D5A"/>
    <w:rPr>
      <w:rFonts w:ascii="Courier New" w:eastAsia="Times New Roman" w:hAnsi="Courier New" w:cs="Times New Roman"/>
      <w:sz w:val="20"/>
      <w:szCs w:val="20"/>
      <w:lang w:eastAsia="en-US"/>
    </w:rPr>
  </w:style>
  <w:style w:type="character" w:customStyle="1" w:styleId="MenuOption">
    <w:name w:val="Menu Option"/>
    <w:basedOn w:val="DefaultParagraphFont"/>
    <w:rsid w:val="00C33D5A"/>
    <w:rPr>
      <w:b/>
      <w:smallCaps/>
    </w:rPr>
  </w:style>
  <w:style w:type="paragraph" w:customStyle="1" w:styleId="TableListNumber">
    <w:name w:val="Table List Number"/>
    <w:basedOn w:val="ListNumber"/>
    <w:rsid w:val="00C33D5A"/>
    <w:pPr>
      <w:numPr>
        <w:numId w:val="0"/>
      </w:numPr>
    </w:pPr>
  </w:style>
  <w:style w:type="paragraph" w:styleId="TOC4">
    <w:name w:val="toc 4"/>
    <w:basedOn w:val="TOCBase"/>
    <w:next w:val="Normal"/>
    <w:semiHidden/>
    <w:rsid w:val="00C33D5A"/>
    <w:pPr>
      <w:tabs>
        <w:tab w:val="right" w:leader="dot" w:pos="9071"/>
      </w:tabs>
      <w:ind w:left="1701"/>
    </w:pPr>
  </w:style>
  <w:style w:type="paragraph" w:customStyle="1" w:styleId="ListAlpha">
    <w:name w:val="List Alpha"/>
    <w:basedOn w:val="List"/>
    <w:rsid w:val="00C33D5A"/>
    <w:pPr>
      <w:numPr>
        <w:numId w:val="9"/>
      </w:numPr>
    </w:pPr>
  </w:style>
  <w:style w:type="paragraph" w:customStyle="1" w:styleId="ListAlpha2">
    <w:name w:val="List Alpha 2"/>
    <w:basedOn w:val="List2"/>
    <w:rsid w:val="00C33D5A"/>
    <w:pPr>
      <w:numPr>
        <w:numId w:val="8"/>
      </w:numPr>
    </w:pPr>
  </w:style>
  <w:style w:type="paragraph" w:styleId="List2">
    <w:name w:val="List 2"/>
    <w:basedOn w:val="BodyText"/>
    <w:rsid w:val="00C33D5A"/>
    <w:pPr>
      <w:tabs>
        <w:tab w:val="left" w:pos="680"/>
      </w:tabs>
      <w:spacing w:before="60" w:after="60"/>
      <w:ind w:left="680" w:hanging="340"/>
    </w:pPr>
  </w:style>
  <w:style w:type="paragraph" w:styleId="List3">
    <w:name w:val="List 3"/>
    <w:basedOn w:val="BodyText"/>
    <w:rsid w:val="00C33D5A"/>
    <w:pPr>
      <w:tabs>
        <w:tab w:val="left" w:pos="1021"/>
      </w:tabs>
      <w:spacing w:before="60" w:after="60"/>
      <w:ind w:left="1020" w:hanging="340"/>
    </w:pPr>
  </w:style>
  <w:style w:type="paragraph" w:styleId="List4">
    <w:name w:val="List 4"/>
    <w:basedOn w:val="BodyText"/>
    <w:rsid w:val="00C33D5A"/>
    <w:pPr>
      <w:tabs>
        <w:tab w:val="left" w:pos="1361"/>
      </w:tabs>
      <w:spacing w:before="60" w:after="60"/>
      <w:ind w:left="1361" w:hanging="340"/>
    </w:pPr>
  </w:style>
  <w:style w:type="paragraph" w:styleId="List5">
    <w:name w:val="List 5"/>
    <w:basedOn w:val="BodyText"/>
    <w:rsid w:val="00C33D5A"/>
    <w:pPr>
      <w:tabs>
        <w:tab w:val="left" w:pos="1701"/>
      </w:tabs>
      <w:spacing w:before="60" w:after="60"/>
      <w:ind w:left="1701" w:hanging="340"/>
    </w:pPr>
  </w:style>
  <w:style w:type="paragraph" w:styleId="ListBullet3">
    <w:name w:val="List Bullet 3"/>
    <w:basedOn w:val="List3"/>
    <w:rsid w:val="00C33D5A"/>
    <w:pPr>
      <w:numPr>
        <w:numId w:val="14"/>
      </w:numPr>
      <w:tabs>
        <w:tab w:val="clear" w:pos="1021"/>
      </w:tabs>
      <w:ind w:left="1037" w:hanging="357"/>
    </w:pPr>
  </w:style>
  <w:style w:type="paragraph" w:styleId="ListBullet4">
    <w:name w:val="List Bullet 4"/>
    <w:basedOn w:val="List4"/>
    <w:rsid w:val="00C33D5A"/>
    <w:pPr>
      <w:numPr>
        <w:numId w:val="3"/>
      </w:numPr>
      <w:tabs>
        <w:tab w:val="clear" w:pos="1361"/>
      </w:tabs>
    </w:pPr>
  </w:style>
  <w:style w:type="paragraph" w:styleId="ListBullet5">
    <w:name w:val="List Bullet 5"/>
    <w:basedOn w:val="List5"/>
    <w:rsid w:val="00C33D5A"/>
    <w:pPr>
      <w:numPr>
        <w:numId w:val="4"/>
      </w:numPr>
    </w:pPr>
  </w:style>
  <w:style w:type="paragraph" w:styleId="ListContinue2">
    <w:name w:val="List Continue 2"/>
    <w:basedOn w:val="List2"/>
    <w:rsid w:val="00C33D5A"/>
    <w:pPr>
      <w:ind w:firstLine="0"/>
    </w:pPr>
  </w:style>
  <w:style w:type="paragraph" w:styleId="ListContinue3">
    <w:name w:val="List Continue 3"/>
    <w:basedOn w:val="List3"/>
    <w:rsid w:val="00C33D5A"/>
    <w:pPr>
      <w:ind w:left="1021" w:firstLine="0"/>
    </w:pPr>
  </w:style>
  <w:style w:type="paragraph" w:styleId="ListContinue4">
    <w:name w:val="List Continue 4"/>
    <w:basedOn w:val="List4"/>
    <w:rsid w:val="00C33D5A"/>
    <w:pPr>
      <w:ind w:firstLine="0"/>
    </w:pPr>
  </w:style>
  <w:style w:type="paragraph" w:styleId="ListContinue5">
    <w:name w:val="List Continue 5"/>
    <w:basedOn w:val="List5"/>
    <w:rsid w:val="00C33D5A"/>
    <w:pPr>
      <w:ind w:firstLine="0"/>
    </w:pPr>
  </w:style>
  <w:style w:type="paragraph" w:styleId="ListNumber3">
    <w:name w:val="List Number 3"/>
    <w:basedOn w:val="List3"/>
    <w:rsid w:val="00C33D5A"/>
    <w:pPr>
      <w:numPr>
        <w:numId w:val="5"/>
      </w:numPr>
    </w:pPr>
  </w:style>
  <w:style w:type="paragraph" w:styleId="ListNumber4">
    <w:name w:val="List Number 4"/>
    <w:basedOn w:val="List4"/>
    <w:rsid w:val="00C33D5A"/>
    <w:pPr>
      <w:numPr>
        <w:numId w:val="6"/>
      </w:numPr>
    </w:pPr>
  </w:style>
  <w:style w:type="paragraph" w:styleId="ListNumber5">
    <w:name w:val="List Number 5"/>
    <w:basedOn w:val="List5"/>
    <w:rsid w:val="00C33D5A"/>
    <w:pPr>
      <w:numPr>
        <w:numId w:val="7"/>
      </w:numPr>
    </w:pPr>
  </w:style>
  <w:style w:type="paragraph" w:styleId="BlockText">
    <w:name w:val="Block Text"/>
    <w:basedOn w:val="Normal"/>
    <w:rsid w:val="00C33D5A"/>
    <w:pPr>
      <w:spacing w:after="120"/>
      <w:ind w:left="1440" w:right="1440"/>
    </w:pPr>
  </w:style>
  <w:style w:type="character" w:customStyle="1" w:styleId="Subscript">
    <w:name w:val="Subscript"/>
    <w:basedOn w:val="DefaultParagraphFont"/>
    <w:rsid w:val="00C33D5A"/>
    <w:rPr>
      <w:sz w:val="16"/>
      <w:vertAlign w:val="subscript"/>
    </w:rPr>
  </w:style>
  <w:style w:type="character" w:customStyle="1" w:styleId="Superscript">
    <w:name w:val="Superscript"/>
    <w:basedOn w:val="DefaultParagraphFont"/>
    <w:rsid w:val="00C33D5A"/>
    <w:rPr>
      <w:sz w:val="16"/>
      <w:vertAlign w:val="superscript"/>
    </w:rPr>
  </w:style>
  <w:style w:type="character" w:customStyle="1" w:styleId="Symbols">
    <w:name w:val="Symbols"/>
    <w:basedOn w:val="DefaultParagraphFont"/>
    <w:rsid w:val="00C33D5A"/>
    <w:rPr>
      <w:rFonts w:ascii="Symbol" w:hAnsi="Symbol"/>
    </w:rPr>
  </w:style>
  <w:style w:type="character" w:customStyle="1" w:styleId="MenuOptions">
    <w:name w:val="Menu Options"/>
    <w:basedOn w:val="DefaultParagraphFont"/>
    <w:rsid w:val="00C33D5A"/>
    <w:rPr>
      <w:rFonts w:ascii="Arial Narrow" w:hAnsi="Arial Narrow"/>
      <w:smallCaps/>
    </w:rPr>
  </w:style>
  <w:style w:type="character" w:customStyle="1" w:styleId="Buttons">
    <w:name w:val="Buttons"/>
    <w:basedOn w:val="DefaultParagraphFont"/>
    <w:rsid w:val="00C33D5A"/>
    <w:rPr>
      <w:b/>
    </w:rPr>
  </w:style>
  <w:style w:type="character" w:customStyle="1" w:styleId="Underlined">
    <w:name w:val="Underlined"/>
    <w:basedOn w:val="DefaultParagraphFont"/>
    <w:rsid w:val="00C33D5A"/>
    <w:rPr>
      <w:u w:val="single"/>
    </w:rPr>
  </w:style>
  <w:style w:type="paragraph" w:customStyle="1" w:styleId="TableBodyTextRight">
    <w:name w:val="Table Body Text Right"/>
    <w:basedOn w:val="TableBodyText"/>
    <w:rsid w:val="00C33D5A"/>
    <w:pPr>
      <w:widowControl w:val="0"/>
      <w:autoSpaceDE w:val="0"/>
      <w:autoSpaceDN w:val="0"/>
      <w:adjustRightInd w:val="0"/>
      <w:jc w:val="right"/>
    </w:pPr>
    <w:rPr>
      <w:rFonts w:cs="Arial"/>
      <w:szCs w:val="18"/>
    </w:rPr>
  </w:style>
  <w:style w:type="paragraph" w:customStyle="1" w:styleId="CopyrightText">
    <w:name w:val="Copyright Text"/>
    <w:basedOn w:val="BodyText"/>
    <w:rsid w:val="00C33D5A"/>
    <w:rPr>
      <w:sz w:val="18"/>
    </w:rPr>
  </w:style>
  <w:style w:type="paragraph" w:customStyle="1" w:styleId="BodySmallRight">
    <w:name w:val="Body Small Right"/>
    <w:basedOn w:val="BodyTextRight"/>
    <w:rsid w:val="00C33D5A"/>
    <w:rPr>
      <w:sz w:val="18"/>
      <w:szCs w:val="18"/>
    </w:rPr>
  </w:style>
  <w:style w:type="paragraph" w:customStyle="1" w:styleId="MarginEdition">
    <w:name w:val="Margin Edition"/>
    <w:basedOn w:val="MarginNote"/>
    <w:rsid w:val="00C33D5A"/>
    <w:pPr>
      <w:spacing w:before="0" w:after="0"/>
    </w:pPr>
    <w:rPr>
      <w:rFonts w:ascii="Times New Roman" w:hAnsi="Times New Roman"/>
      <w:color w:val="999999"/>
    </w:rPr>
  </w:style>
  <w:style w:type="paragraph" w:customStyle="1" w:styleId="Spacer">
    <w:name w:val="Spacer"/>
    <w:basedOn w:val="Normal"/>
    <w:rsid w:val="00C33D5A"/>
    <w:rPr>
      <w:sz w:val="2"/>
      <w:szCs w:val="2"/>
    </w:rPr>
  </w:style>
  <w:style w:type="character" w:customStyle="1" w:styleId="Small">
    <w:name w:val="Small"/>
    <w:basedOn w:val="DefaultParagraphFont"/>
    <w:rsid w:val="00C33D5A"/>
    <w:rPr>
      <w:sz w:val="16"/>
    </w:rPr>
  </w:style>
  <w:style w:type="paragraph" w:customStyle="1" w:styleId="WideTable">
    <w:name w:val="Wide Table"/>
    <w:basedOn w:val="Normal"/>
    <w:rsid w:val="00C33D5A"/>
    <w:pPr>
      <w:ind w:left="-1418"/>
    </w:pPr>
    <w:rPr>
      <w:sz w:val="2"/>
      <w:szCs w:val="2"/>
    </w:rPr>
  </w:style>
  <w:style w:type="character" w:styleId="PageNumber">
    <w:name w:val="page number"/>
    <w:basedOn w:val="DefaultParagraphFont"/>
    <w:rsid w:val="00C33D5A"/>
  </w:style>
  <w:style w:type="paragraph" w:styleId="Quote">
    <w:name w:val="Quote"/>
    <w:basedOn w:val="Heading1"/>
    <w:link w:val="QuoteChar"/>
    <w:qFormat/>
    <w:rsid w:val="00C33D5A"/>
    <w:rPr>
      <w:b w:val="0"/>
      <w:sz w:val="72"/>
      <w:szCs w:val="72"/>
      <w:lang w:val="en-NZ"/>
    </w:rPr>
  </w:style>
  <w:style w:type="character" w:customStyle="1" w:styleId="QuoteChar">
    <w:name w:val="Quote Char"/>
    <w:basedOn w:val="DefaultParagraphFont"/>
    <w:link w:val="Quote"/>
    <w:rsid w:val="00C33D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3D5A"/>
    <w:pPr>
      <w:pageBreakBefore/>
    </w:pPr>
  </w:style>
  <w:style w:type="paragraph" w:customStyle="1" w:styleId="Border">
    <w:name w:val="Border"/>
    <w:basedOn w:val="Normal"/>
    <w:qFormat/>
    <w:rsid w:val="00C33D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3D5A"/>
    <w:rPr>
      <w:b/>
      <w:bCs/>
      <w:i/>
      <w:iCs/>
      <w:color w:val="auto"/>
    </w:rPr>
  </w:style>
  <w:style w:type="paragraph" w:styleId="IntenseQuote">
    <w:name w:val="Intense Quote"/>
    <w:basedOn w:val="Normal"/>
    <w:next w:val="Normal"/>
    <w:link w:val="IntenseQuoteChar"/>
    <w:uiPriority w:val="30"/>
    <w:qFormat/>
    <w:rsid w:val="00C33D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3D5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33D5A"/>
    <w:rPr>
      <w:smallCaps/>
      <w:color w:val="auto"/>
      <w:u w:val="single"/>
    </w:rPr>
  </w:style>
  <w:style w:type="character" w:styleId="IntenseReference">
    <w:name w:val="Intense Reference"/>
    <w:basedOn w:val="DefaultParagraphFont"/>
    <w:uiPriority w:val="32"/>
    <w:qFormat/>
    <w:rsid w:val="00C33D5A"/>
    <w:rPr>
      <w:b/>
      <w:bCs/>
      <w:smallCaps/>
      <w:color w:val="auto"/>
      <w:spacing w:val="5"/>
      <w:u w:val="single"/>
    </w:rPr>
  </w:style>
  <w:style w:type="paragraph" w:customStyle="1" w:styleId="2ColumnHeading">
    <w:name w:val="2Column Heading"/>
    <w:basedOn w:val="BodyText"/>
    <w:qFormat/>
    <w:rsid w:val="00C33D5A"/>
    <w:pPr>
      <w:spacing w:after="60"/>
      <w:ind w:left="-2268"/>
    </w:pPr>
    <w:rPr>
      <w:b/>
    </w:rPr>
  </w:style>
  <w:style w:type="paragraph" w:customStyle="1" w:styleId="Heading1TOC">
    <w:name w:val="Heading1 TOC"/>
    <w:basedOn w:val="Normal"/>
    <w:qFormat/>
    <w:rsid w:val="00C33D5A"/>
    <w:pPr>
      <w:spacing w:before="240" w:after="120"/>
    </w:pPr>
    <w:rPr>
      <w:rFonts w:ascii="Times New Roman" w:hAnsi="Times New Roman"/>
      <w:b/>
      <w:sz w:val="32"/>
    </w:rPr>
  </w:style>
  <w:style w:type="paragraph" w:customStyle="1" w:styleId="Heading2TOC">
    <w:name w:val="Heading2 TOC"/>
    <w:basedOn w:val="Normal"/>
    <w:qFormat/>
    <w:rsid w:val="00C33D5A"/>
    <w:pPr>
      <w:spacing w:before="240" w:after="60"/>
    </w:pPr>
    <w:rPr>
      <w:rFonts w:ascii="Times New Roman" w:hAnsi="Times New Roman"/>
      <w:b/>
      <w:sz w:val="28"/>
    </w:rPr>
  </w:style>
  <w:style w:type="character" w:customStyle="1" w:styleId="Underline">
    <w:name w:val="Underline"/>
    <w:basedOn w:val="DefaultParagraphFont"/>
    <w:qFormat/>
    <w:rsid w:val="00C33D5A"/>
    <w:rPr>
      <w:u w:val="single"/>
    </w:rPr>
  </w:style>
  <w:style w:type="character" w:customStyle="1" w:styleId="BoldandItalics">
    <w:name w:val="Bold and Italics"/>
    <w:qFormat/>
    <w:rsid w:val="00C33D5A"/>
    <w:rPr>
      <w:b/>
      <w:i/>
      <w:u w:val="none"/>
    </w:rPr>
  </w:style>
  <w:style w:type="paragraph" w:styleId="BalloonText">
    <w:name w:val="Balloon Text"/>
    <w:basedOn w:val="Normal"/>
    <w:link w:val="BalloonTextChar"/>
    <w:rsid w:val="00C33D5A"/>
    <w:rPr>
      <w:rFonts w:ascii="Tahoma" w:hAnsi="Tahoma" w:cs="Tahoma"/>
      <w:sz w:val="16"/>
      <w:szCs w:val="16"/>
    </w:rPr>
  </w:style>
  <w:style w:type="character" w:customStyle="1" w:styleId="BalloonTextChar">
    <w:name w:val="Balloon Text Char"/>
    <w:basedOn w:val="DefaultParagraphFont"/>
    <w:link w:val="BalloonText"/>
    <w:rsid w:val="00C33D5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33D5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33D5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33D5A"/>
    <w:rPr>
      <w:b/>
      <w:color w:val="660033"/>
      <w:spacing w:val="0"/>
    </w:rPr>
  </w:style>
  <w:style w:type="paragraph" w:customStyle="1" w:styleId="Nameditemlist">
    <w:name w:val="Named item list"/>
    <w:basedOn w:val="BodyText"/>
    <w:qFormat/>
    <w:rsid w:val="00C33D5A"/>
    <w:pPr>
      <w:tabs>
        <w:tab w:val="left" w:pos="2835"/>
      </w:tabs>
      <w:ind w:left="2835" w:hanging="2835"/>
    </w:pPr>
  </w:style>
  <w:style w:type="paragraph" w:customStyle="1" w:styleId="BodyTextnopadding">
    <w:name w:val="Body Text no padding"/>
    <w:basedOn w:val="BodyText"/>
    <w:qFormat/>
    <w:rsid w:val="00C33D5A"/>
    <w:pPr>
      <w:spacing w:before="0" w:after="0"/>
    </w:pPr>
  </w:style>
  <w:style w:type="paragraph" w:customStyle="1" w:styleId="BodyTextBold">
    <w:name w:val="Body Text Bold"/>
    <w:basedOn w:val="BodyText"/>
    <w:qFormat/>
    <w:rsid w:val="00C33D5A"/>
    <w:rPr>
      <w:b/>
    </w:rPr>
  </w:style>
  <w:style w:type="character" w:styleId="Hyperlink">
    <w:name w:val="Hyperlink"/>
    <w:basedOn w:val="DefaultParagraphFont"/>
    <w:uiPriority w:val="99"/>
    <w:unhideWhenUsed/>
    <w:rsid w:val="00A3134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1464</Words>
  <Characters>9328</Characters>
  <Application>Microsoft Office Word</Application>
  <DocSecurity>0</DocSecurity>
  <Lines>300</Lines>
  <Paragraphs>176</Paragraphs>
  <ScaleCrop>false</ScaleCrop>
  <Company>Author-it Software Corporation Ltd.</Company>
  <LinksUpToDate>false</LinksUpToDate>
  <CharactersWithSpaces>10616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PMASUP540 Analyse equipment performance</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2025-03-01T09:53:00Z</dcterms:created>
  <dcterms:modified xsi:type="dcterms:W3CDTF">2025-03-01T09:53:00Z</dcterms:modified>
</cp:coreProperties>
</file>