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5B8" w:rsidP="000F0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PMASUP444 Plan plant preparation and isolation</w:t>
      </w:r>
      <w:r>
        <w:fldChar w:fldCharType="end"/>
      </w:r>
    </w:p>
    <w:p w:rsidR="000F05B8" w:rsidP="000F05B8">
      <w:pPr>
        <w:pStyle w:val="Version"/>
        <w:sectPr w:rsidSect="00D03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6FD" w:rsidP="00D036FD">
      <w:pPr>
        <w:pStyle w:val="SuperHeading"/>
      </w:pPr>
      <w:r w:rsidRPr="00D036FD">
        <w:t>Assessment Requirements for PMASUP444 Plan plant preparation and isolation</w:t>
      </w:r>
    </w:p>
    <w:p w:rsidR="00000000" w:rsidRPr="00D036FD" w:rsidP="00D036FD">
      <w:pPr>
        <w:pStyle w:val="Heading1"/>
      </w:pPr>
      <w:bookmarkStart w:id="1" w:name="O_909889"/>
      <w:bookmarkEnd w:id="1"/>
      <w:r w:rsidRPr="00D036FD">
        <w:t>Modification History</w:t>
      </w:r>
    </w:p>
    <w:p w:rsidR="00000000" w:rsidRPr="00D036FD" w:rsidP="000F05B8">
      <w:pPr>
        <w:pStyle w:val="BodyText"/>
      </w:pPr>
      <w:r w:rsidRPr="00D036FD">
        <w:t>Release 1. Supersedes and is equivalent to PMASUP444A Plan plant preparation and isolation</w:t>
      </w:r>
    </w:p>
    <w:p w:rsidR="00000000" w:rsidRPr="00D036FD" w:rsidP="00D036FD">
      <w:pPr>
        <w:pStyle w:val="Heading1"/>
      </w:pPr>
      <w:bookmarkStart w:id="2" w:name="O_909892"/>
      <w:bookmarkEnd w:id="2"/>
      <w:r w:rsidRPr="00D036FD">
        <w:t>Performance Evidence</w:t>
      </w:r>
    </w:p>
    <w:p w:rsidR="00000000" w:rsidRPr="00D036FD" w:rsidP="000F05B8">
      <w:pPr>
        <w:pStyle w:val="BodyText"/>
      </w:pPr>
      <w:r w:rsidRPr="00D036FD">
        <w:t>Evidence required to demonstrate competence in this unit must be relevant to and satisfy the requirements of the elements and performance criteria, and include the ability to:</w:t>
      </w:r>
    </w:p>
    <w:p w:rsidR="00000000" w:rsidRPr="00D036FD" w:rsidP="00D036FD">
      <w:pPr>
        <w:pStyle w:val="ListBullet"/>
      </w:pPr>
      <w:r w:rsidRPr="00D036FD">
        <w:t>plan, prepare and develop plant preparation and isolation philosophy/activities</w:t>
      </w:r>
      <w:r w:rsidRPr="00D036FD">
        <w:t xml:space="preserve"> for a particular activity</w:t>
      </w:r>
    </w:p>
    <w:p w:rsidR="00000000" w:rsidRPr="00D036FD" w:rsidP="00D036FD">
      <w:pPr>
        <w:pStyle w:val="ListBullet"/>
      </w:pPr>
      <w:r w:rsidRPr="00D036FD">
        <w:t>arrange resources as required</w:t>
      </w:r>
    </w:p>
    <w:p w:rsidR="00000000" w:rsidRPr="00D036FD" w:rsidP="00D036FD">
      <w:pPr>
        <w:pStyle w:val="ListBullet"/>
      </w:pPr>
      <w:r w:rsidRPr="00D036FD">
        <w:t>communicate effectively with stakeholders, including manufacturers, engineering personnel, designers, contractors and maintenance and other company personnel</w:t>
      </w:r>
    </w:p>
    <w:p w:rsidR="00000000" w:rsidRPr="00D036FD" w:rsidP="00D036FD">
      <w:pPr>
        <w:pStyle w:val="ListBullet"/>
      </w:pPr>
      <w:r w:rsidRPr="00D036FD">
        <w:t>identify hazards and risks and apply risk</w:t>
      </w:r>
      <w:r w:rsidRPr="00D036FD">
        <w:t xml:space="preserve"> control procedures </w:t>
      </w:r>
    </w:p>
    <w:p w:rsidR="00000000" w:rsidRPr="00D036FD" w:rsidP="00D036FD">
      <w:pPr>
        <w:pStyle w:val="ListBullet"/>
      </w:pPr>
      <w:r w:rsidRPr="00D036FD">
        <w:t>complete written/electronic documentation.</w:t>
      </w:r>
    </w:p>
    <w:p w:rsidR="00000000" w:rsidRPr="00D036FD" w:rsidP="00D036FD">
      <w:pPr>
        <w:pStyle w:val="AllowPageBreak"/>
      </w:pPr>
    </w:p>
    <w:p w:rsidR="00000000" w:rsidRPr="00D036FD" w:rsidP="00D036FD">
      <w:pPr>
        <w:pStyle w:val="Heading1"/>
      </w:pPr>
      <w:bookmarkStart w:id="3" w:name="O_909891"/>
      <w:bookmarkEnd w:id="3"/>
      <w:r w:rsidRPr="00D036FD">
        <w:t>Knowledge Evidence</w:t>
      </w:r>
    </w:p>
    <w:p w:rsidR="00000000" w:rsidRPr="00D036FD" w:rsidP="000F05B8">
      <w:pPr>
        <w:pStyle w:val="BodyText"/>
      </w:pPr>
      <w:r w:rsidRPr="00D036FD">
        <w:t>Evidence must be provided that demonstrates knowledge of:</w:t>
      </w:r>
    </w:p>
    <w:p w:rsidR="00000000" w:rsidRPr="00D036FD" w:rsidP="00D036FD">
      <w:pPr>
        <w:pStyle w:val="ListBullet"/>
      </w:pPr>
      <w:r w:rsidRPr="00D036FD">
        <w:t xml:space="preserve">all items on a schematic of the system and functions of each </w:t>
      </w:r>
    </w:p>
    <w:p w:rsidR="00000000" w:rsidRPr="00D036FD" w:rsidP="00D036FD">
      <w:pPr>
        <w:pStyle w:val="ListBullet"/>
      </w:pPr>
      <w:r w:rsidRPr="00D036FD">
        <w:t>principles of operation of items of</w:t>
      </w:r>
      <w:r w:rsidRPr="00D036FD">
        <w:t xml:space="preserve"> equipment in the system</w:t>
      </w:r>
    </w:p>
    <w:p w:rsidR="00000000" w:rsidRPr="00D036FD" w:rsidP="00D036FD">
      <w:pPr>
        <w:pStyle w:val="ListBullet"/>
      </w:pPr>
      <w:r w:rsidRPr="00D036FD">
        <w:t>process parameters and limits, (e.g. temperature, pressure, flow and pH) and plant integrity limits</w:t>
      </w:r>
    </w:p>
    <w:p w:rsidR="00000000" w:rsidRPr="00D036FD" w:rsidP="00D036FD">
      <w:pPr>
        <w:pStyle w:val="ListBullet"/>
      </w:pPr>
      <w:r w:rsidRPr="00D036FD">
        <w:t>typical requirements for preparation to ensure that plant and equipment is in a safe and appropriate condition for the required wor</w:t>
      </w:r>
      <w:r w:rsidRPr="00D036FD">
        <w:t>k, including:</w:t>
      </w:r>
    </w:p>
    <w:p w:rsidR="00000000" w:rsidRPr="00D036FD" w:rsidP="00D036FD">
      <w:pPr>
        <w:pStyle w:val="ListBullet2"/>
      </w:pPr>
      <w:r w:rsidRPr="00D036FD">
        <w:t>draining</w:t>
      </w:r>
    </w:p>
    <w:p w:rsidR="00000000" w:rsidRPr="00D036FD" w:rsidP="00D036FD">
      <w:pPr>
        <w:pStyle w:val="ListBullet2"/>
      </w:pPr>
      <w:r w:rsidRPr="00D036FD">
        <w:t>purging</w:t>
      </w:r>
    </w:p>
    <w:p w:rsidR="00000000" w:rsidRPr="00D036FD" w:rsidP="00D036FD">
      <w:pPr>
        <w:pStyle w:val="ListBullet2"/>
      </w:pPr>
      <w:r w:rsidRPr="00D036FD">
        <w:t>inerting</w:t>
      </w:r>
    </w:p>
    <w:p w:rsidR="00000000" w:rsidRPr="00D036FD" w:rsidP="00D036FD">
      <w:pPr>
        <w:pStyle w:val="ListBullet2"/>
      </w:pPr>
      <w:r w:rsidRPr="00D036FD">
        <w:t>decontaminating</w:t>
      </w:r>
    </w:p>
    <w:p w:rsidR="00000000" w:rsidRPr="00D036FD" w:rsidP="00D036FD">
      <w:pPr>
        <w:pStyle w:val="ListBullet2"/>
      </w:pPr>
      <w:r w:rsidRPr="00D036FD">
        <w:t>cleaning</w:t>
      </w:r>
    </w:p>
    <w:p w:rsidR="00000000" w:rsidRPr="00D036FD" w:rsidP="00D036FD">
      <w:pPr>
        <w:pStyle w:val="ListBullet2"/>
      </w:pPr>
      <w:r w:rsidRPr="00D036FD">
        <w:t>ventilating</w:t>
      </w:r>
    </w:p>
    <w:p w:rsidR="00000000" w:rsidRPr="00D036FD" w:rsidP="00D036FD">
      <w:pPr>
        <w:pStyle w:val="ListBullet2"/>
      </w:pPr>
      <w:r w:rsidRPr="00D036FD">
        <w:t>controlling atmosphere (e.g. to ensure it is breathable, and is not within the flammable range)</w:t>
      </w:r>
    </w:p>
    <w:p w:rsidR="00000000" w:rsidRPr="00D036FD" w:rsidP="00D036FD">
      <w:pPr>
        <w:pStyle w:val="ListBullet2"/>
      </w:pPr>
      <w:r w:rsidRPr="00D036FD">
        <w:t>adjusting temperature to make a workable environment</w:t>
      </w:r>
    </w:p>
    <w:p w:rsidR="00000000" w:rsidRPr="00D036FD" w:rsidP="00D036FD">
      <w:pPr>
        <w:pStyle w:val="ListBullet2"/>
      </w:pPr>
      <w:r w:rsidRPr="00D036FD">
        <w:t>adjusting pressure (usually to atmospheric)</w:t>
      </w:r>
    </w:p>
    <w:p w:rsidR="00000000" w:rsidRPr="00D036FD" w:rsidP="00D036FD">
      <w:pPr>
        <w:pStyle w:val="ListBullet2"/>
      </w:pPr>
      <w:r w:rsidRPr="00D036FD">
        <w:t>ensuring adequate access and egress</w:t>
      </w:r>
    </w:p>
    <w:p w:rsidR="00000000" w:rsidRPr="00D036FD" w:rsidP="00D036FD">
      <w:pPr>
        <w:pStyle w:val="ListBullet"/>
      </w:pPr>
      <w:r w:rsidRPr="00D036FD">
        <w:t>implications of isolation in both the area of the work and upstream and downstream, including:</w:t>
      </w:r>
    </w:p>
    <w:p w:rsidR="00000000" w:rsidRPr="00D036FD" w:rsidP="00D036FD">
      <w:pPr>
        <w:pStyle w:val="ListBullet2"/>
      </w:pPr>
      <w:r w:rsidRPr="00D036FD">
        <w:t>upstream and downstream process implications</w:t>
      </w:r>
    </w:p>
    <w:p w:rsidR="00000000" w:rsidRPr="00D036FD" w:rsidP="00D036FD">
      <w:pPr>
        <w:pStyle w:val="ListBullet2"/>
      </w:pPr>
      <w:r w:rsidRPr="00D036FD">
        <w:t>ability to prepare plant once isol</w:t>
      </w:r>
      <w:r w:rsidRPr="00D036FD">
        <w:t>ated</w:t>
      </w:r>
    </w:p>
    <w:p w:rsidR="00000000" w:rsidRPr="00D036FD" w:rsidP="00D036FD">
      <w:pPr>
        <w:pStyle w:val="ListBullet2"/>
      </w:pPr>
      <w:r w:rsidRPr="00D036FD">
        <w:t>integrity of plant once isolated and prepared</w:t>
      </w:r>
    </w:p>
    <w:p w:rsidR="00000000" w:rsidRPr="00D036FD" w:rsidP="00D036FD">
      <w:pPr>
        <w:pStyle w:val="ListBullet"/>
      </w:pPr>
      <w:r w:rsidRPr="00D036FD">
        <w:t>methods for controlling releases to the environment, including:</w:t>
      </w:r>
    </w:p>
    <w:p w:rsidR="00000000" w:rsidRPr="00D036FD" w:rsidP="00D036FD">
      <w:pPr>
        <w:pStyle w:val="ListBullet2"/>
      </w:pPr>
      <w:r w:rsidRPr="00D036FD">
        <w:t>preventing any release</w:t>
      </w:r>
    </w:p>
    <w:p w:rsidR="00000000" w:rsidRPr="00D036FD" w:rsidP="00D036FD">
      <w:pPr>
        <w:pStyle w:val="ListBullet2"/>
      </w:pPr>
      <w:r w:rsidRPr="00D036FD">
        <w:t>containing any release</w:t>
      </w:r>
    </w:p>
    <w:p w:rsidR="000F05B8" w:rsidP="00D036FD">
      <w:pPr>
        <w:pStyle w:val="ListBullet2"/>
      </w:pPr>
      <w:r w:rsidRPr="00D036FD">
        <w:t>recovery and reuse or disposal of any release.</w:t>
      </w:r>
    </w:p>
    <w:p w:rsidR="000F05B8" w:rsidP="00D036FD">
      <w:pPr>
        <w:pStyle w:val="ListBullet2"/>
      </w:pPr>
    </w:p>
    <w:p w:rsidR="00000000" w:rsidRPr="00D036FD" w:rsidP="00D036FD">
      <w:pPr>
        <w:pStyle w:val="Heading1"/>
      </w:pPr>
      <w:bookmarkStart w:id="4" w:name="O_909890"/>
      <w:bookmarkEnd w:id="4"/>
      <w:r w:rsidRPr="00D036FD">
        <w:t>Assessment Conditions</w:t>
      </w:r>
    </w:p>
    <w:p w:rsidR="00000000" w:rsidRPr="00D036FD" w:rsidP="00D036FD">
      <w:pPr>
        <w:pStyle w:val="ListBullet"/>
      </w:pPr>
      <w:r w:rsidRPr="00D036FD">
        <w:t xml:space="preserve">The unit should be assessed holistically and the judgement of competence based on a holistic assessment of the evidence. </w:t>
      </w:r>
    </w:p>
    <w:p w:rsidR="00000000" w:rsidRPr="00D036FD" w:rsidP="00D036FD">
      <w:pPr>
        <w:pStyle w:val="ListBullet"/>
      </w:pPr>
      <w:r w:rsidRPr="00D036FD">
        <w:t>The collection of performance evidence is best done from a report and/or folio of evidence drawn from:</w:t>
      </w:r>
    </w:p>
    <w:p w:rsidR="00000000" w:rsidRPr="00D036FD" w:rsidP="00D036FD">
      <w:pPr>
        <w:pStyle w:val="ListBullet2"/>
      </w:pPr>
      <w:r w:rsidRPr="00D036FD">
        <w:t>a single project which provide</w:t>
      </w:r>
      <w:r w:rsidRPr="00D036FD">
        <w:t>s sufficient evidence of the requirements of all the elements and performance criteria</w:t>
      </w:r>
    </w:p>
    <w:p w:rsidR="00000000" w:rsidRPr="00D036FD" w:rsidP="00D036FD">
      <w:pPr>
        <w:pStyle w:val="ListBullet2"/>
      </w:pPr>
      <w:r w:rsidRPr="00D036FD">
        <w:t>multiple smaller projects which together provide sufficient evidence of the requirements of all the elements and performance criteria.</w:t>
      </w:r>
    </w:p>
    <w:p w:rsidR="00000000" w:rsidRPr="00D036FD" w:rsidP="00D036FD">
      <w:pPr>
        <w:pStyle w:val="ListBullet"/>
      </w:pPr>
      <w:r w:rsidRPr="00D036FD">
        <w:t>A third-party report, or similar,</w:t>
      </w:r>
      <w:r w:rsidRPr="00D036FD">
        <w:t xml:space="preserve"> may be needed to testify to the work done by the individual, particularly when the project has been done as part of a project team.</w:t>
      </w:r>
    </w:p>
    <w:p w:rsidR="00000000" w:rsidRPr="00D036FD" w:rsidP="00D036FD">
      <w:pPr>
        <w:pStyle w:val="ListBullet"/>
      </w:pPr>
      <w:r w:rsidRPr="00D036FD">
        <w:t xml:space="preserve">Assessment should use a real project in an operational workplace. Where this is not possible or practical, assessment must </w:t>
      </w:r>
      <w:r w:rsidRPr="00D036FD">
        <w:t>occur using a sufficiently rigorous simulated environment reflecting realistic operational workplace conditions. This must cover all aspects of workplace performance, including environment, task skills, task management skills, contingency management skills</w:t>
      </w:r>
      <w:r w:rsidRPr="00D036FD">
        <w:t xml:space="preserve"> and job role environment skills.</w:t>
      </w:r>
    </w:p>
    <w:p w:rsidR="00000000" w:rsidRPr="00D036FD" w:rsidP="00D036FD">
      <w:pPr>
        <w:pStyle w:val="ListBullet"/>
      </w:pPr>
      <w:r w:rsidRPr="00D036FD">
        <w:t>Simulation may be used for part only of this unit.</w:t>
      </w:r>
    </w:p>
    <w:p w:rsidR="00000000" w:rsidRPr="00D036FD" w:rsidP="00D036FD">
      <w:pPr>
        <w:pStyle w:val="ListBullet"/>
      </w:pPr>
      <w:r w:rsidRPr="00D036FD">
        <w:t>Knowledge evidence may be collected concurrently with performance evidence or through an independent process, such as workbooks, written assessments or interviews (provide</w:t>
      </w:r>
      <w:r w:rsidRPr="00D036FD">
        <w:t>d a record is kept).</w:t>
      </w:r>
    </w:p>
    <w:p w:rsidR="00000000" w:rsidRPr="00D036FD" w:rsidP="00D036FD">
      <w:pPr>
        <w:pStyle w:val="ListBullet"/>
      </w:pPr>
      <w:r w:rsidRPr="00D036FD">
        <w:t>Assessment processes and techniques must be appropriate to the language, literacy and numeracy requirements of the work being performed and the needs of the candidate.</w:t>
      </w:r>
    </w:p>
    <w:p w:rsidR="00000000" w:rsidRPr="00D036FD" w:rsidP="00D036FD">
      <w:pPr>
        <w:pStyle w:val="ListBullet"/>
      </w:pPr>
      <w:r w:rsidRPr="00D036F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036FD" w:rsidP="00D036FD">
      <w:pPr>
        <w:pStyle w:val="ListBullet"/>
      </w:pPr>
      <w:r w:rsidRPr="00D036FD">
        <w:t>The regulatory framework will be refle</w:t>
      </w:r>
      <w:r w:rsidRPr="00D036FD">
        <w:t>cted in workplace policies and procedures and is not required to be independently assessed.</w:t>
      </w:r>
    </w:p>
    <w:p w:rsidR="00000000" w:rsidRPr="00D036FD" w:rsidP="00D036FD">
      <w:pPr>
        <w:pStyle w:val="ListBullet"/>
      </w:pPr>
      <w:r w:rsidRPr="00D036FD">
        <w:t>Foundation skills are integral to competent performance of the unit and should not be assessed separately.</w:t>
      </w:r>
    </w:p>
    <w:p w:rsidR="00000000" w:rsidRPr="00D036FD" w:rsidP="00D036FD">
      <w:pPr>
        <w:pStyle w:val="ListBullet"/>
      </w:pPr>
      <w:r w:rsidRPr="00D036FD">
        <w:t>Assessors must satisfy the assessor competency requiremen</w:t>
      </w:r>
      <w:r w:rsidRPr="00D036FD">
        <w:t>ts that are in place at the time of the assessment as set by the VET regulator.</w:t>
      </w:r>
    </w:p>
    <w:p w:rsidR="00000000" w:rsidRPr="00D036FD" w:rsidP="00D036FD">
      <w:pPr>
        <w:pStyle w:val="ListBullet"/>
      </w:pPr>
      <w:r w:rsidRPr="00D036FD">
        <w:t>In addition, the assessor or anyone acting in subject matter expert role in assessment must demonstrate both technical competency and currency. If the assessor cannot demonstra</w:t>
      </w:r>
      <w:r w:rsidRPr="00D036FD">
        <w:t xml:space="preserve">te technical competency and currency they must assess with a subject matter expert who does meet these requirements. </w:t>
      </w:r>
    </w:p>
    <w:p w:rsidR="00000000" w:rsidRPr="00D036FD" w:rsidP="00D036FD">
      <w:pPr>
        <w:pStyle w:val="ListBullet"/>
      </w:pPr>
      <w:r w:rsidRPr="00D036FD">
        <w:t>Technical competence can be demonstrated through one or more of:</w:t>
      </w:r>
    </w:p>
    <w:p w:rsidR="00000000" w:rsidRPr="00D036FD" w:rsidP="00D036FD">
      <w:pPr>
        <w:pStyle w:val="ListBullet2"/>
      </w:pPr>
      <w:r w:rsidRPr="00D036FD">
        <w:t xml:space="preserve">relevant VET or other qualification/Statement of Attainment </w:t>
      </w:r>
    </w:p>
    <w:p w:rsidR="00000000" w:rsidRPr="00D036FD" w:rsidP="00D036FD">
      <w:pPr>
        <w:pStyle w:val="ListBullet2"/>
      </w:pPr>
      <w:r w:rsidRPr="00D036FD">
        <w:t>appropriate</w:t>
      </w:r>
      <w:r w:rsidRPr="00D036FD">
        <w:t xml:space="preserve"> workplace experience undertaking the type of work being assessed under routine and non-routine conditions </w:t>
      </w:r>
    </w:p>
    <w:p w:rsidR="00000000" w:rsidRPr="00D036FD" w:rsidP="00D036FD">
      <w:pPr>
        <w:pStyle w:val="ListBullet2"/>
      </w:pPr>
      <w:r w:rsidRPr="00D036FD">
        <w:t>appropriate workplace experience supervising/evaluating the type of work being assessed under routine and non-routine conditions</w:t>
      </w:r>
    </w:p>
    <w:p w:rsidR="00000000" w:rsidRPr="00D036FD" w:rsidP="00D036FD">
      <w:pPr>
        <w:pStyle w:val="ListBullet"/>
      </w:pPr>
      <w:r w:rsidRPr="00D036FD">
        <w:t>Currency can be de</w:t>
      </w:r>
      <w:r w:rsidRPr="00D036FD">
        <w:t>monstrated through one or more of:</w:t>
      </w:r>
    </w:p>
    <w:p w:rsidR="00000000" w:rsidRPr="00D036FD" w:rsidP="00D036FD">
      <w:pPr>
        <w:pStyle w:val="ListBullet2"/>
      </w:pPr>
      <w:r w:rsidRPr="00D036FD">
        <w:t xml:space="preserve">being currently employed undertaking the type of work being assessed </w:t>
      </w:r>
    </w:p>
    <w:p w:rsidR="00000000" w:rsidRPr="00D036FD" w:rsidP="00D036FD">
      <w:pPr>
        <w:pStyle w:val="ListBullet2"/>
      </w:pPr>
      <w:r w:rsidRPr="00D036FD">
        <w:t>being employed by the organisation undertaking the type of work being assessed and having maintained currency in accordance with that organisation’s p</w:t>
      </w:r>
      <w:r w:rsidRPr="00D036FD">
        <w:t xml:space="preserve">olicies and procedures </w:t>
      </w:r>
    </w:p>
    <w:p w:rsidR="00000000" w:rsidRPr="00D036FD" w:rsidP="00D036FD">
      <w:pPr>
        <w:pStyle w:val="ListBullet2"/>
      </w:pPr>
      <w:r w:rsidRPr="00D036FD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D036FD" w:rsidP="00D036FD">
      <w:pPr>
        <w:pStyle w:val="ListBullet2"/>
      </w:pPr>
      <w:r w:rsidRPr="00D036FD">
        <w:t>conducting on-the-job training/assessments of the typ</w:t>
      </w:r>
      <w:r w:rsidRPr="00D036FD">
        <w:t xml:space="preserve">e of work being assessed </w:t>
      </w:r>
    </w:p>
    <w:p w:rsidR="00000000" w:rsidRPr="00D036FD" w:rsidP="00D036FD">
      <w:pPr>
        <w:pStyle w:val="ListBullet2"/>
      </w:pPr>
      <w:r w:rsidRPr="00D036FD">
        <w:t>being an active member of a relevant professional body and participating in activities relevant to the assessment of this type of work.</w:t>
      </w:r>
    </w:p>
    <w:p w:rsidR="00000000" w:rsidRPr="00D036FD" w:rsidP="00D036FD">
      <w:pPr>
        <w:pStyle w:val="AllowPageBreak"/>
      </w:pPr>
    </w:p>
    <w:p w:rsidR="00000000" w:rsidRPr="00D036FD" w:rsidP="00D036FD">
      <w:pPr>
        <w:pStyle w:val="Heading1"/>
      </w:pPr>
      <w:bookmarkStart w:id="5" w:name="O_909888"/>
      <w:bookmarkEnd w:id="5"/>
      <w:r w:rsidRPr="00D036FD">
        <w:t>Links</w:t>
      </w:r>
    </w:p>
    <w:p w:rsidR="00000000" w:rsidRPr="00D036FD" w:rsidP="000F05B8">
      <w:pPr>
        <w:pStyle w:val="BodyText"/>
      </w:pPr>
      <w:r w:rsidRPr="00D036FD">
        <w:t>Companion Volume imp</w:t>
      </w:r>
      <w:r w:rsidRPr="00D036FD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D56A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036FD" w:rsidP="00D036FD"/>
    <w:sectPr w:rsidSect="00D036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FD" w:rsidRPr="000F05B8" w:rsidP="000F0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B8" w:rsidP="00D03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5B8" w:rsidP="00D03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05B8" w:rsidP="00D03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6FD" w:rsidRPr="000F05B8" w:rsidP="000F0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B8" w:rsidRPr="002D2AF8" w:rsidP="00D03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PMASUP444 Plan plant preparation and isolation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F05B8" w:rsidP="00D03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AD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F48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6C4D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6FD"/>
  </w:style>
  <w:style w:type="character" w:customStyle="1" w:styleId="Heading1Char">
    <w:name w:val="Heading 1 Char"/>
    <w:basedOn w:val="DefaultParagraphFont"/>
    <w:link w:val="Heading1"/>
    <w:rsid w:val="00D03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6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6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6FD"/>
    <w:rPr>
      <w:b/>
      <w:spacing w:val="0"/>
    </w:rPr>
  </w:style>
  <w:style w:type="paragraph" w:customStyle="1" w:styleId="SuperTitle">
    <w:name w:val="SuperTitle"/>
    <w:basedOn w:val="Title"/>
    <w:rsid w:val="00D03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6FD"/>
    <w:rPr>
      <w:i/>
    </w:rPr>
  </w:style>
  <w:style w:type="paragraph" w:styleId="Caption">
    <w:name w:val="caption"/>
    <w:basedOn w:val="BodyText"/>
    <w:next w:val="Normal"/>
    <w:qFormat/>
    <w:rsid w:val="00D03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6FD"/>
  </w:style>
  <w:style w:type="paragraph" w:styleId="TableofFigures">
    <w:name w:val="table of figures"/>
    <w:basedOn w:val="Normal"/>
    <w:next w:val="Normal"/>
    <w:semiHidden/>
    <w:rsid w:val="00D03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6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6FD"/>
    <w:rPr>
      <w:rFonts w:ascii="Wingdings" w:hAnsi="Wingdings"/>
    </w:rPr>
  </w:style>
  <w:style w:type="paragraph" w:customStyle="1" w:styleId="TableHeading">
    <w:name w:val="Table Heading"/>
    <w:basedOn w:val="HeadingBase"/>
    <w:rsid w:val="00D03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6FD"/>
    <w:rPr>
      <w:color w:val="0033CC"/>
      <w:u w:val="none"/>
    </w:rPr>
  </w:style>
  <w:style w:type="paragraph" w:customStyle="1" w:styleId="BodyTextRight">
    <w:name w:val="Body Text Right"/>
    <w:basedOn w:val="BodyText"/>
    <w:rsid w:val="00D03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6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6FD"/>
    <w:rPr>
      <w:sz w:val="32"/>
    </w:rPr>
  </w:style>
  <w:style w:type="paragraph" w:customStyle="1" w:styleId="HeadingProcedure">
    <w:name w:val="Heading Procedure"/>
    <w:basedOn w:val="HeadingBase"/>
    <w:next w:val="Normal"/>
    <w:rsid w:val="00D03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6FD"/>
    <w:pPr>
      <w:spacing w:before="60" w:after="60"/>
    </w:pPr>
  </w:style>
  <w:style w:type="paragraph" w:styleId="ListContinue">
    <w:name w:val="List Continue"/>
    <w:basedOn w:val="List"/>
    <w:rsid w:val="00D036FD"/>
    <w:pPr>
      <w:ind w:firstLine="0"/>
    </w:pPr>
  </w:style>
  <w:style w:type="paragraph" w:customStyle="1" w:styleId="ListNote">
    <w:name w:val="List Note"/>
    <w:basedOn w:val="List"/>
    <w:rsid w:val="00D03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6FD"/>
    <w:rPr>
      <w:rFonts w:ascii="Courier New" w:hAnsi="Courier New"/>
    </w:rPr>
  </w:style>
  <w:style w:type="paragraph" w:customStyle="1" w:styleId="NoteBullet">
    <w:name w:val="Note Bullet"/>
    <w:basedOn w:val="Note"/>
    <w:rsid w:val="00D03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6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6FD"/>
    <w:rPr>
      <w:b/>
      <w:smallCaps/>
    </w:rPr>
  </w:style>
  <w:style w:type="paragraph" w:customStyle="1" w:styleId="TableListNumber">
    <w:name w:val="Table List Number"/>
    <w:basedOn w:val="ListNumber"/>
    <w:rsid w:val="00D03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6FD"/>
    <w:pPr>
      <w:numPr>
        <w:numId w:val="9"/>
      </w:numPr>
    </w:pPr>
  </w:style>
  <w:style w:type="paragraph" w:customStyle="1" w:styleId="ListAlpha2">
    <w:name w:val="List Alpha 2"/>
    <w:basedOn w:val="List2"/>
    <w:rsid w:val="00D036FD"/>
    <w:pPr>
      <w:numPr>
        <w:numId w:val="8"/>
      </w:numPr>
    </w:pPr>
  </w:style>
  <w:style w:type="paragraph" w:styleId="List2">
    <w:name w:val="List 2"/>
    <w:basedOn w:val="BodyText"/>
    <w:rsid w:val="00D03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6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6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6FD"/>
    <w:pPr>
      <w:numPr>
        <w:numId w:val="4"/>
      </w:numPr>
    </w:pPr>
  </w:style>
  <w:style w:type="paragraph" w:styleId="ListContinue2">
    <w:name w:val="List Continue 2"/>
    <w:basedOn w:val="List2"/>
    <w:rsid w:val="00D036FD"/>
    <w:pPr>
      <w:ind w:firstLine="0"/>
    </w:pPr>
  </w:style>
  <w:style w:type="paragraph" w:styleId="ListContinue3">
    <w:name w:val="List Continue 3"/>
    <w:basedOn w:val="List3"/>
    <w:rsid w:val="00D036FD"/>
    <w:pPr>
      <w:ind w:left="1021" w:firstLine="0"/>
    </w:pPr>
  </w:style>
  <w:style w:type="paragraph" w:styleId="ListContinue4">
    <w:name w:val="List Continue 4"/>
    <w:basedOn w:val="List4"/>
    <w:rsid w:val="00D036FD"/>
    <w:pPr>
      <w:ind w:firstLine="0"/>
    </w:pPr>
  </w:style>
  <w:style w:type="paragraph" w:styleId="ListContinue5">
    <w:name w:val="List Continue 5"/>
    <w:basedOn w:val="List5"/>
    <w:rsid w:val="00D036FD"/>
    <w:pPr>
      <w:ind w:firstLine="0"/>
    </w:pPr>
  </w:style>
  <w:style w:type="paragraph" w:styleId="ListNumber3">
    <w:name w:val="List Number 3"/>
    <w:basedOn w:val="List3"/>
    <w:rsid w:val="00D036FD"/>
    <w:pPr>
      <w:numPr>
        <w:numId w:val="5"/>
      </w:numPr>
    </w:pPr>
  </w:style>
  <w:style w:type="paragraph" w:styleId="ListNumber4">
    <w:name w:val="List Number 4"/>
    <w:basedOn w:val="List4"/>
    <w:rsid w:val="00D036FD"/>
    <w:pPr>
      <w:numPr>
        <w:numId w:val="6"/>
      </w:numPr>
    </w:pPr>
  </w:style>
  <w:style w:type="paragraph" w:styleId="ListNumber5">
    <w:name w:val="List Number 5"/>
    <w:basedOn w:val="List5"/>
    <w:rsid w:val="00D036FD"/>
    <w:pPr>
      <w:numPr>
        <w:numId w:val="7"/>
      </w:numPr>
    </w:pPr>
  </w:style>
  <w:style w:type="paragraph" w:styleId="BlockText">
    <w:name w:val="Block Text"/>
    <w:basedOn w:val="Normal"/>
    <w:rsid w:val="00D03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6FD"/>
    <w:rPr>
      <w:sz w:val="16"/>
      <w:vertAlign w:val="superscript"/>
    </w:rPr>
  </w:style>
  <w:style w:type="character" w:customStyle="1" w:styleId="Symbols">
    <w:name w:val="Symbols"/>
    <w:basedOn w:val="DefaultParagraphFont"/>
    <w:rsid w:val="00D036FD"/>
    <w:rPr>
      <w:rFonts w:ascii="Symbol" w:hAnsi="Symbol"/>
    </w:rPr>
  </w:style>
  <w:style w:type="character" w:customStyle="1" w:styleId="MenuOptions">
    <w:name w:val="Menu Options"/>
    <w:basedOn w:val="DefaultParagraphFont"/>
    <w:rsid w:val="00D03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6FD"/>
    <w:rPr>
      <w:b/>
    </w:rPr>
  </w:style>
  <w:style w:type="character" w:customStyle="1" w:styleId="Underlined">
    <w:name w:val="Underlined"/>
    <w:basedOn w:val="DefaultParagraphFont"/>
    <w:rsid w:val="00D036FD"/>
    <w:rPr>
      <w:u w:val="single"/>
    </w:rPr>
  </w:style>
  <w:style w:type="paragraph" w:customStyle="1" w:styleId="TableBodyTextRight">
    <w:name w:val="Table Body Text Right"/>
    <w:basedOn w:val="TableBodyText"/>
    <w:rsid w:val="00D03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6FD"/>
    <w:rPr>
      <w:sz w:val="18"/>
    </w:rPr>
  </w:style>
  <w:style w:type="paragraph" w:customStyle="1" w:styleId="BodySmallRight">
    <w:name w:val="Body Small Right"/>
    <w:basedOn w:val="BodyTextRight"/>
    <w:rsid w:val="00D036FD"/>
    <w:rPr>
      <w:sz w:val="18"/>
      <w:szCs w:val="18"/>
    </w:rPr>
  </w:style>
  <w:style w:type="paragraph" w:customStyle="1" w:styleId="MarginEdition">
    <w:name w:val="Margin Edition"/>
    <w:basedOn w:val="MarginNote"/>
    <w:rsid w:val="00D03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6FD"/>
    <w:rPr>
      <w:sz w:val="2"/>
      <w:szCs w:val="2"/>
    </w:rPr>
  </w:style>
  <w:style w:type="character" w:customStyle="1" w:styleId="Small">
    <w:name w:val="Small"/>
    <w:basedOn w:val="DefaultParagraphFont"/>
    <w:rsid w:val="00D036FD"/>
    <w:rPr>
      <w:sz w:val="16"/>
    </w:rPr>
  </w:style>
  <w:style w:type="paragraph" w:customStyle="1" w:styleId="WideTable">
    <w:name w:val="Wide Table"/>
    <w:basedOn w:val="Normal"/>
    <w:rsid w:val="00D03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6FD"/>
  </w:style>
  <w:style w:type="paragraph" w:styleId="Quote">
    <w:name w:val="Quote"/>
    <w:basedOn w:val="Heading1"/>
    <w:link w:val="QuoteChar"/>
    <w:qFormat/>
    <w:rsid w:val="00D03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6FD"/>
    <w:pPr>
      <w:pageBreakBefore/>
    </w:pPr>
  </w:style>
  <w:style w:type="paragraph" w:customStyle="1" w:styleId="Border">
    <w:name w:val="Border"/>
    <w:basedOn w:val="Normal"/>
    <w:qFormat/>
    <w:rsid w:val="00D03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6FD"/>
    <w:rPr>
      <w:u w:val="single"/>
    </w:rPr>
  </w:style>
  <w:style w:type="character" w:customStyle="1" w:styleId="BoldandItalics">
    <w:name w:val="Bold and Italics"/>
    <w:qFormat/>
    <w:rsid w:val="00D036FD"/>
    <w:rPr>
      <w:b/>
      <w:i/>
      <w:u w:val="none"/>
    </w:rPr>
  </w:style>
  <w:style w:type="paragraph" w:styleId="BalloonText">
    <w:name w:val="Balloon Text"/>
    <w:basedOn w:val="Normal"/>
    <w:link w:val="BalloonTextChar"/>
    <w:rsid w:val="00D03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6FD"/>
    <w:pPr>
      <w:spacing w:before="0" w:after="0"/>
    </w:pPr>
  </w:style>
  <w:style w:type="paragraph" w:customStyle="1" w:styleId="BodyTextBold">
    <w:name w:val="Body Text Bold"/>
    <w:basedOn w:val="BodyText"/>
    <w:qFormat/>
    <w:rsid w:val="00D036FD"/>
    <w:rPr>
      <w:b/>
    </w:rPr>
  </w:style>
  <w:style w:type="character" w:styleId="Hyperlink">
    <w:name w:val="Hyperlink"/>
    <w:basedOn w:val="DefaultParagraphFont"/>
    <w:uiPriority w:val="99"/>
    <w:unhideWhenUsed/>
    <w:rsid w:val="000F0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4963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PMASUP444 Plan plant preparation and isolation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