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26C" w:rsidP="00E8126C">
      <w:pPr>
        <w:pStyle w:val="Title"/>
      </w:pPr>
      <w:r>
        <w:fldChar w:fldCharType="begin"/>
      </w:r>
      <w:r>
        <w:instrText xml:space="preserve"> TITLE   \* MERGEFORMAT </w:instrText>
      </w:r>
      <w:r>
        <w:fldChar w:fldCharType="separate"/>
      </w:r>
      <w:r>
        <w:t>PMASUP441 Decommission plant</w:t>
      </w:r>
      <w:r>
        <w:fldChar w:fldCharType="end"/>
      </w:r>
    </w:p>
    <w:p w:rsidR="00E8126C" w:rsidP="00E8126C">
      <w:pPr>
        <w:pStyle w:val="Version"/>
        <w:sectPr w:rsidSect="00065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FB0" w:rsidP="00065FB0">
      <w:pPr>
        <w:pStyle w:val="SuperHeading"/>
      </w:pPr>
      <w:r w:rsidRPr="00065FB0">
        <w:t>PMASUP441 Decommission plant</w:t>
      </w:r>
    </w:p>
    <w:p w:rsidR="00000000" w:rsidRPr="00065FB0" w:rsidP="00065FB0">
      <w:pPr>
        <w:pStyle w:val="Heading1"/>
      </w:pPr>
      <w:bookmarkStart w:id="1" w:name="O_909874"/>
      <w:bookmarkEnd w:id="1"/>
      <w:r w:rsidRPr="00065FB0">
        <w:t>Modification History</w:t>
      </w:r>
    </w:p>
    <w:p w:rsidR="00000000" w:rsidRPr="00065FB0" w:rsidP="00E8126C">
      <w:pPr>
        <w:pStyle w:val="BodyText"/>
      </w:pPr>
      <w:r w:rsidRPr="00065FB0">
        <w:t>Release 1. Supersedes and is equivalent to PMASUP441C Decommission plant</w:t>
      </w:r>
    </w:p>
    <w:p w:rsidR="00000000" w:rsidRPr="00065FB0" w:rsidP="00065FB0">
      <w:pPr>
        <w:pStyle w:val="Heading1"/>
      </w:pPr>
      <w:bookmarkStart w:id="2" w:name="O_909882"/>
      <w:bookmarkEnd w:id="2"/>
      <w:r w:rsidRPr="00065FB0">
        <w:t>Application</w:t>
      </w:r>
    </w:p>
    <w:p w:rsidR="00000000" w:rsidRPr="00065FB0" w:rsidP="00E8126C">
      <w:pPr>
        <w:pStyle w:val="BodyText"/>
      </w:pPr>
      <w:r w:rsidRPr="00065FB0">
        <w:t xml:space="preserve">This unit of competency covers the skills and knowledge required to decommission an existing plant/pipeline or major plant area, and </w:t>
      </w:r>
      <w:r w:rsidRPr="00065FB0">
        <w:t>its associated equipment. It applies to plant/pipeline, such as on or offshore plant, wellheads, transmission pipelines or similar.</w:t>
      </w:r>
    </w:p>
    <w:p w:rsidR="00000000" w:rsidRPr="00065FB0" w:rsidP="00E8126C">
      <w:pPr>
        <w:pStyle w:val="BodyText"/>
      </w:pPr>
      <w:r w:rsidRPr="00065FB0">
        <w:t xml:space="preserve">Decommissioning refers to the removal from service of plant/pipeline and equipment and its storage, </w:t>
      </w:r>
      <w:r>
        <w:t>‘</w:t>
      </w:r>
      <w:r w:rsidRPr="00065FB0">
        <w:t>mothballing</w:t>
      </w:r>
      <w:r>
        <w:t>’</w:t>
      </w:r>
      <w:r w:rsidRPr="00065FB0">
        <w:t xml:space="preserve"> or dispos</w:t>
      </w:r>
      <w:r w:rsidRPr="00065FB0">
        <w:t xml:space="preserve">al. </w:t>
      </w:r>
    </w:p>
    <w:p w:rsidR="00000000" w:rsidRPr="00065FB0" w:rsidP="00E8126C">
      <w:pPr>
        <w:pStyle w:val="BodyText"/>
      </w:pPr>
      <w:r w:rsidRPr="00065FB0">
        <w:t xml:space="preserve">This unit of competency applies to senior technicians and those in similar roles who are required to apply in-depth knowledge of process and plant in order to plan and supervise the systematic shutdown, cleaning out and preparation for safe </w:t>
      </w:r>
      <w:r>
        <w:t>‘</w:t>
      </w:r>
      <w:r w:rsidRPr="00065FB0">
        <w:t>mothball</w:t>
      </w:r>
      <w:r w:rsidRPr="00065FB0">
        <w:t>ing</w:t>
      </w:r>
      <w:r>
        <w:t>’</w:t>
      </w:r>
      <w:r w:rsidRPr="00065FB0">
        <w:t xml:space="preserve"> of all of the plant and equipment.</w:t>
      </w:r>
    </w:p>
    <w:p w:rsidR="00000000" w:rsidRPr="00065FB0" w:rsidP="00E8126C">
      <w:pPr>
        <w:pStyle w:val="BodyText"/>
      </w:pPr>
      <w:r w:rsidRPr="00065FB0">
        <w:t xml:space="preserve">The technician will have detailed operational and process knowledge but is not required to demonstrate </w:t>
      </w:r>
      <w:r>
        <w:t>‘</w:t>
      </w:r>
      <w:r w:rsidRPr="00065FB0">
        <w:t>hands on</w:t>
      </w:r>
      <w:r>
        <w:t>’</w:t>
      </w:r>
      <w:r w:rsidRPr="00065FB0">
        <w:t xml:space="preserve"> operation of equipment as part of this competency.</w:t>
      </w:r>
    </w:p>
    <w:p w:rsidR="00000000" w:rsidRPr="00065FB0" w:rsidP="00E8126C">
      <w:pPr>
        <w:pStyle w:val="BodyText"/>
      </w:pPr>
      <w:r w:rsidRPr="00065FB0">
        <w:t>No licensing, legislative or certification requir</w:t>
      </w:r>
      <w:r w:rsidRPr="00065FB0">
        <w:t>ements apply to this unit at the time of publication.</w:t>
      </w:r>
    </w:p>
    <w:p w:rsidR="00000000" w:rsidRPr="00065FB0" w:rsidP="00065FB0">
      <w:pPr>
        <w:pStyle w:val="Heading1"/>
      </w:pPr>
      <w:bookmarkStart w:id="3" w:name="O_909881"/>
      <w:bookmarkEnd w:id="3"/>
      <w:r w:rsidRPr="00065FB0">
        <w:t>Pre-requisite Unit</w:t>
      </w:r>
    </w:p>
    <w:p w:rsidR="00000000" w:rsidRPr="00065FB0" w:rsidP="00E8126C">
      <w:pPr>
        <w:pStyle w:val="BodyText"/>
      </w:pPr>
      <w:r w:rsidRPr="00065FB0">
        <w:t>Nil</w:t>
      </w:r>
    </w:p>
    <w:p w:rsidR="00000000" w:rsidRPr="00065FB0" w:rsidP="00065FB0">
      <w:pPr>
        <w:pStyle w:val="Heading1"/>
      </w:pPr>
      <w:bookmarkStart w:id="4" w:name="O_909880"/>
      <w:bookmarkEnd w:id="4"/>
      <w:r w:rsidRPr="00065FB0">
        <w:t>Competency Field</w:t>
      </w:r>
    </w:p>
    <w:p w:rsidR="00000000" w:rsidRPr="00065FB0" w:rsidP="00E8126C">
      <w:pPr>
        <w:pStyle w:val="BodyText"/>
      </w:pPr>
      <w:r w:rsidRPr="00065FB0">
        <w:t>Support</w:t>
      </w:r>
    </w:p>
    <w:p w:rsidR="00000000" w:rsidRPr="00065FB0" w:rsidP="00065FB0">
      <w:pPr>
        <w:pStyle w:val="Heading1"/>
      </w:pPr>
      <w:bookmarkStart w:id="5" w:name="O_909879"/>
      <w:bookmarkEnd w:id="5"/>
      <w:r w:rsidRPr="00065FB0">
        <w:t>Unit Sector</w:t>
      </w:r>
    </w:p>
    <w:p w:rsidR="00000000" w:rsidRPr="00065FB0" w:rsidP="00065FB0">
      <w:pPr>
        <w:pStyle w:val="Heading1"/>
      </w:pPr>
      <w:bookmarkStart w:id="6" w:name="O_909878"/>
      <w:bookmarkEnd w:id="6"/>
      <w:r w:rsidRPr="00065F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5F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Performance criteria describe the performance needed to demonstrate achievement of the element.</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1</w:t>
            </w:r>
          </w:p>
        </w:tc>
        <w:tc>
          <w:tcPr>
            <w:tcW w:w="1962" w:type="dxa"/>
            <w:vMerge w:val="restart"/>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Contribute to decommissioning planning</w:t>
            </w: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1.1</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Apply process understanding to the planning process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1.2</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Identify the role and purpose of the plant and equipment</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1.3</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Ensure the work is coordinated effectively with others involved on the work site</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1.4</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Identify process conditions and apply to hazard studies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1.5</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Undertake investigations following on from hazard studies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1.6</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Obtain materials necessary to complete the work and check against job requirements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1.7</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Obtain tools and equipment necessary to carry out the work and check for correct operation and safety</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1.8</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Prepare plans to ensure that procedures are performed in the correct sequence</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1.9</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Obtain approvals where necessary from appropriate authorities to ensure decommissioning process proceeds in accordance with the plan</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1.10</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Complete all appropria</w:t>
            </w:r>
            <w:r w:rsidRPr="00065FB0">
              <w:t>te documentation</w:t>
            </w:r>
          </w:p>
        </w:tc>
      </w:tr>
      <w:tr w:rsidTr="00065F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FB0">
            <w:pPr>
              <w:pStyle w:val="BodyText"/>
              <w:rPr>
                <w:lang w:val="en-NZ"/>
              </w:rPr>
            </w:pP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2</w:t>
            </w:r>
          </w:p>
        </w:tc>
        <w:tc>
          <w:tcPr>
            <w:tcW w:w="1962" w:type="dxa"/>
            <w:vMerge w:val="restart"/>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Isolate and decontaminate equipment/unit according to procedures</w:t>
            </w: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2.1</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Interpret and apply decommissioning plan</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2.2</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Identify and use appropriate safety equipment and materials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2.3</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Isolate and decontaminate equipment components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2.4</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Dispose of contaminated materials or components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2.5</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Complete required documentation</w:t>
            </w:r>
          </w:p>
        </w:tc>
      </w:tr>
      <w:tr w:rsidTr="00065F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FB0">
            <w:pPr>
              <w:pStyle w:val="BodyText"/>
              <w:rPr>
                <w:lang w:val="en-NZ"/>
              </w:rPr>
            </w:pP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3</w:t>
            </w:r>
          </w:p>
        </w:tc>
        <w:tc>
          <w:tcPr>
            <w:tcW w:w="1962" w:type="dxa"/>
            <w:vMerge w:val="restart"/>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Inspect, test and notify completion of work</w:t>
            </w: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3.1</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Select tools and equipment appropriate to the testing/inspection req</w:t>
            </w:r>
            <w:r w:rsidRPr="00065FB0">
              <w:t>uirements and utilise in accordance with manufacturer specifications and legislative requirements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3.2</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Test/inspect in accordance with requirements</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3.3</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 xml:space="preserve">Ensure compliance with work health and safety (WHS) </w:t>
            </w:r>
            <w:r w:rsidRPr="00065FB0">
              <w:t>legislative requirements for risk assessment prior to disposal</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3.4</w:t>
            </w:r>
          </w:p>
        </w:tc>
        <w:tc>
          <w:tcPr>
            <w:tcW w:w="561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Ensure any required additional work is undertaken/initiated</w:t>
            </w:r>
          </w:p>
        </w:tc>
      </w:tr>
      <w:tr w:rsidTr="00065F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3.5</w:t>
            </w:r>
          </w:p>
        </w:tc>
        <w:tc>
          <w:tcPr>
            <w:tcW w:w="5610" w:type="dxa"/>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Notify work completion</w:t>
            </w:r>
          </w:p>
        </w:tc>
      </w:tr>
    </w:tbl>
    <w:p w:rsidR="00000000" w:rsidRPr="00065FB0" w:rsidP="00065FB0">
      <w:pPr>
        <w:pStyle w:val="BodyText"/>
      </w:pPr>
    </w:p>
    <w:p w:rsidR="00000000" w:rsidRPr="00065FB0" w:rsidP="00065FB0">
      <w:pPr>
        <w:pStyle w:val="AllowPageBreak"/>
      </w:pPr>
    </w:p>
    <w:p w:rsidR="00000000" w:rsidRPr="00065FB0" w:rsidP="00065FB0">
      <w:pPr>
        <w:pStyle w:val="Heading1"/>
      </w:pPr>
      <w:bookmarkStart w:id="7" w:name="O_909877"/>
      <w:bookmarkEnd w:id="7"/>
      <w:r w:rsidRPr="00065FB0">
        <w:t>Foundation Skills</w:t>
      </w:r>
    </w:p>
    <w:p w:rsidR="00000000" w:rsidRPr="00065FB0" w:rsidP="00E8126C">
      <w:pPr>
        <w:pStyle w:val="BodyText"/>
      </w:pPr>
      <w:r w:rsidRPr="00065FB0">
        <w:t>This se</w:t>
      </w:r>
      <w:r w:rsidRPr="00065FB0">
        <w:t>ction describes those language, literacy, numeracy and employment skills that are essential to performance.</w:t>
      </w:r>
    </w:p>
    <w:p w:rsidR="00000000" w:rsidRPr="00065FB0" w:rsidP="00E8126C">
      <w:pPr>
        <w:pStyle w:val="BodyText"/>
      </w:pPr>
      <w:r w:rsidRPr="00065FB0">
        <w:t>Foundation skills essential to performance are explicit in the performance criteria of this unit of competency.</w:t>
      </w:r>
    </w:p>
    <w:p w:rsidR="00000000" w:rsidRPr="00065FB0" w:rsidP="00065FB0">
      <w:pPr>
        <w:pStyle w:val="Heading1"/>
      </w:pPr>
      <w:bookmarkStart w:id="8" w:name="O_909876"/>
      <w:bookmarkEnd w:id="8"/>
      <w:r w:rsidRPr="00065FB0">
        <w:t>Range of Conditions</w:t>
      </w:r>
    </w:p>
    <w:tbl>
      <w:tblPr>
        <w:tblW w:w="0" w:type="auto"/>
        <w:tblCellMar>
          <w:left w:w="62" w:type="dxa"/>
          <w:right w:w="62" w:type="dxa"/>
        </w:tblCellMar>
        <w:tblLook w:val="0000"/>
      </w:tblPr>
      <w:tblGrid>
        <w:gridCol w:w="2163"/>
        <w:gridCol w:w="7033"/>
      </w:tblGrid>
      <w:tr w:rsidTr="00E812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t>This field allows for different work environments and conditions that may affect performance. Essential operating conditions that may be present (depending on the work situation, needs of the candidate, accessibility of the item, and lo</w:t>
            </w:r>
            <w:r w:rsidRPr="00065FB0">
              <w:t>cal industry and regional contexts) are included.</w:t>
            </w:r>
          </w:p>
        </w:tc>
      </w:tr>
      <w:tr w:rsidTr="00E812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The latest version of all legislation, regulations, industry codes of practice and Australian/international standards, or the version specified by the local regulatory authority, mu</w:t>
            </w:r>
            <w:r w:rsidRPr="00065FB0">
              <w:t>st be used, and include one or more of the following:</w:t>
            </w:r>
          </w:p>
          <w:p w:rsidR="00000000" w:rsidRPr="00065FB0" w:rsidP="00065FB0">
            <w:pPr>
              <w:pStyle w:val="ListBullet"/>
            </w:pPr>
            <w:r w:rsidRPr="00065FB0">
              <w:t>legislative requirements, including work health and safety (WHS)</w:t>
            </w:r>
          </w:p>
          <w:p w:rsidR="00000000" w:rsidRPr="00065FB0" w:rsidP="00065FB0">
            <w:pPr>
              <w:pStyle w:val="ListBullet"/>
            </w:pPr>
            <w:r w:rsidRPr="00065FB0">
              <w:t>industry codes of practice and guidelines</w:t>
            </w:r>
          </w:p>
          <w:p w:rsidR="00000000" w:rsidRPr="00065FB0" w:rsidP="00065FB0">
            <w:pPr>
              <w:pStyle w:val="ListBullet"/>
            </w:pPr>
            <w:r w:rsidRPr="00065FB0">
              <w:t xml:space="preserve">environmental regulations and guidelines </w:t>
            </w:r>
          </w:p>
          <w:p w:rsidR="00000000" w:rsidRPr="00065FB0" w:rsidP="00065FB0">
            <w:pPr>
              <w:pStyle w:val="ListBullet"/>
            </w:pPr>
            <w:r w:rsidRPr="00065FB0">
              <w:t>Australian and other standards</w:t>
            </w:r>
          </w:p>
          <w:p w:rsidR="00000000" w:rsidRPr="00065FB0" w:rsidP="00065FB0">
            <w:pPr>
              <w:pStyle w:val="ListBullet"/>
            </w:pPr>
            <w:r w:rsidRPr="00065FB0">
              <w:t>licence and certifica</w:t>
            </w:r>
            <w:r w:rsidRPr="00065FB0">
              <w:t xml:space="preserve">tion requirements </w:t>
            </w:r>
          </w:p>
          <w:p w:rsidR="00000000" w:rsidRPr="00065FB0" w:rsidP="00065FB0">
            <w:pPr>
              <w:pStyle w:val="BodyText"/>
            </w:pPr>
          </w:p>
          <w:p w:rsidR="00000000" w:rsidRPr="00065FB0" w:rsidP="00065FB0">
            <w:pPr>
              <w:pStyle w:val="BodyText"/>
            </w:pPr>
            <w:r w:rsidRPr="00065FB0">
              <w:t>All operations to which this unit applies are subject to stringent health, safety and environment (HSE) requirements, which may be imposed through state/territory or federal legislation, and these must not be compromised at any time. Where there is an appa</w:t>
            </w:r>
            <w:r w:rsidRPr="00065FB0">
              <w:t>rent conflict between performance criteria and HSE requirements, the HSE requirements take precedence.</w:t>
            </w:r>
          </w:p>
          <w:p w:rsidR="00000000" w:rsidP="00065FB0">
            <w:pPr>
              <w:pStyle w:val="BodyText"/>
              <w:rPr>
                <w:lang w:val="en-NZ"/>
              </w:rPr>
            </w:pPr>
          </w:p>
        </w:tc>
      </w:tr>
      <w:tr w:rsidTr="00E812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Hazards include one or more of the following:</w:t>
            </w:r>
          </w:p>
          <w:p w:rsidR="00000000" w:rsidRPr="00065FB0" w:rsidP="00065FB0">
            <w:pPr>
              <w:pStyle w:val="ListBullet"/>
            </w:pPr>
            <w:r w:rsidRPr="00065FB0">
              <w:t>electricity</w:t>
            </w:r>
          </w:p>
          <w:p w:rsidR="00000000" w:rsidRPr="00065FB0" w:rsidP="00065FB0">
            <w:pPr>
              <w:pStyle w:val="ListBullet"/>
            </w:pPr>
            <w:r w:rsidRPr="00065FB0">
              <w:t>gas</w:t>
            </w:r>
          </w:p>
          <w:p w:rsidR="00000000" w:rsidRPr="00065FB0" w:rsidP="00065FB0">
            <w:pPr>
              <w:pStyle w:val="ListBullet"/>
            </w:pPr>
            <w:r w:rsidRPr="00065FB0">
              <w:t xml:space="preserve">gases and liquids under pressure </w:t>
            </w:r>
          </w:p>
          <w:p w:rsidR="00000000" w:rsidRPr="00065FB0" w:rsidP="00065FB0">
            <w:pPr>
              <w:pStyle w:val="ListBullet"/>
            </w:pPr>
            <w:r w:rsidRPr="00065FB0">
              <w:t>structural hazards</w:t>
            </w:r>
          </w:p>
          <w:p w:rsidR="00000000" w:rsidRPr="00065FB0" w:rsidP="00065FB0">
            <w:pPr>
              <w:pStyle w:val="ListBullet"/>
            </w:pPr>
            <w:r w:rsidRPr="00065FB0">
              <w:t>structural collapse</w:t>
            </w:r>
          </w:p>
          <w:p w:rsidR="00000000" w:rsidRPr="00065FB0" w:rsidP="00065FB0">
            <w:pPr>
              <w:pStyle w:val="ListBullet"/>
            </w:pPr>
            <w:r w:rsidRPr="00065FB0">
              <w:t>equipme</w:t>
            </w:r>
            <w:r w:rsidRPr="00065FB0">
              <w:t>nt failures</w:t>
            </w:r>
          </w:p>
          <w:p w:rsidR="00000000" w:rsidRPr="00065FB0" w:rsidP="00065FB0">
            <w:pPr>
              <w:pStyle w:val="ListBullet"/>
            </w:pPr>
            <w:r w:rsidRPr="00065FB0">
              <w:t>industrial (machinery, equipment and product)</w:t>
            </w:r>
          </w:p>
          <w:p w:rsidR="00000000" w:rsidRPr="00065FB0" w:rsidP="00065FB0">
            <w:pPr>
              <w:pStyle w:val="ListBullet"/>
            </w:pPr>
            <w:r w:rsidRPr="00065FB0">
              <w:t>equipment or product mass</w:t>
            </w:r>
          </w:p>
          <w:p w:rsidR="00000000" w:rsidRPr="00065FB0" w:rsidP="00065FB0">
            <w:pPr>
              <w:pStyle w:val="ListBullet"/>
            </w:pPr>
            <w:r w:rsidRPr="00065FB0">
              <w:t>noise, rotational equipment or vibration</w:t>
            </w:r>
          </w:p>
          <w:p w:rsidR="00000000" w:rsidRPr="00065FB0" w:rsidP="00065FB0">
            <w:pPr>
              <w:pStyle w:val="ListBullet"/>
            </w:pPr>
            <w:r w:rsidRPr="00065FB0">
              <w:t>plant services (steam, condensate and cooling water)</w:t>
            </w:r>
          </w:p>
          <w:p w:rsidR="00000000" w:rsidRPr="00065FB0" w:rsidP="00065FB0">
            <w:pPr>
              <w:pStyle w:val="ListBullet"/>
            </w:pPr>
            <w:r w:rsidRPr="00065FB0">
              <w:t xml:space="preserve">limited head spaces or overhangs </w:t>
            </w:r>
          </w:p>
          <w:p w:rsidR="00000000" w:rsidRPr="00065FB0" w:rsidP="00065FB0">
            <w:pPr>
              <w:pStyle w:val="ListBullet"/>
            </w:pPr>
            <w:r w:rsidRPr="00065FB0">
              <w:t>working at heights, in restricted or confined spaces, or in environments subjected to heat, noise, dusts or vapours</w:t>
            </w:r>
          </w:p>
          <w:p w:rsidR="00000000" w:rsidRPr="00065FB0" w:rsidP="00065FB0">
            <w:pPr>
              <w:pStyle w:val="ListBullet"/>
            </w:pPr>
            <w:r w:rsidRPr="00065FB0">
              <w:t>flammability and explosivity</w:t>
            </w:r>
          </w:p>
          <w:p w:rsidR="00000000" w:rsidRPr="00065FB0" w:rsidP="00065FB0">
            <w:pPr>
              <w:pStyle w:val="ListBullet"/>
            </w:pPr>
            <w:r w:rsidRPr="00065FB0">
              <w:t>hazardous products and materials</w:t>
            </w:r>
          </w:p>
          <w:p w:rsidR="00000000" w:rsidRPr="00065FB0" w:rsidP="00065FB0">
            <w:pPr>
              <w:pStyle w:val="ListBullet"/>
            </w:pPr>
            <w:r w:rsidRPr="00065FB0">
              <w:t>unauthorised personnel</w:t>
            </w:r>
          </w:p>
          <w:p w:rsidR="00000000" w:rsidRPr="00065FB0" w:rsidP="00065FB0">
            <w:pPr>
              <w:pStyle w:val="ListBullet"/>
            </w:pPr>
            <w:r w:rsidRPr="00065FB0">
              <w:t>sharp edges, protrusions or obstructions</w:t>
            </w:r>
          </w:p>
          <w:p w:rsidR="00000000" w:rsidRPr="00065FB0" w:rsidP="00065FB0">
            <w:pPr>
              <w:pStyle w:val="ListBullet"/>
            </w:pPr>
            <w:r w:rsidRPr="00065FB0">
              <w:t>slippery surfa</w:t>
            </w:r>
            <w:r w:rsidRPr="00065FB0">
              <w:t>ces, spills or leaks</w:t>
            </w:r>
          </w:p>
          <w:p w:rsidR="00000000" w:rsidRPr="00065FB0" w:rsidP="00065FB0">
            <w:pPr>
              <w:pStyle w:val="ListBullet"/>
            </w:pPr>
            <w:r w:rsidRPr="00065FB0">
              <w:t>extreme weather</w:t>
            </w:r>
          </w:p>
          <w:p w:rsidR="00000000" w:rsidRPr="00065FB0" w:rsidP="00065FB0">
            <w:pPr>
              <w:pStyle w:val="ListBullet"/>
            </w:pPr>
            <w:r w:rsidRPr="00065FB0">
              <w:t>other hazards that might arise</w:t>
            </w:r>
          </w:p>
          <w:p w:rsidR="00000000" w:rsidP="00065FB0">
            <w:pPr>
              <w:pStyle w:val="BodyText"/>
              <w:rPr>
                <w:lang w:val="en-NZ"/>
              </w:rPr>
            </w:pPr>
          </w:p>
        </w:tc>
      </w:tr>
      <w:tr w:rsidTr="00E812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All operations must be performed in accordance with relevant procedures.</w:t>
            </w:r>
          </w:p>
          <w:p w:rsidR="00000000" w:rsidRPr="00065FB0" w:rsidP="00065FB0">
            <w:pPr>
              <w:pStyle w:val="BodyText"/>
            </w:pPr>
          </w:p>
          <w:p w:rsidR="00000000" w:rsidRPr="00065FB0" w:rsidP="00065FB0">
            <w:pPr>
              <w:pStyle w:val="BodyText"/>
            </w:pPr>
            <w:r w:rsidRPr="00065FB0">
              <w:t xml:space="preserve">Procedures are written, verbal, visual, computer-based or in some other form, include one or more of </w:t>
            </w:r>
            <w:r w:rsidRPr="00065FB0">
              <w:t>the following:</w:t>
            </w:r>
          </w:p>
          <w:p w:rsidR="00000000" w:rsidRPr="00065FB0" w:rsidP="00065FB0">
            <w:pPr>
              <w:pStyle w:val="ListBullet"/>
            </w:pPr>
            <w:r w:rsidRPr="00065FB0">
              <w:t>emergency procedures</w:t>
            </w:r>
          </w:p>
          <w:p w:rsidR="00000000" w:rsidRPr="00065FB0" w:rsidP="00065FB0">
            <w:pPr>
              <w:pStyle w:val="ListBullet"/>
            </w:pPr>
            <w:r w:rsidRPr="00065FB0">
              <w:t>work instructions</w:t>
            </w:r>
          </w:p>
          <w:p w:rsidR="00000000" w:rsidRPr="00065FB0" w:rsidP="00065FB0">
            <w:pPr>
              <w:pStyle w:val="ListBullet"/>
            </w:pPr>
            <w:r w:rsidRPr="00065FB0">
              <w:t>standard operating procedures (SOPs)</w:t>
            </w:r>
          </w:p>
          <w:p w:rsidR="00000000" w:rsidRPr="00065FB0" w:rsidP="00065FB0">
            <w:pPr>
              <w:pStyle w:val="ListBullet"/>
            </w:pPr>
            <w:r w:rsidRPr="00065FB0">
              <w:t>safe work method statements (SWMS)</w:t>
            </w:r>
          </w:p>
          <w:p w:rsidR="00000000" w:rsidRPr="00065FB0" w:rsidP="00065FB0">
            <w:pPr>
              <w:pStyle w:val="ListBullet"/>
            </w:pPr>
            <w:r w:rsidRPr="00065FB0">
              <w:t>formulas/recipes</w:t>
            </w:r>
          </w:p>
          <w:p w:rsidR="00000000" w:rsidRPr="00065FB0" w:rsidP="00065FB0">
            <w:pPr>
              <w:pStyle w:val="ListBullet"/>
            </w:pPr>
            <w:r w:rsidRPr="00065FB0">
              <w:t>batch sheets</w:t>
            </w:r>
          </w:p>
          <w:p w:rsidR="00000000" w:rsidRPr="00065FB0" w:rsidP="00065FB0">
            <w:pPr>
              <w:pStyle w:val="ListBullet"/>
            </w:pPr>
            <w:r w:rsidRPr="00065FB0">
              <w:t>temporary instructions</w:t>
            </w:r>
          </w:p>
          <w:p w:rsidR="00000000" w:rsidRPr="00065FB0" w:rsidP="00065FB0">
            <w:pPr>
              <w:pStyle w:val="ListBullet"/>
            </w:pPr>
            <w:r w:rsidRPr="00065FB0">
              <w:t xml:space="preserve">any similar instructions provided for the smooth running of the plant </w:t>
            </w:r>
          </w:p>
          <w:p w:rsidR="00000000" w:rsidP="00065FB0">
            <w:pPr>
              <w:pStyle w:val="BodyText"/>
              <w:rPr>
                <w:lang w:val="en-NZ"/>
              </w:rPr>
            </w:pPr>
          </w:p>
        </w:tc>
      </w:tr>
      <w:tr w:rsidTr="00E812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Documentation</w:t>
            </w:r>
          </w:p>
        </w:tc>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Documentation includes one or more of the following:</w:t>
            </w:r>
          </w:p>
          <w:p w:rsidR="00000000" w:rsidRPr="00065FB0" w:rsidP="00065FB0">
            <w:pPr>
              <w:pStyle w:val="ListBullet"/>
            </w:pPr>
            <w:r w:rsidRPr="00065FB0">
              <w:t>operating procedures</w:t>
            </w:r>
          </w:p>
          <w:p w:rsidR="00000000" w:rsidRPr="00065FB0" w:rsidP="00065FB0">
            <w:pPr>
              <w:pStyle w:val="ListBullet"/>
            </w:pPr>
            <w:r w:rsidRPr="00065FB0">
              <w:t>WHS and environmental legislative requirements</w:t>
            </w:r>
          </w:p>
          <w:p w:rsidR="00000000" w:rsidRPr="00065FB0" w:rsidP="00065FB0">
            <w:pPr>
              <w:pStyle w:val="ListBullet"/>
            </w:pPr>
            <w:r w:rsidRPr="00065FB0">
              <w:t>manufacturer specifications</w:t>
            </w:r>
          </w:p>
          <w:p w:rsidR="00000000" w:rsidRPr="00065FB0" w:rsidP="00065FB0">
            <w:pPr>
              <w:pStyle w:val="ListBullet"/>
            </w:pPr>
            <w:r w:rsidRPr="00065FB0">
              <w:t xml:space="preserve">appropriate authority approvals (e.g. local councils, road authority, sewerage, stormwater, </w:t>
            </w:r>
            <w:r w:rsidRPr="00065FB0">
              <w:t>electricity, water and telephone)</w:t>
            </w:r>
          </w:p>
          <w:p w:rsidR="00000000" w:rsidRPr="00065FB0" w:rsidP="00065FB0">
            <w:pPr>
              <w:pStyle w:val="ListBullet"/>
            </w:pPr>
            <w:r w:rsidRPr="00065FB0">
              <w:t>quality assurance inspection and test reports</w:t>
            </w:r>
          </w:p>
          <w:p w:rsidR="00000000" w:rsidP="00065FB0">
            <w:pPr>
              <w:pStyle w:val="BodyText"/>
              <w:rPr>
                <w:lang w:val="en-NZ"/>
              </w:rPr>
            </w:pPr>
          </w:p>
        </w:tc>
      </w:tr>
      <w:tr w:rsidTr="00E812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Plant/pipeline systems</w:t>
            </w:r>
          </w:p>
        </w:tc>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 xml:space="preserve">This unit of competency includes all items of equipment and unit operations which form part of the pipeline system including, as relevant to a </w:t>
            </w:r>
            <w:r w:rsidRPr="00065FB0">
              <w:t>particular plant/pipeline:</w:t>
            </w:r>
          </w:p>
          <w:p w:rsidR="00000000" w:rsidRPr="00065FB0" w:rsidP="00065FB0">
            <w:pPr>
              <w:pStyle w:val="ListBullet"/>
            </w:pPr>
            <w:r w:rsidRPr="00065FB0">
              <w:t>pipes</w:t>
            </w:r>
          </w:p>
          <w:p w:rsidR="00000000" w:rsidRPr="00065FB0" w:rsidP="00065FB0">
            <w:pPr>
              <w:pStyle w:val="ListBullet"/>
            </w:pPr>
            <w:r w:rsidRPr="00065FB0">
              <w:t>valves</w:t>
            </w:r>
          </w:p>
          <w:p w:rsidR="00000000" w:rsidRPr="00065FB0" w:rsidP="00065FB0">
            <w:pPr>
              <w:pStyle w:val="ListBullet"/>
            </w:pPr>
            <w:r w:rsidRPr="00065FB0">
              <w:t>operating units</w:t>
            </w:r>
          </w:p>
          <w:p w:rsidR="00000000" w:rsidRPr="00065FB0" w:rsidP="00065FB0">
            <w:pPr>
              <w:pStyle w:val="ListBullet"/>
            </w:pPr>
            <w:r w:rsidRPr="00065FB0">
              <w:t>electrical and electronic components</w:t>
            </w:r>
          </w:p>
          <w:p w:rsidR="00000000" w:rsidRPr="00065FB0" w:rsidP="00065FB0">
            <w:pPr>
              <w:pStyle w:val="ListBullet"/>
            </w:pPr>
            <w:r w:rsidRPr="00065FB0">
              <w:t>programmable logic controllers (PLCs)/distributed control systems DCS) or other plant controls</w:t>
            </w:r>
          </w:p>
          <w:p w:rsidR="00000000" w:rsidRPr="00065FB0" w:rsidP="00065FB0">
            <w:pPr>
              <w:pStyle w:val="ListBullet"/>
            </w:pPr>
            <w:r w:rsidRPr="00065FB0">
              <w:t>cathodic protection (CP)</w:t>
            </w:r>
          </w:p>
          <w:p w:rsidR="00000000" w:rsidRPr="00065FB0" w:rsidP="00065FB0">
            <w:pPr>
              <w:pStyle w:val="ListBullet"/>
            </w:pPr>
            <w:r w:rsidRPr="00065FB0">
              <w:t xml:space="preserve">pressure/flow/temperature, regulation and </w:t>
            </w:r>
            <w:r w:rsidRPr="00065FB0">
              <w:t>meters</w:t>
            </w:r>
          </w:p>
          <w:p w:rsidR="00000000" w:rsidP="00065FB0">
            <w:pPr>
              <w:pStyle w:val="BodyText"/>
              <w:rPr>
                <w:lang w:val="en-NZ"/>
              </w:rPr>
            </w:pPr>
          </w:p>
        </w:tc>
      </w:tr>
      <w:tr w:rsidTr="00E812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FB0">
            <w:pPr>
              <w:pStyle w:val="BodyText"/>
              <w:rPr>
                <w:lang w:val="en-NZ"/>
              </w:rPr>
            </w:pPr>
            <w:r w:rsidRPr="00065FB0">
              <w:rPr>
                <w:rStyle w:val="SpecialBold"/>
              </w:rPr>
              <w:t>Tools, materials and equipment</w:t>
            </w:r>
          </w:p>
        </w:tc>
        <w:tc>
          <w:tcPr>
            <w:tcW w:w="0" w:type="auto"/>
            <w:tcBorders>
              <w:top w:val="nil"/>
              <w:left w:val="nil"/>
              <w:bottom w:val="nil"/>
              <w:right w:val="nil"/>
            </w:tcBorders>
            <w:tcMar>
              <w:top w:w="0" w:type="dxa"/>
              <w:left w:w="62" w:type="dxa"/>
              <w:bottom w:w="0" w:type="dxa"/>
              <w:right w:w="62" w:type="dxa"/>
            </w:tcMar>
          </w:tcPr>
          <w:p w:rsidR="00000000" w:rsidRPr="00065FB0" w:rsidP="00065FB0">
            <w:pPr>
              <w:pStyle w:val="BodyText"/>
            </w:pPr>
            <w:r w:rsidRPr="00065FB0">
              <w:t>Tools, materials and equipment include one or more of the following:</w:t>
            </w:r>
          </w:p>
          <w:p w:rsidR="00000000" w:rsidRPr="00065FB0" w:rsidP="00065FB0">
            <w:pPr>
              <w:pStyle w:val="ListBullet"/>
            </w:pPr>
            <w:r w:rsidRPr="00065FB0">
              <w:t>hand tools</w:t>
            </w:r>
          </w:p>
          <w:p w:rsidR="00000000" w:rsidRPr="00065FB0" w:rsidP="00065FB0">
            <w:pPr>
              <w:pStyle w:val="ListBullet"/>
            </w:pPr>
            <w:r w:rsidRPr="00065FB0">
              <w:t>power operated tools</w:t>
            </w:r>
          </w:p>
          <w:p w:rsidR="00000000" w:rsidRPr="00065FB0" w:rsidP="00065FB0">
            <w:pPr>
              <w:pStyle w:val="ListBullet"/>
            </w:pPr>
            <w:r w:rsidRPr="00065FB0">
              <w:t>plant</w:t>
            </w:r>
          </w:p>
          <w:p w:rsidR="00000000" w:rsidRPr="00065FB0" w:rsidP="00065FB0">
            <w:pPr>
              <w:pStyle w:val="ListBullet"/>
            </w:pPr>
            <w:r w:rsidRPr="00065FB0">
              <w:t>emergency equipment</w:t>
            </w:r>
          </w:p>
          <w:p w:rsidR="00000000" w:rsidRPr="00065FB0" w:rsidP="00065FB0">
            <w:pPr>
              <w:pStyle w:val="ListBullet"/>
            </w:pPr>
            <w:r w:rsidRPr="00065FB0">
              <w:t>electrical and electronic test equipment</w:t>
            </w:r>
          </w:p>
          <w:p w:rsidR="00000000" w:rsidRPr="00065FB0" w:rsidP="00065FB0">
            <w:pPr>
              <w:pStyle w:val="ListBullet"/>
            </w:pPr>
            <w:r w:rsidRPr="00065FB0">
              <w:t>gas detectors</w:t>
            </w:r>
          </w:p>
          <w:p w:rsidR="00000000" w:rsidRPr="00065FB0" w:rsidP="00065FB0">
            <w:pPr>
              <w:pStyle w:val="ListBullet"/>
            </w:pPr>
            <w:r w:rsidRPr="00065FB0">
              <w:t>air compressor</w:t>
            </w:r>
          </w:p>
          <w:p w:rsidR="00000000" w:rsidRPr="00065FB0" w:rsidP="00065FB0">
            <w:pPr>
              <w:pStyle w:val="ListBullet"/>
            </w:pPr>
            <w:r w:rsidRPr="00065FB0">
              <w:t>water pump</w:t>
            </w:r>
          </w:p>
          <w:p w:rsidR="00000000" w:rsidRPr="00065FB0" w:rsidP="00065FB0">
            <w:pPr>
              <w:pStyle w:val="BodyText"/>
            </w:pPr>
          </w:p>
        </w:tc>
      </w:tr>
    </w:tbl>
    <w:p w:rsidR="00000000" w:rsidRPr="00065FB0" w:rsidP="00065FB0">
      <w:pPr>
        <w:pStyle w:val="BodyText"/>
      </w:pPr>
    </w:p>
    <w:p w:rsidR="00000000" w:rsidRPr="00065FB0" w:rsidP="00065FB0">
      <w:pPr>
        <w:pStyle w:val="AllowPageBreak"/>
      </w:pPr>
    </w:p>
    <w:p w:rsidR="00000000" w:rsidRPr="00065FB0" w:rsidP="00065FB0">
      <w:pPr>
        <w:pStyle w:val="Heading1"/>
      </w:pPr>
      <w:bookmarkStart w:id="9" w:name="O_909875"/>
      <w:bookmarkEnd w:id="9"/>
      <w:r w:rsidRPr="00065FB0">
        <w:t>Unit Mapping Information</w:t>
      </w:r>
    </w:p>
    <w:p w:rsidR="00000000" w:rsidRPr="00065FB0" w:rsidP="00E8126C">
      <w:pPr>
        <w:pStyle w:val="BodyText"/>
      </w:pPr>
      <w:r w:rsidRPr="00065FB0">
        <w:t>Release 1. Supersedes and is equivalent to PMASUP441C Decommission plant</w:t>
      </w:r>
    </w:p>
    <w:p w:rsidR="00000000" w:rsidRPr="00065FB0" w:rsidP="00065FB0">
      <w:pPr>
        <w:pStyle w:val="Heading1"/>
      </w:pPr>
      <w:bookmarkStart w:id="10" w:name="O_909868"/>
      <w:bookmarkEnd w:id="10"/>
      <w:r w:rsidRPr="00065FB0">
        <w:t>Links</w:t>
      </w:r>
    </w:p>
    <w:p w:rsidR="00000000" w:rsidRPr="00065FB0" w:rsidP="00E8126C">
      <w:pPr>
        <w:pStyle w:val="BodyText"/>
      </w:pPr>
      <w:r w:rsidRPr="00065FB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20C5C">
        <w:rPr>
          <w:rStyle w:val="Hyperlink"/>
        </w:rPr>
        <w:t>https://vetnet.gov.au/Pages/TrainingDocs.aspx?q=9fc2cf53-e570-4e9f-ad6a-b228ffdb6875</w:t>
      </w:r>
      <w:r>
        <w:fldChar w:fldCharType="end"/>
      </w:r>
    </w:p>
    <w:p w:rsidR="00000000" w:rsidRPr="00065FB0" w:rsidP="00065FB0"/>
    <w:sectPr w:rsidSect="00065F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B0" w:rsidRPr="00E8126C" w:rsidP="00E81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6C" w:rsidP="00065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26C" w:rsidP="00065F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126C" w:rsidP="00065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FB0" w:rsidRPr="00E8126C" w:rsidP="00E81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6C" w:rsidRPr="002D2AF8" w:rsidP="00065FB0">
    <w:pPr>
      <w:pStyle w:val="Header"/>
      <w:framePr w:wrap="around"/>
    </w:pPr>
    <w:r>
      <w:fldChar w:fldCharType="begin"/>
    </w:r>
    <w:r>
      <w:instrText xml:space="preserve"> TITLE   \* MERGEFORMAT </w:instrText>
    </w:r>
    <w:r>
      <w:fldChar w:fldCharType="separate"/>
    </w:r>
    <w:r>
      <w:t>PMASUP441 Decommission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8126C" w:rsidP="00065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FA4D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AB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FB0"/>
    <w:pPr>
      <w:spacing w:before="360" w:after="60"/>
      <w:outlineLvl w:val="0"/>
    </w:pPr>
    <w:rPr>
      <w:sz w:val="32"/>
    </w:rPr>
  </w:style>
  <w:style w:type="paragraph" w:styleId="Heading2">
    <w:name w:val="heading 2"/>
    <w:basedOn w:val="HeadingBase"/>
    <w:next w:val="BodyText"/>
    <w:link w:val="Heading2Char"/>
    <w:qFormat/>
    <w:rsid w:val="00065FB0"/>
    <w:pPr>
      <w:keepLines/>
      <w:spacing w:before="240" w:after="120"/>
      <w:outlineLvl w:val="1"/>
    </w:pPr>
    <w:rPr>
      <w:sz w:val="28"/>
      <w:szCs w:val="40"/>
    </w:rPr>
  </w:style>
  <w:style w:type="paragraph" w:styleId="Heading3">
    <w:name w:val="heading 3"/>
    <w:basedOn w:val="HeadingBase"/>
    <w:next w:val="BodyText"/>
    <w:link w:val="Heading3Char"/>
    <w:qFormat/>
    <w:rsid w:val="00065FB0"/>
    <w:pPr>
      <w:spacing w:before="180" w:after="120"/>
      <w:outlineLvl w:val="2"/>
    </w:pPr>
    <w:rPr>
      <w:spacing w:val="-10"/>
      <w:kern w:val="32"/>
    </w:rPr>
  </w:style>
  <w:style w:type="paragraph" w:styleId="Heading4">
    <w:name w:val="heading 4"/>
    <w:basedOn w:val="HeadingBase"/>
    <w:next w:val="BodyText"/>
    <w:link w:val="Heading4Char"/>
    <w:qFormat/>
    <w:rsid w:val="00065FB0"/>
    <w:pPr>
      <w:spacing w:before="160" w:after="120"/>
      <w:outlineLvl w:val="3"/>
    </w:pPr>
    <w:rPr>
      <w:sz w:val="22"/>
    </w:rPr>
  </w:style>
  <w:style w:type="paragraph" w:styleId="Heading5">
    <w:name w:val="heading 5"/>
    <w:basedOn w:val="HeadingBase"/>
    <w:next w:val="Normal"/>
    <w:link w:val="Heading5Char"/>
    <w:qFormat/>
    <w:rsid w:val="00065FB0"/>
    <w:pPr>
      <w:spacing w:before="80"/>
      <w:outlineLvl w:val="4"/>
    </w:pPr>
    <w:rPr>
      <w:color w:val="918585"/>
      <w:sz w:val="20"/>
    </w:rPr>
  </w:style>
  <w:style w:type="paragraph" w:styleId="Heading6">
    <w:name w:val="heading 6"/>
    <w:basedOn w:val="HeadingBase"/>
    <w:next w:val="Normal"/>
    <w:link w:val="Heading6Char"/>
    <w:qFormat/>
    <w:rsid w:val="00065FB0"/>
    <w:pPr>
      <w:spacing w:before="60"/>
      <w:outlineLvl w:val="5"/>
    </w:pPr>
    <w:rPr>
      <w:color w:val="918585"/>
      <w:sz w:val="20"/>
    </w:rPr>
  </w:style>
  <w:style w:type="paragraph" w:styleId="Heading7">
    <w:name w:val="heading 7"/>
    <w:basedOn w:val="Normal"/>
    <w:next w:val="Normal"/>
    <w:link w:val="Heading7Char"/>
    <w:qFormat/>
    <w:rsid w:val="00065FB0"/>
    <w:pPr>
      <w:ind w:left="720"/>
      <w:outlineLvl w:val="6"/>
    </w:pPr>
    <w:rPr>
      <w:i/>
    </w:rPr>
  </w:style>
  <w:style w:type="paragraph" w:styleId="Heading8">
    <w:name w:val="heading 8"/>
    <w:basedOn w:val="Normal"/>
    <w:next w:val="Normal"/>
    <w:link w:val="Heading8Char"/>
    <w:qFormat/>
    <w:rsid w:val="00065FB0"/>
    <w:pPr>
      <w:ind w:left="720"/>
      <w:outlineLvl w:val="7"/>
    </w:pPr>
    <w:rPr>
      <w:i/>
    </w:rPr>
  </w:style>
  <w:style w:type="paragraph" w:styleId="Heading9">
    <w:name w:val="heading 9"/>
    <w:basedOn w:val="Normal"/>
    <w:next w:val="Normal"/>
    <w:link w:val="Heading9Char"/>
    <w:qFormat/>
    <w:rsid w:val="00065FB0"/>
    <w:pPr>
      <w:ind w:left="720"/>
      <w:outlineLvl w:val="8"/>
    </w:pPr>
    <w:rPr>
      <w:i/>
    </w:rPr>
  </w:style>
  <w:style w:type="character" w:default="1" w:styleId="DefaultParagraphFont">
    <w:name w:val="Default Paragraph Font"/>
    <w:uiPriority w:val="1"/>
    <w:unhideWhenUsed/>
    <w:rsid w:val="00065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FB0"/>
  </w:style>
  <w:style w:type="character" w:customStyle="1" w:styleId="Heading1Char">
    <w:name w:val="Heading 1 Char"/>
    <w:basedOn w:val="DefaultParagraphFont"/>
    <w:link w:val="Heading1"/>
    <w:rsid w:val="00065FB0"/>
    <w:rPr>
      <w:rFonts w:ascii="Times New Roman" w:eastAsia="Times New Roman" w:hAnsi="Times New Roman" w:cs="Times New Roman"/>
      <w:b/>
      <w:sz w:val="32"/>
      <w:szCs w:val="20"/>
      <w:lang w:eastAsia="en-US"/>
    </w:rPr>
  </w:style>
  <w:style w:type="paragraph" w:styleId="BodyText">
    <w:name w:val="Body Text"/>
    <w:basedOn w:val="Normal"/>
    <w:link w:val="BodyTextChar"/>
    <w:rsid w:val="00065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FB0"/>
    <w:rPr>
      <w:rFonts w:ascii="Times New Roman" w:eastAsia="Times New Roman" w:hAnsi="Times New Roman" w:cs="Times New Roman"/>
      <w:sz w:val="24"/>
      <w:lang w:eastAsia="en-US"/>
    </w:rPr>
  </w:style>
  <w:style w:type="paragraph" w:styleId="ListBullet">
    <w:name w:val="List Bullet"/>
    <w:basedOn w:val="List"/>
    <w:rsid w:val="00065FB0"/>
    <w:pPr>
      <w:numPr>
        <w:numId w:val="11"/>
      </w:numPr>
      <w:tabs>
        <w:tab w:val="clear" w:pos="340"/>
      </w:tabs>
      <w:spacing w:before="40" w:after="40"/>
    </w:pPr>
  </w:style>
  <w:style w:type="character" w:customStyle="1" w:styleId="SpecialBold">
    <w:name w:val="Special Bold"/>
    <w:basedOn w:val="DefaultParagraphFont"/>
    <w:rsid w:val="00065FB0"/>
    <w:rPr>
      <w:b/>
      <w:spacing w:val="0"/>
    </w:rPr>
  </w:style>
  <w:style w:type="paragraph" w:customStyle="1" w:styleId="SuperHeading">
    <w:name w:val="SuperHeading"/>
    <w:basedOn w:val="Normal"/>
    <w:rsid w:val="00065FB0"/>
    <w:pPr>
      <w:spacing w:before="240" w:after="120"/>
      <w:outlineLvl w:val="0"/>
    </w:pPr>
    <w:rPr>
      <w:rFonts w:ascii="Times New Roman" w:hAnsi="Times New Roman"/>
      <w:b/>
      <w:sz w:val="32"/>
    </w:rPr>
  </w:style>
  <w:style w:type="paragraph" w:customStyle="1" w:styleId="AllowPageBreak">
    <w:name w:val="AllowPageBreak"/>
    <w:rsid w:val="00065F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FB0"/>
    <w:rPr>
      <w:rFonts w:ascii="Courier New" w:eastAsia="Times New Roman" w:hAnsi="Courier New" w:cs="Times New Roman"/>
      <w:i/>
      <w:szCs w:val="20"/>
      <w:lang w:eastAsia="en-US"/>
    </w:rPr>
  </w:style>
  <w:style w:type="paragraph" w:customStyle="1" w:styleId="HeadingBase">
    <w:name w:val="Heading Base"/>
    <w:rsid w:val="00065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FB0"/>
    <w:pPr>
      <w:tabs>
        <w:tab w:val="right" w:leader="dot" w:pos="9072"/>
      </w:tabs>
      <w:ind w:left="567"/>
    </w:pPr>
    <w:rPr>
      <w:szCs w:val="22"/>
    </w:rPr>
  </w:style>
  <w:style w:type="paragraph" w:customStyle="1" w:styleId="TOCBase">
    <w:name w:val="TOC Base"/>
    <w:rsid w:val="00065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FB0"/>
    <w:pPr>
      <w:tabs>
        <w:tab w:val="right" w:leader="dot" w:pos="9072"/>
      </w:tabs>
      <w:spacing w:before="40" w:after="40"/>
      <w:ind w:left="284"/>
    </w:pPr>
    <w:rPr>
      <w:rFonts w:ascii="Times New Roman" w:hAnsi="Times New Roman"/>
    </w:rPr>
  </w:style>
  <w:style w:type="paragraph" w:styleId="TOC1">
    <w:name w:val="toc 1"/>
    <w:basedOn w:val="TOCBase"/>
    <w:next w:val="Normal"/>
    <w:rsid w:val="00065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FB0"/>
    <w:rPr>
      <w:rFonts w:ascii="Times New Roman" w:eastAsia="Times New Roman" w:hAnsi="Times New Roman" w:cs="Times New Roman"/>
      <w:sz w:val="16"/>
      <w:lang w:eastAsia="en-US"/>
    </w:rPr>
  </w:style>
  <w:style w:type="paragraph" w:styleId="Title">
    <w:name w:val="Title"/>
    <w:basedOn w:val="HeadingBase"/>
    <w:link w:val="TitleChar"/>
    <w:qFormat/>
    <w:rsid w:val="00065FB0"/>
    <w:pPr>
      <w:spacing w:before="5040"/>
      <w:jc w:val="center"/>
    </w:pPr>
    <w:rPr>
      <w:sz w:val="48"/>
      <w:szCs w:val="72"/>
      <w:lang w:val="en-US"/>
    </w:rPr>
  </w:style>
  <w:style w:type="character" w:customStyle="1" w:styleId="TitleChar">
    <w:name w:val="Title Char"/>
    <w:basedOn w:val="DefaultParagraphFont"/>
    <w:link w:val="Title"/>
    <w:rsid w:val="00065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FB0"/>
    <w:pPr>
      <w:tabs>
        <w:tab w:val="left" w:pos="3600"/>
        <w:tab w:val="left" w:pos="3958"/>
      </w:tabs>
    </w:pPr>
  </w:style>
  <w:style w:type="paragraph" w:styleId="List">
    <w:name w:val="List"/>
    <w:basedOn w:val="BodyText"/>
    <w:next w:val="BodyText"/>
    <w:rsid w:val="00065FB0"/>
    <w:pPr>
      <w:tabs>
        <w:tab w:val="left" w:pos="340"/>
      </w:tabs>
      <w:spacing w:before="60" w:after="60"/>
      <w:ind w:left="340" w:hanging="340"/>
    </w:pPr>
  </w:style>
  <w:style w:type="paragraph" w:customStyle="1" w:styleId="Note">
    <w:name w:val="Note"/>
    <w:basedOn w:val="BodyText"/>
    <w:rsid w:val="00065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FB0"/>
    <w:pPr>
      <w:framePr w:wrap="auto" w:hAnchor="text" w:y="6049"/>
    </w:pPr>
    <w:rPr>
      <w:color w:val="000000"/>
      <w:sz w:val="40"/>
    </w:rPr>
  </w:style>
  <w:style w:type="paragraph" w:customStyle="1" w:styleId="TOCTitle">
    <w:name w:val="TOCTitle"/>
    <w:basedOn w:val="Heading1"/>
    <w:rsid w:val="00065FB0"/>
    <w:pPr>
      <w:spacing w:after="240"/>
      <w:jc w:val="center"/>
      <w:outlineLvl w:val="9"/>
    </w:pPr>
    <w:rPr>
      <w:caps/>
    </w:rPr>
  </w:style>
  <w:style w:type="paragraph" w:customStyle="1" w:styleId="Version">
    <w:name w:val="Version"/>
    <w:rsid w:val="00065F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FB0"/>
    <w:pPr>
      <w:numPr>
        <w:numId w:val="12"/>
      </w:numPr>
      <w:tabs>
        <w:tab w:val="clear" w:pos="680"/>
      </w:tabs>
    </w:pPr>
  </w:style>
  <w:style w:type="paragraph" w:styleId="Index1">
    <w:name w:val="index 1"/>
    <w:basedOn w:val="Normal"/>
    <w:next w:val="Normal"/>
    <w:semiHidden/>
    <w:rsid w:val="00065FB0"/>
    <w:pPr>
      <w:keepNext w:val="0"/>
      <w:tabs>
        <w:tab w:val="right" w:pos="4176"/>
      </w:tabs>
      <w:ind w:left="198" w:hanging="198"/>
    </w:pPr>
    <w:rPr>
      <w:rFonts w:ascii="Garamond" w:hAnsi="Garamond"/>
    </w:rPr>
  </w:style>
  <w:style w:type="paragraph" w:styleId="IndexHeading">
    <w:name w:val="index heading"/>
    <w:basedOn w:val="Normal"/>
    <w:next w:val="Index1"/>
    <w:semiHidden/>
    <w:rsid w:val="00065FB0"/>
    <w:pPr>
      <w:spacing w:before="120" w:after="120"/>
    </w:pPr>
    <w:rPr>
      <w:rFonts w:ascii="Arial" w:hAnsi="Arial"/>
      <w:b/>
      <w:color w:val="918585"/>
      <w:sz w:val="24"/>
    </w:rPr>
  </w:style>
  <w:style w:type="paragraph" w:styleId="Header">
    <w:name w:val="header"/>
    <w:basedOn w:val="Normal"/>
    <w:link w:val="HeaderChar"/>
    <w:rsid w:val="00065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FB0"/>
    <w:rPr>
      <w:rFonts w:ascii="Times New Roman" w:eastAsia="Times New Roman" w:hAnsi="Times New Roman" w:cs="Times New Roman"/>
      <w:sz w:val="16"/>
      <w:szCs w:val="20"/>
      <w:lang w:val="en-GB" w:eastAsia="en-US"/>
    </w:rPr>
  </w:style>
  <w:style w:type="paragraph" w:customStyle="1" w:styleId="Chapter">
    <w:name w:val="Chapter"/>
    <w:basedOn w:val="Normal"/>
    <w:rsid w:val="00065FB0"/>
    <w:pPr>
      <w:spacing w:before="240"/>
    </w:pPr>
    <w:rPr>
      <w:rFonts w:ascii="Times New Roman" w:hAnsi="Times New Roman"/>
      <w:smallCaps/>
      <w:spacing w:val="80"/>
      <w:sz w:val="28"/>
    </w:rPr>
  </w:style>
  <w:style w:type="paragraph" w:customStyle="1" w:styleId="InChapter">
    <w:name w:val="InChapter"/>
    <w:basedOn w:val="Heading3"/>
    <w:rsid w:val="00065FB0"/>
    <w:pPr>
      <w:spacing w:after="240"/>
      <w:outlineLvl w:val="9"/>
    </w:pPr>
    <w:rPr>
      <w:noProof/>
    </w:rPr>
  </w:style>
  <w:style w:type="paragraph" w:styleId="Index2">
    <w:name w:val="index 2"/>
    <w:basedOn w:val="Normal"/>
    <w:next w:val="Normal"/>
    <w:semiHidden/>
    <w:rsid w:val="00065FB0"/>
    <w:pPr>
      <w:tabs>
        <w:tab w:val="right" w:pos="4176"/>
      </w:tabs>
      <w:ind w:left="568" w:hanging="284"/>
    </w:pPr>
    <w:rPr>
      <w:rFonts w:ascii="Garamond" w:hAnsi="Garamond"/>
    </w:rPr>
  </w:style>
  <w:style w:type="paragraph" w:customStyle="1" w:styleId="Byline">
    <w:name w:val="Byline"/>
    <w:rsid w:val="00065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FB0"/>
    <w:pPr>
      <w:tabs>
        <w:tab w:val="clear" w:pos="3600"/>
        <w:tab w:val="clear" w:pos="3958"/>
      </w:tabs>
      <w:jc w:val="right"/>
    </w:pPr>
  </w:style>
  <w:style w:type="character" w:styleId="Emphasis">
    <w:name w:val="Emphasis"/>
    <w:basedOn w:val="DefaultParagraphFont"/>
    <w:qFormat/>
    <w:rsid w:val="00065FB0"/>
    <w:rPr>
      <w:i/>
    </w:rPr>
  </w:style>
  <w:style w:type="paragraph" w:styleId="Caption">
    <w:name w:val="caption"/>
    <w:basedOn w:val="BodyText"/>
    <w:next w:val="Normal"/>
    <w:qFormat/>
    <w:rsid w:val="00065FB0"/>
    <w:pPr>
      <w:framePr w:w="2268" w:hSpace="181" w:vSpace="181" w:wrap="around" w:vAnchor="text" w:hAnchor="page" w:x="1135" w:y="285" w:anchorLock="1"/>
    </w:pPr>
    <w:rPr>
      <w:i/>
    </w:rPr>
  </w:style>
  <w:style w:type="paragraph" w:customStyle="1" w:styleId="MiniTOCTitle">
    <w:name w:val="MiniTOCTitle"/>
    <w:basedOn w:val="Heading4"/>
    <w:rsid w:val="00065FB0"/>
    <w:pPr>
      <w:spacing w:before="240"/>
      <w:outlineLvl w:val="9"/>
    </w:pPr>
    <w:rPr>
      <w:noProof/>
      <w:sz w:val="24"/>
    </w:rPr>
  </w:style>
  <w:style w:type="paragraph" w:customStyle="1" w:styleId="MiniTOCItem">
    <w:name w:val="MiniTOCItem"/>
    <w:basedOn w:val="ListBullet"/>
    <w:rsid w:val="00065FB0"/>
    <w:pPr>
      <w:numPr>
        <w:numId w:val="0"/>
      </w:numPr>
      <w:tabs>
        <w:tab w:val="right" w:leader="dot" w:pos="6521"/>
      </w:tabs>
      <w:spacing w:before="0" w:after="0"/>
    </w:pPr>
  </w:style>
  <w:style w:type="paragraph" w:customStyle="1" w:styleId="TOFTitle">
    <w:name w:val="TOFTitle"/>
    <w:basedOn w:val="TOCTitle"/>
    <w:rsid w:val="00065FB0"/>
  </w:style>
  <w:style w:type="paragraph" w:styleId="TableofFigures">
    <w:name w:val="table of figures"/>
    <w:basedOn w:val="Normal"/>
    <w:next w:val="Normal"/>
    <w:semiHidden/>
    <w:rsid w:val="00065FB0"/>
    <w:pPr>
      <w:tabs>
        <w:tab w:val="right" w:leader="dot" w:pos="9072"/>
      </w:tabs>
      <w:ind w:left="970" w:hanging="403"/>
    </w:pPr>
    <w:rPr>
      <w:rFonts w:ascii="Times New Roman" w:hAnsi="Times New Roman"/>
      <w:b/>
    </w:rPr>
  </w:style>
  <w:style w:type="paragraph" w:styleId="ListNumber">
    <w:name w:val="List Number"/>
    <w:basedOn w:val="List"/>
    <w:rsid w:val="00065FB0"/>
    <w:pPr>
      <w:numPr>
        <w:numId w:val="14"/>
      </w:numPr>
      <w:tabs>
        <w:tab w:val="clear" w:pos="340"/>
      </w:tabs>
    </w:pPr>
  </w:style>
  <w:style w:type="character" w:customStyle="1" w:styleId="WingdingSymbols">
    <w:name w:val="Wingding Symbols"/>
    <w:rsid w:val="00065FB0"/>
    <w:rPr>
      <w:rFonts w:ascii="Wingdings" w:hAnsi="Wingdings"/>
    </w:rPr>
  </w:style>
  <w:style w:type="paragraph" w:customStyle="1" w:styleId="TableHeading">
    <w:name w:val="Table Heading"/>
    <w:basedOn w:val="HeadingBase"/>
    <w:rsid w:val="00065FB0"/>
    <w:pPr>
      <w:keepLines/>
      <w:pBdr>
        <w:bottom w:val="single" w:sz="6" w:space="1" w:color="918585"/>
      </w:pBdr>
      <w:spacing w:before="240"/>
    </w:pPr>
  </w:style>
  <w:style w:type="character" w:customStyle="1" w:styleId="HotSpot">
    <w:name w:val="HotSpot"/>
    <w:rsid w:val="00065FB0"/>
    <w:rPr>
      <w:color w:val="0033CC"/>
      <w:u w:val="none"/>
    </w:rPr>
  </w:style>
  <w:style w:type="paragraph" w:customStyle="1" w:styleId="BodyTextRight">
    <w:name w:val="Body Text Right"/>
    <w:basedOn w:val="BodyText"/>
    <w:rsid w:val="00065FB0"/>
    <w:pPr>
      <w:spacing w:before="0" w:after="0"/>
      <w:jc w:val="right"/>
    </w:pPr>
  </w:style>
  <w:style w:type="paragraph" w:styleId="Index3">
    <w:name w:val="index 3"/>
    <w:basedOn w:val="ListNumber2"/>
    <w:next w:val="Normal"/>
    <w:semiHidden/>
    <w:rsid w:val="00065FB0"/>
    <w:pPr>
      <w:numPr>
        <w:numId w:val="0"/>
      </w:numPr>
      <w:tabs>
        <w:tab w:val="right" w:leader="dot" w:pos="4176"/>
      </w:tabs>
    </w:pPr>
  </w:style>
  <w:style w:type="paragraph" w:styleId="ListNumber2">
    <w:name w:val="List Number 2"/>
    <w:basedOn w:val="List2"/>
    <w:rsid w:val="00065FB0"/>
    <w:pPr>
      <w:numPr>
        <w:numId w:val="9"/>
      </w:numPr>
      <w:tabs>
        <w:tab w:val="clear" w:pos="1060"/>
      </w:tabs>
    </w:pPr>
  </w:style>
  <w:style w:type="paragraph" w:customStyle="1" w:styleId="MarginNote">
    <w:name w:val="Margin Note"/>
    <w:basedOn w:val="BodyText"/>
    <w:rsid w:val="00065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FB0"/>
    <w:rPr>
      <w:sz w:val="32"/>
    </w:rPr>
  </w:style>
  <w:style w:type="paragraph" w:customStyle="1" w:styleId="HeadingProcedure">
    <w:name w:val="Heading Procedure"/>
    <w:basedOn w:val="HeadingBase"/>
    <w:next w:val="Normal"/>
    <w:rsid w:val="00065FB0"/>
    <w:pPr>
      <w:tabs>
        <w:tab w:val="left" w:pos="0"/>
      </w:tabs>
      <w:spacing w:before="120" w:after="60"/>
    </w:pPr>
    <w:rPr>
      <w:i/>
      <w:color w:val="918585"/>
      <w:sz w:val="22"/>
    </w:rPr>
  </w:style>
  <w:style w:type="paragraph" w:customStyle="1" w:styleId="TableBodyText">
    <w:name w:val="Table Body Text"/>
    <w:basedOn w:val="BodyText"/>
    <w:rsid w:val="00065FB0"/>
    <w:pPr>
      <w:spacing w:before="60" w:after="60"/>
    </w:pPr>
  </w:style>
  <w:style w:type="paragraph" w:styleId="ListContinue">
    <w:name w:val="List Continue"/>
    <w:basedOn w:val="List"/>
    <w:rsid w:val="00065FB0"/>
    <w:pPr>
      <w:ind w:firstLine="0"/>
    </w:pPr>
  </w:style>
  <w:style w:type="paragraph" w:customStyle="1" w:styleId="ListNote">
    <w:name w:val="List Note"/>
    <w:basedOn w:val="List"/>
    <w:rsid w:val="00065FB0"/>
    <w:pPr>
      <w:pBdr>
        <w:top w:val="single" w:sz="6" w:space="2" w:color="918585"/>
        <w:bottom w:val="single" w:sz="6" w:space="2" w:color="918585"/>
      </w:pBdr>
      <w:tabs>
        <w:tab w:val="left" w:pos="1021"/>
      </w:tabs>
      <w:ind w:firstLine="0"/>
    </w:pPr>
  </w:style>
  <w:style w:type="paragraph" w:customStyle="1" w:styleId="Warning">
    <w:name w:val="Warning"/>
    <w:basedOn w:val="BodyText"/>
    <w:rsid w:val="00065FB0"/>
    <w:pPr>
      <w:shd w:val="clear" w:color="auto" w:fill="D9D9D9"/>
      <w:tabs>
        <w:tab w:val="left" w:pos="992"/>
      </w:tabs>
      <w:ind w:left="119" w:right="119"/>
    </w:pPr>
    <w:rPr>
      <w:sz w:val="20"/>
    </w:rPr>
  </w:style>
  <w:style w:type="paragraph" w:customStyle="1" w:styleId="MarginIcons">
    <w:name w:val="Margin Icons"/>
    <w:basedOn w:val="BodyText"/>
    <w:rsid w:val="00065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FB0"/>
    <w:rPr>
      <w:rFonts w:ascii="Courier New" w:hAnsi="Courier New"/>
    </w:rPr>
  </w:style>
  <w:style w:type="paragraph" w:customStyle="1" w:styleId="NoteBullet">
    <w:name w:val="Note Bullet"/>
    <w:basedOn w:val="Note"/>
    <w:rsid w:val="00065FB0"/>
    <w:pPr>
      <w:tabs>
        <w:tab w:val="clear" w:pos="680"/>
      </w:tabs>
      <w:spacing w:before="60" w:after="60"/>
    </w:pPr>
  </w:style>
  <w:style w:type="paragraph" w:customStyle="1" w:styleId="SubHeading2">
    <w:name w:val="SubHeading2"/>
    <w:basedOn w:val="HeadingBase"/>
    <w:rsid w:val="00065FB0"/>
    <w:pPr>
      <w:spacing w:before="240" w:after="60"/>
    </w:pPr>
    <w:rPr>
      <w:sz w:val="20"/>
    </w:rPr>
  </w:style>
  <w:style w:type="paragraph" w:customStyle="1" w:styleId="SubHeading1">
    <w:name w:val="SubHeading1"/>
    <w:basedOn w:val="HeadingBase"/>
    <w:rsid w:val="00065FB0"/>
    <w:pPr>
      <w:spacing w:before="240" w:after="60"/>
    </w:pPr>
    <w:rPr>
      <w:color w:val="918585"/>
      <w:sz w:val="22"/>
    </w:rPr>
  </w:style>
  <w:style w:type="paragraph" w:customStyle="1" w:styleId="SideHeading">
    <w:name w:val="Side Heading"/>
    <w:basedOn w:val="HeadingBase"/>
    <w:rsid w:val="00065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FB0"/>
    <w:pPr>
      <w:numPr>
        <w:numId w:val="10"/>
      </w:numPr>
    </w:pPr>
  </w:style>
  <w:style w:type="paragraph" w:styleId="PlainText">
    <w:name w:val="Plain Text"/>
    <w:basedOn w:val="Normal"/>
    <w:link w:val="PlainTextChar"/>
    <w:rsid w:val="00065FB0"/>
    <w:rPr>
      <w:sz w:val="20"/>
    </w:rPr>
  </w:style>
  <w:style w:type="character" w:customStyle="1" w:styleId="PlainTextChar">
    <w:name w:val="Plain Text Char"/>
    <w:basedOn w:val="DefaultParagraphFont"/>
    <w:link w:val="PlainText"/>
    <w:rsid w:val="00065FB0"/>
    <w:rPr>
      <w:rFonts w:ascii="Courier New" w:eastAsia="Times New Roman" w:hAnsi="Courier New" w:cs="Times New Roman"/>
      <w:sz w:val="20"/>
      <w:szCs w:val="20"/>
      <w:lang w:eastAsia="en-US"/>
    </w:rPr>
  </w:style>
  <w:style w:type="character" w:customStyle="1" w:styleId="MenuOption">
    <w:name w:val="Menu Option"/>
    <w:basedOn w:val="DefaultParagraphFont"/>
    <w:rsid w:val="00065FB0"/>
    <w:rPr>
      <w:b/>
      <w:smallCaps/>
    </w:rPr>
  </w:style>
  <w:style w:type="paragraph" w:customStyle="1" w:styleId="TableListNumber">
    <w:name w:val="Table List Number"/>
    <w:basedOn w:val="ListNumber"/>
    <w:rsid w:val="00065FB0"/>
    <w:pPr>
      <w:numPr>
        <w:numId w:val="0"/>
      </w:numPr>
    </w:pPr>
  </w:style>
  <w:style w:type="paragraph" w:styleId="TOC4">
    <w:name w:val="toc 4"/>
    <w:basedOn w:val="TOCBase"/>
    <w:next w:val="Normal"/>
    <w:semiHidden/>
    <w:rsid w:val="00065FB0"/>
    <w:pPr>
      <w:tabs>
        <w:tab w:val="right" w:leader="dot" w:pos="9071"/>
      </w:tabs>
      <w:ind w:left="1701"/>
    </w:pPr>
  </w:style>
  <w:style w:type="paragraph" w:customStyle="1" w:styleId="ListAlpha">
    <w:name w:val="List Alpha"/>
    <w:basedOn w:val="List"/>
    <w:rsid w:val="00065FB0"/>
    <w:pPr>
      <w:numPr>
        <w:numId w:val="8"/>
      </w:numPr>
    </w:pPr>
  </w:style>
  <w:style w:type="paragraph" w:customStyle="1" w:styleId="ListAlpha2">
    <w:name w:val="List Alpha 2"/>
    <w:basedOn w:val="List2"/>
    <w:rsid w:val="00065FB0"/>
    <w:pPr>
      <w:numPr>
        <w:numId w:val="7"/>
      </w:numPr>
    </w:pPr>
  </w:style>
  <w:style w:type="paragraph" w:styleId="List2">
    <w:name w:val="List 2"/>
    <w:basedOn w:val="BodyText"/>
    <w:rsid w:val="00065FB0"/>
    <w:pPr>
      <w:tabs>
        <w:tab w:val="left" w:pos="680"/>
      </w:tabs>
      <w:spacing w:before="60" w:after="60"/>
      <w:ind w:left="680" w:hanging="340"/>
    </w:pPr>
  </w:style>
  <w:style w:type="paragraph" w:styleId="List3">
    <w:name w:val="List 3"/>
    <w:basedOn w:val="BodyText"/>
    <w:rsid w:val="00065FB0"/>
    <w:pPr>
      <w:tabs>
        <w:tab w:val="left" w:pos="1021"/>
      </w:tabs>
      <w:spacing w:before="60" w:after="60"/>
      <w:ind w:left="1020" w:hanging="340"/>
    </w:pPr>
  </w:style>
  <w:style w:type="paragraph" w:styleId="List4">
    <w:name w:val="List 4"/>
    <w:basedOn w:val="BodyText"/>
    <w:rsid w:val="00065FB0"/>
    <w:pPr>
      <w:tabs>
        <w:tab w:val="left" w:pos="1361"/>
      </w:tabs>
      <w:spacing w:before="60" w:after="60"/>
      <w:ind w:left="1361" w:hanging="340"/>
    </w:pPr>
  </w:style>
  <w:style w:type="paragraph" w:styleId="List5">
    <w:name w:val="List 5"/>
    <w:basedOn w:val="BodyText"/>
    <w:rsid w:val="00065FB0"/>
    <w:pPr>
      <w:tabs>
        <w:tab w:val="left" w:pos="1701"/>
      </w:tabs>
      <w:spacing w:before="60" w:after="60"/>
      <w:ind w:left="1701" w:hanging="340"/>
    </w:pPr>
  </w:style>
  <w:style w:type="paragraph" w:styleId="ListBullet3">
    <w:name w:val="List Bullet 3"/>
    <w:basedOn w:val="List3"/>
    <w:rsid w:val="00065FB0"/>
    <w:pPr>
      <w:numPr>
        <w:numId w:val="13"/>
      </w:numPr>
      <w:tabs>
        <w:tab w:val="clear" w:pos="1021"/>
      </w:tabs>
      <w:ind w:left="1037" w:hanging="357"/>
    </w:pPr>
  </w:style>
  <w:style w:type="paragraph" w:styleId="ListBullet4">
    <w:name w:val="List Bullet 4"/>
    <w:basedOn w:val="List4"/>
    <w:rsid w:val="00065FB0"/>
    <w:pPr>
      <w:numPr>
        <w:numId w:val="2"/>
      </w:numPr>
      <w:tabs>
        <w:tab w:val="clear" w:pos="1361"/>
      </w:tabs>
    </w:pPr>
  </w:style>
  <w:style w:type="paragraph" w:styleId="ListBullet5">
    <w:name w:val="List Bullet 5"/>
    <w:basedOn w:val="List5"/>
    <w:rsid w:val="00065FB0"/>
    <w:pPr>
      <w:numPr>
        <w:numId w:val="3"/>
      </w:numPr>
    </w:pPr>
  </w:style>
  <w:style w:type="paragraph" w:styleId="ListContinue2">
    <w:name w:val="List Continue 2"/>
    <w:basedOn w:val="List2"/>
    <w:rsid w:val="00065FB0"/>
    <w:pPr>
      <w:ind w:firstLine="0"/>
    </w:pPr>
  </w:style>
  <w:style w:type="paragraph" w:styleId="ListContinue3">
    <w:name w:val="List Continue 3"/>
    <w:basedOn w:val="List3"/>
    <w:rsid w:val="00065FB0"/>
    <w:pPr>
      <w:ind w:left="1021" w:firstLine="0"/>
    </w:pPr>
  </w:style>
  <w:style w:type="paragraph" w:styleId="ListContinue4">
    <w:name w:val="List Continue 4"/>
    <w:basedOn w:val="List4"/>
    <w:rsid w:val="00065FB0"/>
    <w:pPr>
      <w:ind w:firstLine="0"/>
    </w:pPr>
  </w:style>
  <w:style w:type="paragraph" w:styleId="ListContinue5">
    <w:name w:val="List Continue 5"/>
    <w:basedOn w:val="List5"/>
    <w:rsid w:val="00065FB0"/>
    <w:pPr>
      <w:ind w:firstLine="0"/>
    </w:pPr>
  </w:style>
  <w:style w:type="paragraph" w:styleId="ListNumber3">
    <w:name w:val="List Number 3"/>
    <w:basedOn w:val="List3"/>
    <w:rsid w:val="00065FB0"/>
    <w:pPr>
      <w:numPr>
        <w:numId w:val="4"/>
      </w:numPr>
    </w:pPr>
  </w:style>
  <w:style w:type="paragraph" w:styleId="ListNumber4">
    <w:name w:val="List Number 4"/>
    <w:basedOn w:val="List4"/>
    <w:rsid w:val="00065FB0"/>
    <w:pPr>
      <w:numPr>
        <w:numId w:val="5"/>
      </w:numPr>
    </w:pPr>
  </w:style>
  <w:style w:type="paragraph" w:styleId="ListNumber5">
    <w:name w:val="List Number 5"/>
    <w:basedOn w:val="List5"/>
    <w:rsid w:val="00065FB0"/>
    <w:pPr>
      <w:numPr>
        <w:numId w:val="6"/>
      </w:numPr>
    </w:pPr>
  </w:style>
  <w:style w:type="paragraph" w:styleId="BlockText">
    <w:name w:val="Block Text"/>
    <w:basedOn w:val="Normal"/>
    <w:rsid w:val="00065FB0"/>
    <w:pPr>
      <w:spacing w:after="120"/>
      <w:ind w:left="1440" w:right="1440"/>
    </w:pPr>
  </w:style>
  <w:style w:type="character" w:customStyle="1" w:styleId="Subscript">
    <w:name w:val="Subscript"/>
    <w:basedOn w:val="DefaultParagraphFont"/>
    <w:rsid w:val="00065FB0"/>
    <w:rPr>
      <w:sz w:val="16"/>
      <w:vertAlign w:val="subscript"/>
    </w:rPr>
  </w:style>
  <w:style w:type="character" w:customStyle="1" w:styleId="Superscript">
    <w:name w:val="Superscript"/>
    <w:basedOn w:val="DefaultParagraphFont"/>
    <w:rsid w:val="00065FB0"/>
    <w:rPr>
      <w:sz w:val="16"/>
      <w:vertAlign w:val="superscript"/>
    </w:rPr>
  </w:style>
  <w:style w:type="character" w:customStyle="1" w:styleId="Symbols">
    <w:name w:val="Symbols"/>
    <w:basedOn w:val="DefaultParagraphFont"/>
    <w:rsid w:val="00065FB0"/>
    <w:rPr>
      <w:rFonts w:ascii="Symbol" w:hAnsi="Symbol"/>
    </w:rPr>
  </w:style>
  <w:style w:type="character" w:customStyle="1" w:styleId="MenuOptions">
    <w:name w:val="Menu Options"/>
    <w:basedOn w:val="DefaultParagraphFont"/>
    <w:rsid w:val="00065FB0"/>
    <w:rPr>
      <w:rFonts w:ascii="Arial Narrow" w:hAnsi="Arial Narrow"/>
      <w:smallCaps/>
    </w:rPr>
  </w:style>
  <w:style w:type="character" w:customStyle="1" w:styleId="Buttons">
    <w:name w:val="Buttons"/>
    <w:basedOn w:val="DefaultParagraphFont"/>
    <w:rsid w:val="00065FB0"/>
    <w:rPr>
      <w:b/>
    </w:rPr>
  </w:style>
  <w:style w:type="character" w:customStyle="1" w:styleId="Underlined">
    <w:name w:val="Underlined"/>
    <w:basedOn w:val="DefaultParagraphFont"/>
    <w:rsid w:val="00065FB0"/>
    <w:rPr>
      <w:u w:val="single"/>
    </w:rPr>
  </w:style>
  <w:style w:type="paragraph" w:customStyle="1" w:styleId="TableBodyTextRight">
    <w:name w:val="Table Body Text Right"/>
    <w:basedOn w:val="TableBodyText"/>
    <w:rsid w:val="00065FB0"/>
    <w:pPr>
      <w:widowControl w:val="0"/>
      <w:autoSpaceDE w:val="0"/>
      <w:autoSpaceDN w:val="0"/>
      <w:adjustRightInd w:val="0"/>
      <w:jc w:val="right"/>
    </w:pPr>
    <w:rPr>
      <w:rFonts w:cs="Arial"/>
      <w:szCs w:val="18"/>
    </w:rPr>
  </w:style>
  <w:style w:type="paragraph" w:customStyle="1" w:styleId="CopyrightText">
    <w:name w:val="Copyright Text"/>
    <w:basedOn w:val="BodyText"/>
    <w:rsid w:val="00065FB0"/>
    <w:rPr>
      <w:sz w:val="18"/>
    </w:rPr>
  </w:style>
  <w:style w:type="paragraph" w:customStyle="1" w:styleId="BodySmallRight">
    <w:name w:val="Body Small Right"/>
    <w:basedOn w:val="BodyTextRight"/>
    <w:rsid w:val="00065FB0"/>
    <w:rPr>
      <w:sz w:val="18"/>
      <w:szCs w:val="18"/>
    </w:rPr>
  </w:style>
  <w:style w:type="paragraph" w:customStyle="1" w:styleId="MarginEdition">
    <w:name w:val="Margin Edition"/>
    <w:basedOn w:val="MarginNote"/>
    <w:rsid w:val="00065FB0"/>
    <w:pPr>
      <w:spacing w:before="0" w:after="0"/>
    </w:pPr>
    <w:rPr>
      <w:rFonts w:ascii="Times New Roman" w:hAnsi="Times New Roman"/>
      <w:color w:val="999999"/>
    </w:rPr>
  </w:style>
  <w:style w:type="paragraph" w:customStyle="1" w:styleId="Spacer">
    <w:name w:val="Spacer"/>
    <w:basedOn w:val="Normal"/>
    <w:rsid w:val="00065FB0"/>
    <w:rPr>
      <w:sz w:val="2"/>
      <w:szCs w:val="2"/>
    </w:rPr>
  </w:style>
  <w:style w:type="character" w:customStyle="1" w:styleId="Small">
    <w:name w:val="Small"/>
    <w:basedOn w:val="DefaultParagraphFont"/>
    <w:rsid w:val="00065FB0"/>
    <w:rPr>
      <w:sz w:val="16"/>
    </w:rPr>
  </w:style>
  <w:style w:type="paragraph" w:customStyle="1" w:styleId="WideTable">
    <w:name w:val="Wide Table"/>
    <w:basedOn w:val="Normal"/>
    <w:rsid w:val="00065FB0"/>
    <w:pPr>
      <w:ind w:left="-1418"/>
    </w:pPr>
    <w:rPr>
      <w:sz w:val="2"/>
      <w:szCs w:val="2"/>
    </w:rPr>
  </w:style>
  <w:style w:type="character" w:styleId="PageNumber">
    <w:name w:val="page number"/>
    <w:basedOn w:val="DefaultParagraphFont"/>
    <w:rsid w:val="00065FB0"/>
  </w:style>
  <w:style w:type="paragraph" w:styleId="Quote">
    <w:name w:val="Quote"/>
    <w:basedOn w:val="Heading1"/>
    <w:link w:val="QuoteChar"/>
    <w:qFormat/>
    <w:rsid w:val="00065FB0"/>
    <w:rPr>
      <w:b w:val="0"/>
      <w:sz w:val="72"/>
      <w:szCs w:val="72"/>
      <w:lang w:val="en-NZ"/>
    </w:rPr>
  </w:style>
  <w:style w:type="character" w:customStyle="1" w:styleId="QuoteChar">
    <w:name w:val="Quote Char"/>
    <w:basedOn w:val="DefaultParagraphFont"/>
    <w:link w:val="Quote"/>
    <w:rsid w:val="00065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FB0"/>
    <w:pPr>
      <w:pageBreakBefore/>
    </w:pPr>
  </w:style>
  <w:style w:type="paragraph" w:customStyle="1" w:styleId="Border">
    <w:name w:val="Border"/>
    <w:basedOn w:val="Normal"/>
    <w:qFormat/>
    <w:rsid w:val="00065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FB0"/>
    <w:rPr>
      <w:b/>
      <w:bCs/>
      <w:i/>
      <w:iCs/>
      <w:color w:val="auto"/>
    </w:rPr>
  </w:style>
  <w:style w:type="paragraph" w:styleId="IntenseQuote">
    <w:name w:val="Intense Quote"/>
    <w:basedOn w:val="Normal"/>
    <w:next w:val="Normal"/>
    <w:link w:val="IntenseQuoteChar"/>
    <w:uiPriority w:val="30"/>
    <w:qFormat/>
    <w:rsid w:val="00065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FB0"/>
    <w:rPr>
      <w:smallCaps/>
      <w:color w:val="auto"/>
      <w:u w:val="single"/>
    </w:rPr>
  </w:style>
  <w:style w:type="character" w:styleId="IntenseReference">
    <w:name w:val="Intense Reference"/>
    <w:basedOn w:val="DefaultParagraphFont"/>
    <w:uiPriority w:val="32"/>
    <w:qFormat/>
    <w:rsid w:val="00065FB0"/>
    <w:rPr>
      <w:b/>
      <w:bCs/>
      <w:smallCaps/>
      <w:color w:val="auto"/>
      <w:spacing w:val="5"/>
      <w:u w:val="single"/>
    </w:rPr>
  </w:style>
  <w:style w:type="paragraph" w:customStyle="1" w:styleId="2ColumnHeading">
    <w:name w:val="2Column Heading"/>
    <w:basedOn w:val="BodyText"/>
    <w:qFormat/>
    <w:rsid w:val="00065FB0"/>
    <w:pPr>
      <w:spacing w:after="60"/>
      <w:ind w:left="-2268"/>
    </w:pPr>
    <w:rPr>
      <w:b/>
    </w:rPr>
  </w:style>
  <w:style w:type="paragraph" w:customStyle="1" w:styleId="Heading1TOC">
    <w:name w:val="Heading1 TOC"/>
    <w:basedOn w:val="Normal"/>
    <w:qFormat/>
    <w:rsid w:val="00065FB0"/>
    <w:pPr>
      <w:spacing w:before="240" w:after="120"/>
    </w:pPr>
    <w:rPr>
      <w:rFonts w:ascii="Times New Roman" w:hAnsi="Times New Roman"/>
      <w:b/>
      <w:sz w:val="32"/>
    </w:rPr>
  </w:style>
  <w:style w:type="paragraph" w:customStyle="1" w:styleId="Heading2TOC">
    <w:name w:val="Heading2 TOC"/>
    <w:basedOn w:val="Normal"/>
    <w:qFormat/>
    <w:rsid w:val="00065FB0"/>
    <w:pPr>
      <w:spacing w:before="240" w:after="60"/>
    </w:pPr>
    <w:rPr>
      <w:rFonts w:ascii="Times New Roman" w:hAnsi="Times New Roman"/>
      <w:b/>
      <w:sz w:val="28"/>
    </w:rPr>
  </w:style>
  <w:style w:type="character" w:customStyle="1" w:styleId="Underline">
    <w:name w:val="Underline"/>
    <w:basedOn w:val="DefaultParagraphFont"/>
    <w:qFormat/>
    <w:rsid w:val="00065FB0"/>
    <w:rPr>
      <w:u w:val="single"/>
    </w:rPr>
  </w:style>
  <w:style w:type="character" w:customStyle="1" w:styleId="BoldandItalics">
    <w:name w:val="Bold and Italics"/>
    <w:qFormat/>
    <w:rsid w:val="00065FB0"/>
    <w:rPr>
      <w:b/>
      <w:i/>
      <w:u w:val="none"/>
    </w:rPr>
  </w:style>
  <w:style w:type="paragraph" w:styleId="BalloonText">
    <w:name w:val="Balloon Text"/>
    <w:basedOn w:val="Normal"/>
    <w:link w:val="BalloonTextChar"/>
    <w:rsid w:val="00065FB0"/>
    <w:rPr>
      <w:rFonts w:ascii="Tahoma" w:hAnsi="Tahoma" w:cs="Tahoma"/>
      <w:sz w:val="16"/>
      <w:szCs w:val="16"/>
    </w:rPr>
  </w:style>
  <w:style w:type="character" w:customStyle="1" w:styleId="BalloonTextChar">
    <w:name w:val="Balloon Text Char"/>
    <w:basedOn w:val="DefaultParagraphFont"/>
    <w:link w:val="BalloonText"/>
    <w:rsid w:val="00065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FB0"/>
    <w:rPr>
      <w:b/>
      <w:color w:val="660033"/>
      <w:spacing w:val="0"/>
    </w:rPr>
  </w:style>
  <w:style w:type="paragraph" w:customStyle="1" w:styleId="Nameditemlist">
    <w:name w:val="Named item list"/>
    <w:basedOn w:val="BodyText"/>
    <w:qFormat/>
    <w:rsid w:val="00065FB0"/>
    <w:pPr>
      <w:tabs>
        <w:tab w:val="left" w:pos="2835"/>
      </w:tabs>
      <w:ind w:left="2835" w:hanging="2835"/>
    </w:pPr>
  </w:style>
  <w:style w:type="paragraph" w:customStyle="1" w:styleId="BodyTextnopadding">
    <w:name w:val="Body Text no padding"/>
    <w:basedOn w:val="BodyText"/>
    <w:qFormat/>
    <w:rsid w:val="00065FB0"/>
    <w:pPr>
      <w:spacing w:before="0" w:after="0"/>
    </w:pPr>
  </w:style>
  <w:style w:type="paragraph" w:customStyle="1" w:styleId="BodyTextBold">
    <w:name w:val="Body Text Bold"/>
    <w:basedOn w:val="BodyText"/>
    <w:qFormat/>
    <w:rsid w:val="00065FB0"/>
    <w:rPr>
      <w:b/>
    </w:rPr>
  </w:style>
  <w:style w:type="character" w:styleId="Hyperlink">
    <w:name w:val="Hyperlink"/>
    <w:basedOn w:val="DefaultParagraphFont"/>
    <w:uiPriority w:val="99"/>
    <w:unhideWhenUsed/>
    <w:rsid w:val="00E81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6044</Characters>
  <Application>Microsoft Office Word</Application>
  <DocSecurity>0</DocSecurity>
  <Lines>262</Lines>
  <Paragraphs>166</Paragraphs>
  <ScaleCrop>false</ScaleCrop>
  <Company>Author-it Software Corporation Ltd.</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PMASUP441 Decommission plant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2023-02-03T05:44:00Z</dcterms:created>
  <dcterms:modified xsi:type="dcterms:W3CDTF">2023-02-03T05:44:00Z</dcterms:modified>
</cp:coreProperties>
</file>