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531" w:rsidP="004C4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PMASUP441 Decommission plant</w:t>
      </w:r>
      <w:r>
        <w:fldChar w:fldCharType="end"/>
      </w:r>
    </w:p>
    <w:p w:rsidR="004C4531" w:rsidP="004C4531">
      <w:pPr>
        <w:pStyle w:val="Version"/>
        <w:sectPr w:rsidSect="00135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998" w:rsidP="00135998">
      <w:pPr>
        <w:pStyle w:val="SuperHeading"/>
      </w:pPr>
      <w:r w:rsidRPr="00135998">
        <w:t>Assessment Requirements for PMASUP441 Decommission plant</w:t>
      </w:r>
    </w:p>
    <w:p w:rsidR="00000000" w:rsidRPr="00135998" w:rsidP="00135998">
      <w:pPr>
        <w:pStyle w:val="Heading1"/>
      </w:pPr>
      <w:bookmarkStart w:id="1" w:name="O_909870"/>
      <w:bookmarkEnd w:id="1"/>
      <w:r w:rsidRPr="00135998">
        <w:t>Modification History</w:t>
      </w:r>
    </w:p>
    <w:p w:rsidR="00000000" w:rsidRPr="00135998" w:rsidP="004C4531">
      <w:pPr>
        <w:pStyle w:val="BodyText"/>
      </w:pPr>
      <w:r w:rsidRPr="00135998">
        <w:t>Release 1. Supersedes and is equivalent to PMASUP441C Decommission plant</w:t>
      </w:r>
    </w:p>
    <w:p w:rsidR="00000000" w:rsidRPr="00135998" w:rsidP="00135998">
      <w:pPr>
        <w:pStyle w:val="Heading1"/>
      </w:pPr>
      <w:bookmarkStart w:id="2" w:name="O_909873"/>
      <w:bookmarkEnd w:id="2"/>
      <w:r w:rsidRPr="00135998">
        <w:t>Performance Evidence</w:t>
      </w:r>
    </w:p>
    <w:p w:rsidR="00000000" w:rsidRPr="00135998" w:rsidP="00135998">
      <w:pPr>
        <w:pStyle w:val="ListBullet"/>
      </w:pPr>
      <w:r w:rsidRPr="00135998">
        <w:t>Evidence required to demonstrate competence in this unit must be relevant to and satisfy the requirements o</w:t>
      </w:r>
      <w:r w:rsidRPr="00135998">
        <w:t>f the elements and performance criteria, and include the ability to:</w:t>
      </w:r>
    </w:p>
    <w:p w:rsidR="00000000" w:rsidRPr="00135998" w:rsidP="00135998">
      <w:pPr>
        <w:pStyle w:val="ListBullet"/>
      </w:pPr>
      <w:r w:rsidRPr="00135998">
        <w:t xml:space="preserve">plan, coordinate and monitor decommissioning activities </w:t>
      </w:r>
    </w:p>
    <w:p w:rsidR="00000000" w:rsidRPr="00135998" w:rsidP="00135998">
      <w:pPr>
        <w:pStyle w:val="ListBullet"/>
      </w:pPr>
      <w:r w:rsidRPr="00135998">
        <w:t>arrange resources as required</w:t>
      </w:r>
    </w:p>
    <w:p w:rsidR="00000000" w:rsidRPr="00135998" w:rsidP="00135998">
      <w:pPr>
        <w:pStyle w:val="ListBullet"/>
      </w:pPr>
      <w:r w:rsidRPr="00135998">
        <w:t>document the decommissioning and recommendations for safe storage/maintenance/disposal</w:t>
      </w:r>
    </w:p>
    <w:p w:rsidR="00000000" w:rsidRPr="00135998" w:rsidP="00135998">
      <w:pPr>
        <w:pStyle w:val="ListBullet"/>
      </w:pPr>
      <w:r w:rsidRPr="00135998">
        <w:t>communicate e</w:t>
      </w:r>
      <w:r w:rsidRPr="00135998">
        <w:t>ffectively with stakeholders, including manufacturers, engineering personnel, designers, contractors and maintenance and other company personnel</w:t>
      </w:r>
    </w:p>
    <w:p w:rsidR="00000000" w:rsidRPr="00135998" w:rsidP="00135998">
      <w:pPr>
        <w:pStyle w:val="ListBullet"/>
      </w:pPr>
      <w:r w:rsidRPr="00135998">
        <w:t>participate in hazard and operability studies (HAZOP), hazard analysis studies (HAZAN) or similar techniques</w:t>
      </w:r>
    </w:p>
    <w:p w:rsidR="00000000" w:rsidRPr="00135998" w:rsidP="004C4531">
      <w:pPr>
        <w:pStyle w:val="BodyText"/>
      </w:pPr>
      <w:r w:rsidRPr="00135998">
        <w:t>id</w:t>
      </w:r>
      <w:r w:rsidRPr="00135998">
        <w:t xml:space="preserve">entify hazards and risks and apply risk control procedures </w:t>
      </w:r>
      <w:r w:rsidRPr="00135998">
        <w:t>complete written/electronic documentation.</w:t>
      </w:r>
    </w:p>
    <w:p w:rsidR="00000000" w:rsidRPr="00135998" w:rsidP="00135998">
      <w:pPr>
        <w:pStyle w:val="AllowPageBreak"/>
      </w:pPr>
    </w:p>
    <w:p w:rsidR="00000000" w:rsidRPr="00135998" w:rsidP="00135998">
      <w:pPr>
        <w:pStyle w:val="Heading1"/>
      </w:pPr>
      <w:bookmarkStart w:id="3" w:name="O_909872"/>
      <w:bookmarkEnd w:id="3"/>
      <w:r w:rsidRPr="00135998">
        <w:t>Knowledge Evidence</w:t>
      </w:r>
    </w:p>
    <w:p w:rsidR="00000000" w:rsidRPr="00135998" w:rsidP="004C4531">
      <w:pPr>
        <w:pStyle w:val="BodyText"/>
      </w:pPr>
      <w:r w:rsidRPr="00135998">
        <w:t>Evidence must be provided that demonstrates knowledge of:</w:t>
      </w:r>
    </w:p>
    <w:p w:rsidR="00000000" w:rsidRPr="00135998" w:rsidP="00135998">
      <w:pPr>
        <w:pStyle w:val="ListBullet"/>
      </w:pPr>
      <w:r w:rsidRPr="00135998">
        <w:t>all items on a schematic of the system and functions of ea</w:t>
      </w:r>
      <w:r w:rsidRPr="00135998">
        <w:t xml:space="preserve">ch </w:t>
      </w:r>
    </w:p>
    <w:p w:rsidR="00000000" w:rsidRPr="00135998" w:rsidP="00135998">
      <w:pPr>
        <w:pStyle w:val="ListBullet"/>
      </w:pPr>
      <w:r w:rsidRPr="00135998">
        <w:t>principles of operation of items of equipment in the system</w:t>
      </w:r>
    </w:p>
    <w:p w:rsidR="00000000" w:rsidRPr="00135998" w:rsidP="00135998">
      <w:pPr>
        <w:pStyle w:val="ListBullet"/>
      </w:pPr>
      <w:r w:rsidRPr="00135998">
        <w:t>interactions between plant items/processes</w:t>
      </w:r>
    </w:p>
    <w:p w:rsidR="00000000" w:rsidRPr="00135998" w:rsidP="00135998">
      <w:pPr>
        <w:pStyle w:val="ListBullet"/>
      </w:pPr>
      <w:r w:rsidRPr="00135998">
        <w:t>systems’ operating parameters</w:t>
      </w:r>
    </w:p>
    <w:p w:rsidR="00000000" w:rsidRPr="00135998" w:rsidP="00135998">
      <w:pPr>
        <w:pStyle w:val="ListBullet"/>
      </w:pPr>
      <w:r w:rsidRPr="00135998">
        <w:t>system integrity limits</w:t>
      </w:r>
    </w:p>
    <w:p w:rsidR="00000000" w:rsidRPr="00135998" w:rsidP="00135998">
      <w:pPr>
        <w:pStyle w:val="ListBullet"/>
      </w:pPr>
      <w:r w:rsidRPr="00135998">
        <w:t>procedures for typical options/processes for removal of plant and equipment from service, inclu</w:t>
      </w:r>
      <w:r w:rsidRPr="00135998">
        <w:t>ding:</w:t>
      </w:r>
    </w:p>
    <w:p w:rsidR="00000000" w:rsidRPr="00135998" w:rsidP="00135998">
      <w:pPr>
        <w:pStyle w:val="ListBullet2"/>
      </w:pPr>
      <w:r>
        <w:t>‘</w:t>
      </w:r>
      <w:r w:rsidRPr="00135998">
        <w:t>mothballing</w:t>
      </w:r>
      <w:r>
        <w:t>’</w:t>
      </w:r>
    </w:p>
    <w:p w:rsidR="00000000" w:rsidRPr="00135998" w:rsidP="00135998">
      <w:pPr>
        <w:pStyle w:val="ListBullet2"/>
      </w:pPr>
      <w:r w:rsidRPr="00135998">
        <w:t>storage</w:t>
      </w:r>
    </w:p>
    <w:p w:rsidR="00000000" w:rsidRPr="00135998" w:rsidP="00135998">
      <w:pPr>
        <w:pStyle w:val="ListBullet2"/>
      </w:pPr>
      <w:r w:rsidRPr="00135998">
        <w:t>disassembly</w:t>
      </w:r>
    </w:p>
    <w:p w:rsidR="00000000" w:rsidRPr="00135998" w:rsidP="00135998">
      <w:pPr>
        <w:pStyle w:val="ListBullet2"/>
      </w:pPr>
      <w:r w:rsidRPr="00135998">
        <w:t>demolition</w:t>
      </w:r>
    </w:p>
    <w:p w:rsidR="00000000" w:rsidRPr="00135998" w:rsidP="00135998">
      <w:pPr>
        <w:pStyle w:val="ListBullet2"/>
      </w:pPr>
      <w:r w:rsidRPr="00135998">
        <w:t>decontamination of equipment</w:t>
      </w:r>
    </w:p>
    <w:p w:rsidR="00000000" w:rsidRPr="00135998" w:rsidP="00135998">
      <w:pPr>
        <w:pStyle w:val="ListBullet2"/>
      </w:pPr>
      <w:r w:rsidRPr="00135998">
        <w:t>disposal of equipment and waste</w:t>
      </w:r>
    </w:p>
    <w:p w:rsidR="00000000" w:rsidRPr="00135998" w:rsidP="00135998">
      <w:pPr>
        <w:pStyle w:val="ListBullet"/>
      </w:pPr>
      <w:r w:rsidRPr="00135998">
        <w:t>safe disposal methods of materials and equipment</w:t>
      </w:r>
    </w:p>
    <w:p w:rsidR="00000000" w:rsidRPr="00135998" w:rsidP="00135998">
      <w:pPr>
        <w:pStyle w:val="ListBullet"/>
      </w:pPr>
      <w:r w:rsidRPr="00135998">
        <w:t>decontamination processes</w:t>
      </w:r>
    </w:p>
    <w:p w:rsidR="00000000" w:rsidRPr="00135998" w:rsidP="00135998">
      <w:pPr>
        <w:pStyle w:val="ListBullet"/>
      </w:pPr>
      <w:r w:rsidRPr="00135998">
        <w:t>science (e.g. physics, chemistry and biochemistry) relevant to process and materials processed or produced</w:t>
      </w:r>
    </w:p>
    <w:p w:rsidR="00000000" w:rsidRPr="00135998" w:rsidP="00135998">
      <w:pPr>
        <w:pStyle w:val="ListBullet"/>
      </w:pPr>
      <w:r w:rsidRPr="00135998">
        <w:t>process parameters and limits (e.g. temperature, pressure, flow and pH)</w:t>
      </w:r>
    </w:p>
    <w:p w:rsidR="00000000" w:rsidRPr="00135998" w:rsidP="00135998">
      <w:pPr>
        <w:pStyle w:val="ListBullet"/>
      </w:pPr>
      <w:r w:rsidRPr="00135998">
        <w:t>correct methods of starting, stopping, operating and controlling plant</w:t>
      </w:r>
    </w:p>
    <w:p w:rsidR="00000000" w:rsidRPr="00135998" w:rsidP="00135998">
      <w:pPr>
        <w:pStyle w:val="ListBullet"/>
      </w:pPr>
      <w:r w:rsidRPr="00135998">
        <w:t>routin</w:t>
      </w:r>
      <w:r w:rsidRPr="00135998">
        <w:t xml:space="preserve">e and non-routine problems that may arise, the range of possible causes and processes to develop solutions </w:t>
      </w:r>
    </w:p>
    <w:p w:rsidR="00000000" w:rsidRPr="00135998" w:rsidP="00135998">
      <w:pPr>
        <w:pStyle w:val="ListBullet"/>
      </w:pPr>
      <w:r w:rsidRPr="00135998">
        <w:t>hierarchy of control.</w:t>
      </w:r>
    </w:p>
    <w:p w:rsidR="00000000" w:rsidRPr="00135998" w:rsidP="00135998">
      <w:pPr>
        <w:pStyle w:val="AllowPageBreak"/>
      </w:pPr>
    </w:p>
    <w:p w:rsidR="00000000" w:rsidRPr="00135998" w:rsidP="00135998">
      <w:pPr>
        <w:pStyle w:val="Heading1"/>
      </w:pPr>
      <w:bookmarkStart w:id="4" w:name="O_909871"/>
      <w:bookmarkEnd w:id="4"/>
      <w:r w:rsidRPr="00135998">
        <w:t>Assessment Conditions</w:t>
      </w:r>
    </w:p>
    <w:p w:rsidR="00000000" w:rsidRPr="00135998" w:rsidP="00135998">
      <w:pPr>
        <w:pStyle w:val="ListBullet"/>
      </w:pPr>
      <w:r w:rsidRPr="00135998">
        <w:t xml:space="preserve">The unit should be assessed holistically and the judgement of competence based on a holistic assessment of the evidence. </w:t>
      </w:r>
    </w:p>
    <w:p w:rsidR="00000000" w:rsidRPr="00135998" w:rsidP="00135998">
      <w:pPr>
        <w:pStyle w:val="ListBullet"/>
      </w:pPr>
      <w:r w:rsidRPr="00135998">
        <w:t>The collection of performance evidence is best done from a report and/or folio of evidence drawn from:</w:t>
      </w:r>
    </w:p>
    <w:p w:rsidR="00000000" w:rsidRPr="00135998" w:rsidP="00135998">
      <w:pPr>
        <w:pStyle w:val="ListBullet2"/>
      </w:pPr>
      <w:r w:rsidRPr="00135998">
        <w:t>a single project which provide</w:t>
      </w:r>
      <w:r w:rsidRPr="00135998">
        <w:t>s sufficient evidence of the requirements of all the elements and performance criteria</w:t>
      </w:r>
    </w:p>
    <w:p w:rsidR="00000000" w:rsidRPr="00135998" w:rsidP="00135998">
      <w:pPr>
        <w:pStyle w:val="ListBullet2"/>
      </w:pPr>
      <w:r w:rsidRPr="00135998">
        <w:t>multiple smaller projects which together provide sufficient evidence of the requirements of all the elements and performance criteria.</w:t>
      </w:r>
    </w:p>
    <w:p w:rsidR="00000000" w:rsidRPr="00135998" w:rsidP="00135998">
      <w:pPr>
        <w:pStyle w:val="ListBullet"/>
      </w:pPr>
      <w:r w:rsidRPr="00135998">
        <w:t>A third-party report, or similar,</w:t>
      </w:r>
      <w:r w:rsidRPr="00135998">
        <w:t xml:space="preserve"> may be needed to testify to the work done by the individual, particularly when the project has been done as part of a project team.</w:t>
      </w:r>
    </w:p>
    <w:p w:rsidR="00000000" w:rsidRPr="00135998" w:rsidP="00135998">
      <w:pPr>
        <w:pStyle w:val="ListBullet"/>
      </w:pPr>
      <w:r w:rsidRPr="00135998">
        <w:t xml:space="preserve">Assessment should use a real project in an operational workplace. Where this is not possible or practical, assessment must </w:t>
      </w:r>
      <w:r w:rsidRPr="00135998">
        <w:t>occur using a sufficiently rigorous simulated environment reflecting realistic operational workplace conditions. This must cover all aspects of workplace performance, including environment, task skills, task management skills, contingency management skills</w:t>
      </w:r>
      <w:r w:rsidRPr="00135998">
        <w:t xml:space="preserve"> and job role environment skills.</w:t>
      </w:r>
    </w:p>
    <w:p w:rsidR="00000000" w:rsidRPr="00135998" w:rsidP="00135998">
      <w:pPr>
        <w:pStyle w:val="ListBullet"/>
      </w:pPr>
      <w:r w:rsidRPr="00135998">
        <w:t>Knowledge evidence may be collected concurrently with performance evidence or through an independent process, such as workbooks, written assessments or interviews (provided a record is kept).</w:t>
      </w:r>
    </w:p>
    <w:p w:rsidR="00000000" w:rsidRPr="00135998" w:rsidP="00135998">
      <w:pPr>
        <w:pStyle w:val="ListBullet"/>
      </w:pPr>
      <w:r w:rsidRPr="00135998">
        <w:t>Assessment processes and techn</w:t>
      </w:r>
      <w:r w:rsidRPr="00135998">
        <w:t>iques must be appropriate to the language, literacy and numeracy requirements of the work being performed and the needs of the candidate.</w:t>
      </w:r>
    </w:p>
    <w:p w:rsidR="00000000" w:rsidRPr="00135998" w:rsidP="00135998">
      <w:pPr>
        <w:pStyle w:val="ListBullet"/>
      </w:pPr>
      <w:r w:rsidRPr="00135998">
        <w:t>Conditions for assessment must include access to all tools, equipment, materials and documentation required, including</w:t>
      </w:r>
      <w:r w:rsidRPr="00135998">
        <w:t xml:space="preserve"> relevant workplace procedures, product and manufacturing specifications associated with this unit.</w:t>
      </w:r>
    </w:p>
    <w:p w:rsidR="00000000" w:rsidRPr="00135998" w:rsidP="00135998">
      <w:pPr>
        <w:pStyle w:val="ListBullet"/>
      </w:pPr>
      <w:r w:rsidRPr="00135998">
        <w:t>The regulatory framework will be reflected in workplace policies and procedures and is not required to be independently assessed.</w:t>
      </w:r>
    </w:p>
    <w:p w:rsidR="00000000" w:rsidRPr="00135998" w:rsidP="00135998">
      <w:pPr>
        <w:pStyle w:val="ListBullet"/>
      </w:pPr>
      <w:r w:rsidRPr="00135998">
        <w:t>Foundation skills are inte</w:t>
      </w:r>
      <w:r w:rsidRPr="00135998">
        <w:t>gral to competent performance of the unit and should not be assessed separately.</w:t>
      </w:r>
    </w:p>
    <w:p w:rsidR="00000000" w:rsidRPr="00135998" w:rsidP="00135998">
      <w:pPr>
        <w:pStyle w:val="ListBullet"/>
      </w:pPr>
      <w:r w:rsidRPr="00135998">
        <w:t>Assessors must satisfy the assessor competency requirements that are in place at the time of the assessment as set by the VET regulator.</w:t>
      </w:r>
    </w:p>
    <w:p w:rsidR="00000000" w:rsidRPr="00135998" w:rsidP="00135998">
      <w:pPr>
        <w:pStyle w:val="ListBullet"/>
      </w:pPr>
      <w:r w:rsidRPr="00135998">
        <w:t>In addition, the assessor or anyone ac</w:t>
      </w:r>
      <w:r w:rsidRPr="00135998">
        <w:t xml:space="preserve">ting in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135998" w:rsidP="00135998">
      <w:pPr>
        <w:pStyle w:val="ListBullet"/>
      </w:pPr>
      <w:r w:rsidRPr="00135998">
        <w:t>Technical competence can be demonstrated through one or more of:</w:t>
      </w:r>
    </w:p>
    <w:p w:rsidR="00000000" w:rsidRPr="00135998" w:rsidP="00135998">
      <w:pPr>
        <w:pStyle w:val="ListBullet2"/>
      </w:pPr>
      <w:r w:rsidRPr="00135998">
        <w:t xml:space="preserve">relevant VET or other qualification/Statement of Attainment </w:t>
      </w:r>
    </w:p>
    <w:p w:rsidR="00000000" w:rsidRPr="00135998" w:rsidP="00135998">
      <w:pPr>
        <w:pStyle w:val="ListBullet2"/>
      </w:pPr>
      <w:r w:rsidRPr="00135998">
        <w:t xml:space="preserve">appropriate workplace experience undertaking the type of work being assessed under routine and non-routine conditions </w:t>
      </w:r>
    </w:p>
    <w:p w:rsidR="00000000" w:rsidRPr="00135998" w:rsidP="00135998">
      <w:pPr>
        <w:pStyle w:val="ListBullet2"/>
      </w:pPr>
      <w:r w:rsidRPr="00135998">
        <w:t>appropriat</w:t>
      </w:r>
      <w:r w:rsidRPr="00135998">
        <w:t>e workplace experience supervising/evaluating the type of work being assessed under routine and non-routine conditions</w:t>
      </w:r>
    </w:p>
    <w:p w:rsidR="00000000" w:rsidRPr="00135998" w:rsidP="00135998">
      <w:pPr>
        <w:pStyle w:val="ListBullet"/>
      </w:pPr>
      <w:r w:rsidRPr="00135998">
        <w:t>Currency can be demonstrated through one or more of:</w:t>
      </w:r>
    </w:p>
    <w:p w:rsidR="00000000" w:rsidRPr="00135998" w:rsidP="00135998">
      <w:pPr>
        <w:pStyle w:val="ListBullet2"/>
      </w:pPr>
      <w:r w:rsidRPr="00135998">
        <w:t xml:space="preserve">being currently employed undertaking the type of work being assessed </w:t>
      </w:r>
    </w:p>
    <w:p w:rsidR="00000000" w:rsidRPr="00135998" w:rsidP="00135998">
      <w:pPr>
        <w:pStyle w:val="ListBullet2"/>
      </w:pPr>
      <w:r w:rsidRPr="00135998">
        <w:t>being employ</w:t>
      </w:r>
      <w:r w:rsidRPr="00135998">
        <w:t xml:space="preserve">ed by the organisation undertaking the type of work being assessed and having maintained currency in accordance with that organisation’s policies and procedures </w:t>
      </w:r>
    </w:p>
    <w:p w:rsidR="00000000" w:rsidRPr="00135998" w:rsidP="00135998">
      <w:pPr>
        <w:pStyle w:val="ListBullet2"/>
      </w:pPr>
      <w:r w:rsidRPr="00135998">
        <w:t xml:space="preserve">having consulted/had contact with an organisation undertaking the type of work being assessed </w:t>
      </w:r>
      <w:r w:rsidRPr="00135998">
        <w:t xml:space="preserve">within the last twelve months, the consultation/contact being related to assessment </w:t>
      </w:r>
    </w:p>
    <w:p w:rsidR="00000000" w:rsidRPr="00135998" w:rsidP="00135998">
      <w:pPr>
        <w:pStyle w:val="ListBullet2"/>
      </w:pPr>
      <w:r w:rsidRPr="00135998">
        <w:t xml:space="preserve">conducting on-the-job training/assessments of the type of work being assessed </w:t>
      </w:r>
    </w:p>
    <w:p w:rsidR="00000000" w:rsidRPr="00135998" w:rsidP="00135998">
      <w:pPr>
        <w:pStyle w:val="ListBullet2"/>
      </w:pPr>
      <w:r w:rsidRPr="00135998">
        <w:t>being an active member of a relevant professional body and participating in activities relev</w:t>
      </w:r>
      <w:r w:rsidRPr="00135998">
        <w:t>ant to the assessment of this type of work.</w:t>
      </w:r>
    </w:p>
    <w:p w:rsidR="00000000" w:rsidRPr="00135998" w:rsidP="00135998">
      <w:pPr>
        <w:pStyle w:val="AllowPageBreak"/>
      </w:pPr>
    </w:p>
    <w:p w:rsidR="00000000" w:rsidRPr="00135998" w:rsidP="00135998">
      <w:pPr>
        <w:pStyle w:val="Heading1"/>
      </w:pPr>
      <w:bookmarkStart w:id="5" w:name="O_909869"/>
      <w:bookmarkEnd w:id="5"/>
      <w:r w:rsidRPr="00135998">
        <w:t>Links</w:t>
      </w:r>
    </w:p>
    <w:p w:rsidR="00000000" w:rsidRPr="00135998" w:rsidP="004C4531">
      <w:pPr>
        <w:pStyle w:val="BodyText"/>
      </w:pPr>
      <w:r w:rsidRPr="00135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9088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35998" w:rsidP="00135998"/>
    <w:sectPr w:rsidSect="00135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98" w:rsidRPr="004C4531" w:rsidP="004C4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31" w:rsidP="00135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531" w:rsidP="00135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4531" w:rsidP="00135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998" w:rsidRPr="004C4531" w:rsidP="004C4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31" w:rsidRPr="002D2AF8" w:rsidP="00135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PMASUP441 Decommission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4531" w:rsidP="00135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25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F89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63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998"/>
  </w:style>
  <w:style w:type="character" w:customStyle="1" w:styleId="Heading1Char">
    <w:name w:val="Heading 1 Char"/>
    <w:basedOn w:val="DefaultParagraphFont"/>
    <w:link w:val="Heading1"/>
    <w:rsid w:val="00135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9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9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998"/>
    <w:rPr>
      <w:b/>
      <w:spacing w:val="0"/>
    </w:rPr>
  </w:style>
  <w:style w:type="paragraph" w:customStyle="1" w:styleId="SuperTitle">
    <w:name w:val="SuperTitle"/>
    <w:basedOn w:val="Title"/>
    <w:rsid w:val="00135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998"/>
    <w:rPr>
      <w:i/>
    </w:rPr>
  </w:style>
  <w:style w:type="paragraph" w:styleId="Caption">
    <w:name w:val="caption"/>
    <w:basedOn w:val="BodyText"/>
    <w:next w:val="Normal"/>
    <w:qFormat/>
    <w:rsid w:val="00135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998"/>
  </w:style>
  <w:style w:type="paragraph" w:styleId="TableofFigures">
    <w:name w:val="table of figures"/>
    <w:basedOn w:val="Normal"/>
    <w:next w:val="Normal"/>
    <w:semiHidden/>
    <w:rsid w:val="00135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998"/>
    <w:rPr>
      <w:rFonts w:ascii="Wingdings" w:hAnsi="Wingdings"/>
    </w:rPr>
  </w:style>
  <w:style w:type="paragraph" w:customStyle="1" w:styleId="TableHeading">
    <w:name w:val="Table Heading"/>
    <w:basedOn w:val="HeadingBase"/>
    <w:rsid w:val="00135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998"/>
    <w:rPr>
      <w:color w:val="0033CC"/>
      <w:u w:val="none"/>
    </w:rPr>
  </w:style>
  <w:style w:type="paragraph" w:customStyle="1" w:styleId="BodyTextRight">
    <w:name w:val="Body Text Right"/>
    <w:basedOn w:val="BodyText"/>
    <w:rsid w:val="00135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998"/>
    <w:rPr>
      <w:sz w:val="32"/>
    </w:rPr>
  </w:style>
  <w:style w:type="paragraph" w:customStyle="1" w:styleId="HeadingProcedure">
    <w:name w:val="Heading Procedure"/>
    <w:basedOn w:val="HeadingBase"/>
    <w:next w:val="Normal"/>
    <w:rsid w:val="00135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998"/>
    <w:pPr>
      <w:spacing w:before="60" w:after="60"/>
    </w:pPr>
  </w:style>
  <w:style w:type="paragraph" w:styleId="ListContinue">
    <w:name w:val="List Continue"/>
    <w:basedOn w:val="List"/>
    <w:rsid w:val="00135998"/>
    <w:pPr>
      <w:ind w:firstLine="0"/>
    </w:pPr>
  </w:style>
  <w:style w:type="paragraph" w:customStyle="1" w:styleId="ListNote">
    <w:name w:val="List Note"/>
    <w:basedOn w:val="List"/>
    <w:rsid w:val="00135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998"/>
    <w:rPr>
      <w:rFonts w:ascii="Courier New" w:hAnsi="Courier New"/>
    </w:rPr>
  </w:style>
  <w:style w:type="paragraph" w:customStyle="1" w:styleId="NoteBullet">
    <w:name w:val="Note Bullet"/>
    <w:basedOn w:val="Note"/>
    <w:rsid w:val="00135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998"/>
    <w:rPr>
      <w:b/>
      <w:smallCaps/>
    </w:rPr>
  </w:style>
  <w:style w:type="paragraph" w:customStyle="1" w:styleId="TableListNumber">
    <w:name w:val="Table List Number"/>
    <w:basedOn w:val="ListNumber"/>
    <w:rsid w:val="00135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998"/>
    <w:pPr>
      <w:numPr>
        <w:numId w:val="9"/>
      </w:numPr>
    </w:pPr>
  </w:style>
  <w:style w:type="paragraph" w:customStyle="1" w:styleId="ListAlpha2">
    <w:name w:val="List Alpha 2"/>
    <w:basedOn w:val="List2"/>
    <w:rsid w:val="00135998"/>
    <w:pPr>
      <w:numPr>
        <w:numId w:val="8"/>
      </w:numPr>
    </w:pPr>
  </w:style>
  <w:style w:type="paragraph" w:styleId="List2">
    <w:name w:val="List 2"/>
    <w:basedOn w:val="BodyText"/>
    <w:rsid w:val="00135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998"/>
    <w:pPr>
      <w:numPr>
        <w:numId w:val="4"/>
      </w:numPr>
    </w:pPr>
  </w:style>
  <w:style w:type="paragraph" w:styleId="ListContinue2">
    <w:name w:val="List Continue 2"/>
    <w:basedOn w:val="List2"/>
    <w:rsid w:val="00135998"/>
    <w:pPr>
      <w:ind w:firstLine="0"/>
    </w:pPr>
  </w:style>
  <w:style w:type="paragraph" w:styleId="ListContinue3">
    <w:name w:val="List Continue 3"/>
    <w:basedOn w:val="List3"/>
    <w:rsid w:val="00135998"/>
    <w:pPr>
      <w:ind w:left="1021" w:firstLine="0"/>
    </w:pPr>
  </w:style>
  <w:style w:type="paragraph" w:styleId="ListContinue4">
    <w:name w:val="List Continue 4"/>
    <w:basedOn w:val="List4"/>
    <w:rsid w:val="00135998"/>
    <w:pPr>
      <w:ind w:firstLine="0"/>
    </w:pPr>
  </w:style>
  <w:style w:type="paragraph" w:styleId="ListContinue5">
    <w:name w:val="List Continue 5"/>
    <w:basedOn w:val="List5"/>
    <w:rsid w:val="00135998"/>
    <w:pPr>
      <w:ind w:firstLine="0"/>
    </w:pPr>
  </w:style>
  <w:style w:type="paragraph" w:styleId="ListNumber3">
    <w:name w:val="List Number 3"/>
    <w:basedOn w:val="List3"/>
    <w:rsid w:val="00135998"/>
    <w:pPr>
      <w:numPr>
        <w:numId w:val="5"/>
      </w:numPr>
    </w:pPr>
  </w:style>
  <w:style w:type="paragraph" w:styleId="ListNumber4">
    <w:name w:val="List Number 4"/>
    <w:basedOn w:val="List4"/>
    <w:rsid w:val="00135998"/>
    <w:pPr>
      <w:numPr>
        <w:numId w:val="6"/>
      </w:numPr>
    </w:pPr>
  </w:style>
  <w:style w:type="paragraph" w:styleId="ListNumber5">
    <w:name w:val="List Number 5"/>
    <w:basedOn w:val="List5"/>
    <w:rsid w:val="00135998"/>
    <w:pPr>
      <w:numPr>
        <w:numId w:val="7"/>
      </w:numPr>
    </w:pPr>
  </w:style>
  <w:style w:type="paragraph" w:styleId="BlockText">
    <w:name w:val="Block Text"/>
    <w:basedOn w:val="Normal"/>
    <w:rsid w:val="00135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998"/>
    <w:rPr>
      <w:sz w:val="16"/>
      <w:vertAlign w:val="superscript"/>
    </w:rPr>
  </w:style>
  <w:style w:type="character" w:customStyle="1" w:styleId="Symbols">
    <w:name w:val="Symbols"/>
    <w:basedOn w:val="DefaultParagraphFont"/>
    <w:rsid w:val="00135998"/>
    <w:rPr>
      <w:rFonts w:ascii="Symbol" w:hAnsi="Symbol"/>
    </w:rPr>
  </w:style>
  <w:style w:type="character" w:customStyle="1" w:styleId="MenuOptions">
    <w:name w:val="Menu Options"/>
    <w:basedOn w:val="DefaultParagraphFont"/>
    <w:rsid w:val="00135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998"/>
    <w:rPr>
      <w:b/>
    </w:rPr>
  </w:style>
  <w:style w:type="character" w:customStyle="1" w:styleId="Underlined">
    <w:name w:val="Underlined"/>
    <w:basedOn w:val="DefaultParagraphFont"/>
    <w:rsid w:val="00135998"/>
    <w:rPr>
      <w:u w:val="single"/>
    </w:rPr>
  </w:style>
  <w:style w:type="paragraph" w:customStyle="1" w:styleId="TableBodyTextRight">
    <w:name w:val="Table Body Text Right"/>
    <w:basedOn w:val="TableBodyText"/>
    <w:rsid w:val="00135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998"/>
    <w:rPr>
      <w:sz w:val="18"/>
    </w:rPr>
  </w:style>
  <w:style w:type="paragraph" w:customStyle="1" w:styleId="BodySmallRight">
    <w:name w:val="Body Small Right"/>
    <w:basedOn w:val="BodyTextRight"/>
    <w:rsid w:val="00135998"/>
    <w:rPr>
      <w:sz w:val="18"/>
      <w:szCs w:val="18"/>
    </w:rPr>
  </w:style>
  <w:style w:type="paragraph" w:customStyle="1" w:styleId="MarginEdition">
    <w:name w:val="Margin Edition"/>
    <w:basedOn w:val="MarginNote"/>
    <w:rsid w:val="00135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998"/>
    <w:rPr>
      <w:sz w:val="2"/>
      <w:szCs w:val="2"/>
    </w:rPr>
  </w:style>
  <w:style w:type="character" w:customStyle="1" w:styleId="Small">
    <w:name w:val="Small"/>
    <w:basedOn w:val="DefaultParagraphFont"/>
    <w:rsid w:val="00135998"/>
    <w:rPr>
      <w:sz w:val="16"/>
    </w:rPr>
  </w:style>
  <w:style w:type="paragraph" w:customStyle="1" w:styleId="WideTable">
    <w:name w:val="Wide Table"/>
    <w:basedOn w:val="Normal"/>
    <w:rsid w:val="00135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998"/>
  </w:style>
  <w:style w:type="paragraph" w:styleId="Quote">
    <w:name w:val="Quote"/>
    <w:basedOn w:val="Heading1"/>
    <w:link w:val="QuoteChar"/>
    <w:qFormat/>
    <w:rsid w:val="00135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998"/>
    <w:pPr>
      <w:pageBreakBefore/>
    </w:pPr>
  </w:style>
  <w:style w:type="paragraph" w:customStyle="1" w:styleId="Border">
    <w:name w:val="Border"/>
    <w:basedOn w:val="Normal"/>
    <w:qFormat/>
    <w:rsid w:val="00135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998"/>
    <w:rPr>
      <w:u w:val="single"/>
    </w:rPr>
  </w:style>
  <w:style w:type="character" w:customStyle="1" w:styleId="BoldandItalics">
    <w:name w:val="Bold and Italics"/>
    <w:qFormat/>
    <w:rsid w:val="00135998"/>
    <w:rPr>
      <w:b/>
      <w:i/>
      <w:u w:val="none"/>
    </w:rPr>
  </w:style>
  <w:style w:type="paragraph" w:styleId="BalloonText">
    <w:name w:val="Balloon Text"/>
    <w:basedOn w:val="Normal"/>
    <w:link w:val="BalloonTextChar"/>
    <w:rsid w:val="00135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998"/>
    <w:pPr>
      <w:spacing w:before="0" w:after="0"/>
    </w:pPr>
  </w:style>
  <w:style w:type="paragraph" w:customStyle="1" w:styleId="BodyTextBold">
    <w:name w:val="Body Text Bold"/>
    <w:basedOn w:val="BodyText"/>
    <w:qFormat/>
    <w:rsid w:val="00135998"/>
    <w:rPr>
      <w:b/>
    </w:rPr>
  </w:style>
  <w:style w:type="character" w:styleId="Hyperlink">
    <w:name w:val="Hyperlink"/>
    <w:basedOn w:val="DefaultParagraphFont"/>
    <w:uiPriority w:val="99"/>
    <w:unhideWhenUsed/>
    <w:rsid w:val="004C4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4885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PMASUP441 Decommission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