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FCA" w:rsidP="00065F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PMASUP420 Minimise environmental impact of process</w:t>
      </w:r>
      <w:r>
        <w:fldChar w:fldCharType="end"/>
      </w:r>
    </w:p>
    <w:p w:rsidR="00065FCA" w:rsidP="00065FCA">
      <w:pPr>
        <w:pStyle w:val="Version"/>
        <w:sectPr w:rsidSect="00D719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93F" w:rsidP="00D7193F">
      <w:pPr>
        <w:pStyle w:val="SuperHeading"/>
      </w:pPr>
      <w:r w:rsidRPr="00D7193F">
        <w:t>Assessment Requirements for PMASUP420 Minimise environmental impact of process</w:t>
      </w:r>
    </w:p>
    <w:p w:rsidR="00000000" w:rsidRPr="00D7193F" w:rsidP="00D7193F">
      <w:pPr>
        <w:pStyle w:val="Heading1"/>
      </w:pPr>
      <w:bookmarkStart w:id="1" w:name="O_909813"/>
      <w:bookmarkEnd w:id="1"/>
      <w:r w:rsidRPr="00D7193F">
        <w:t>Modification History</w:t>
      </w:r>
    </w:p>
    <w:p w:rsidR="00000000" w:rsidRPr="00D7193F" w:rsidP="00065FCA">
      <w:pPr>
        <w:pStyle w:val="BodyText"/>
      </w:pPr>
      <w:r w:rsidRPr="00D7193F">
        <w:t>Release 1. Supersedes and is equivalent to PMASUP420B Minimise environmental impact of process</w:t>
      </w:r>
    </w:p>
    <w:p w:rsidR="00000000" w:rsidRPr="00D7193F" w:rsidP="00D7193F">
      <w:pPr>
        <w:pStyle w:val="Heading1"/>
      </w:pPr>
      <w:bookmarkStart w:id="2" w:name="O_909816"/>
      <w:bookmarkEnd w:id="2"/>
      <w:r w:rsidRPr="00D7193F">
        <w:t>Performance Evidence</w:t>
      </w:r>
    </w:p>
    <w:p w:rsidR="00000000" w:rsidRPr="00D7193F" w:rsidP="00065FCA">
      <w:pPr>
        <w:pStyle w:val="BodyText"/>
      </w:pPr>
      <w:r w:rsidRPr="00D7193F">
        <w:t>Evidence required to demonstrate competence in this unit must be relevant to and satisfy the requirements of the elements and performance criteria, and include the ability to:</w:t>
      </w:r>
    </w:p>
    <w:p w:rsidR="00000000" w:rsidRPr="00D7193F" w:rsidP="00D7193F">
      <w:pPr>
        <w:pStyle w:val="ListBullet"/>
      </w:pPr>
      <w:r w:rsidRPr="00D7193F">
        <w:t>examine plant records, data and operating procedures and practices to determine</w:t>
      </w:r>
      <w:r w:rsidRPr="00D7193F">
        <w:t xml:space="preserve"> options for: </w:t>
      </w:r>
    </w:p>
    <w:p w:rsidR="00000000" w:rsidRPr="00D7193F" w:rsidP="00D7193F">
      <w:pPr>
        <w:pStyle w:val="ListBullet2"/>
      </w:pPr>
      <w:r w:rsidRPr="00D7193F">
        <w:t>maximisation of product yield from raw materials</w:t>
      </w:r>
    </w:p>
    <w:p w:rsidR="00000000" w:rsidRPr="00D7193F" w:rsidP="00D7193F">
      <w:pPr>
        <w:pStyle w:val="ListBullet2"/>
      </w:pPr>
      <w:r w:rsidRPr="00D7193F">
        <w:t xml:space="preserve">reduction in volume of pollutants made and/or reduction in concentration/intensity of pollutants made and/or reduction in emissions </w:t>
      </w:r>
    </w:p>
    <w:p w:rsidR="00000000" w:rsidRPr="00D7193F" w:rsidP="00D7193F">
      <w:pPr>
        <w:pStyle w:val="ListBullet2"/>
      </w:pPr>
      <w:r w:rsidRPr="00D7193F">
        <w:t>minimisation of wastes</w:t>
      </w:r>
    </w:p>
    <w:p w:rsidR="00000000" w:rsidRPr="00D7193F" w:rsidP="00D7193F">
      <w:pPr>
        <w:pStyle w:val="ListBullet"/>
      </w:pPr>
      <w:r w:rsidRPr="00D7193F">
        <w:t>determine relative benefits of the</w:t>
      </w:r>
      <w:r w:rsidRPr="00D7193F">
        <w:t xml:space="preserve"> options and develop processes/procedures to achieve preferred options</w:t>
      </w:r>
    </w:p>
    <w:p w:rsidR="00000000" w:rsidRPr="00D7193F" w:rsidP="00D7193F">
      <w:pPr>
        <w:pStyle w:val="ListBullet"/>
      </w:pPr>
      <w:r w:rsidRPr="00D7193F">
        <w:t>document preferred options and complete written and/or electronic records.</w:t>
      </w:r>
    </w:p>
    <w:p w:rsidR="00000000" w:rsidRPr="00D7193F" w:rsidP="00D7193F">
      <w:pPr>
        <w:pStyle w:val="AllowPageBreak"/>
      </w:pPr>
    </w:p>
    <w:p w:rsidR="00000000" w:rsidRPr="00D7193F" w:rsidP="00D7193F">
      <w:pPr>
        <w:pStyle w:val="Heading1"/>
      </w:pPr>
      <w:bookmarkStart w:id="3" w:name="O_909815"/>
      <w:bookmarkEnd w:id="3"/>
      <w:r w:rsidRPr="00D7193F">
        <w:t>Knowledge Evidence</w:t>
      </w:r>
    </w:p>
    <w:p w:rsidR="00000000" w:rsidRPr="00D7193F" w:rsidP="00065FCA">
      <w:pPr>
        <w:pStyle w:val="BodyText"/>
      </w:pPr>
      <w:r w:rsidRPr="00D7193F">
        <w:t>Evidence must be provided that demonstrates knowledge of:</w:t>
      </w:r>
    </w:p>
    <w:p w:rsidR="00000000" w:rsidRPr="00D7193F" w:rsidP="00D7193F">
      <w:pPr>
        <w:pStyle w:val="ListBullet"/>
      </w:pPr>
      <w:r w:rsidRPr="00D7193F">
        <w:t>resources used by the plant and the impact on the environment and society of using resources</w:t>
      </w:r>
    </w:p>
    <w:p w:rsidR="00000000" w:rsidRPr="00D7193F" w:rsidP="00D7193F">
      <w:pPr>
        <w:pStyle w:val="ListBullet"/>
      </w:pPr>
      <w:r w:rsidRPr="00D7193F">
        <w:t xml:space="preserve">nature and source of pollutants and waste materials produced by the plant </w:t>
      </w:r>
    </w:p>
    <w:p w:rsidR="00000000" w:rsidRPr="00D7193F" w:rsidP="00D7193F">
      <w:pPr>
        <w:pStyle w:val="ListBullet"/>
      </w:pPr>
      <w:r w:rsidRPr="00D7193F">
        <w:t>nature and severity of the effect the pollutants and waste materials can have on the env</w:t>
      </w:r>
      <w:r w:rsidRPr="00D7193F">
        <w:t>ironment and society</w:t>
      </w:r>
    </w:p>
    <w:p w:rsidR="00000000" w:rsidRPr="00D7193F" w:rsidP="00D7193F">
      <w:pPr>
        <w:pStyle w:val="ListBullet"/>
      </w:pPr>
      <w:r w:rsidRPr="00D7193F">
        <w:t>types of local conditions that can make environmental threats more ‘sensitive’</w:t>
      </w:r>
    </w:p>
    <w:p w:rsidR="00000000" w:rsidRPr="00D7193F" w:rsidP="00D7193F">
      <w:pPr>
        <w:pStyle w:val="ListBullet"/>
      </w:pPr>
      <w:r w:rsidRPr="00D7193F">
        <w:t xml:space="preserve">pathways of entry to the environment from the plant </w:t>
      </w:r>
    </w:p>
    <w:p w:rsidR="00000000" w:rsidRPr="00D7193F" w:rsidP="00D7193F">
      <w:pPr>
        <w:pStyle w:val="ListBullet"/>
      </w:pPr>
      <w:r w:rsidRPr="00D7193F">
        <w:t>process parameters and limits</w:t>
      </w:r>
    </w:p>
    <w:p w:rsidR="00000000" w:rsidRPr="00D7193F" w:rsidP="00D7193F">
      <w:pPr>
        <w:pStyle w:val="ListBullet"/>
      </w:pPr>
      <w:r w:rsidRPr="00D7193F">
        <w:t>product specifications and tolerances</w:t>
      </w:r>
    </w:p>
    <w:p w:rsidR="00000000" w:rsidRPr="00D7193F" w:rsidP="00D7193F">
      <w:pPr>
        <w:pStyle w:val="ListBullet"/>
      </w:pPr>
      <w:r w:rsidRPr="00D7193F">
        <w:t>principles of operation of plant/eq</w:t>
      </w:r>
      <w:r w:rsidRPr="00D7193F">
        <w:t xml:space="preserve">uipment </w:t>
      </w:r>
    </w:p>
    <w:p w:rsidR="00000000" w:rsidRPr="00D7193F" w:rsidP="00D7193F">
      <w:pPr>
        <w:pStyle w:val="ListBullet"/>
      </w:pPr>
      <w:r w:rsidRPr="00D7193F">
        <w:t>science (e.g. physics, chemistry and biochemistry) relevant to the process, its materials and eco impacts</w:t>
      </w:r>
    </w:p>
    <w:p w:rsidR="00000000" w:rsidRPr="00D7193F" w:rsidP="00D7193F">
      <w:pPr>
        <w:pStyle w:val="ListBullet"/>
      </w:pPr>
      <w:r w:rsidRPr="00D7193F">
        <w:t>regulatory framework</w:t>
      </w:r>
    </w:p>
    <w:p w:rsidR="00000000" w:rsidRPr="00D7193F" w:rsidP="00D7193F">
      <w:pPr>
        <w:pStyle w:val="ListBullet"/>
      </w:pPr>
      <w:r w:rsidRPr="00D7193F">
        <w:t>organisation procedures, including those covering:</w:t>
      </w:r>
    </w:p>
    <w:p w:rsidR="00000000" w:rsidRPr="00D7193F" w:rsidP="00D7193F">
      <w:pPr>
        <w:pStyle w:val="ListBullet2"/>
      </w:pPr>
      <w:r w:rsidRPr="00D7193F">
        <w:t>environmental management</w:t>
      </w:r>
    </w:p>
    <w:p w:rsidR="00000000" w:rsidRPr="00D7193F" w:rsidP="00D7193F">
      <w:pPr>
        <w:pStyle w:val="ListBullet2"/>
      </w:pPr>
      <w:r w:rsidRPr="00D7193F">
        <w:t>safety, emergency and hazard control</w:t>
      </w:r>
    </w:p>
    <w:p w:rsidR="00000000" w:rsidRPr="00D7193F" w:rsidP="00D7193F">
      <w:pPr>
        <w:pStyle w:val="ListBullet2"/>
      </w:pPr>
      <w:r w:rsidRPr="00D7193F">
        <w:t>procurement.</w:t>
      </w:r>
    </w:p>
    <w:p w:rsidR="00000000" w:rsidRPr="00D7193F" w:rsidP="00D7193F">
      <w:pPr>
        <w:pStyle w:val="AllowPageBreak"/>
      </w:pPr>
    </w:p>
    <w:p w:rsidR="00000000" w:rsidRPr="00D7193F" w:rsidP="00D7193F">
      <w:pPr>
        <w:pStyle w:val="Heading1"/>
      </w:pPr>
      <w:bookmarkStart w:id="4" w:name="O_909814"/>
      <w:bookmarkEnd w:id="4"/>
      <w:r w:rsidRPr="00D7193F">
        <w:t>Assessment Conditions</w:t>
      </w:r>
    </w:p>
    <w:p w:rsidR="00000000" w:rsidRPr="00D7193F" w:rsidP="00D7193F">
      <w:pPr>
        <w:pStyle w:val="ListBullet"/>
      </w:pPr>
      <w:r w:rsidRPr="00D7193F">
        <w:t xml:space="preserve">The unit should be assessed holistically and the judgement of competence based on a holistic assessment of the evidence. </w:t>
      </w:r>
    </w:p>
    <w:p w:rsidR="00000000" w:rsidRPr="00D7193F" w:rsidP="00D7193F">
      <w:pPr>
        <w:pStyle w:val="ListBullet"/>
      </w:pPr>
      <w:r w:rsidRPr="00D7193F">
        <w:t>The collection of performance evidence is best done from a report and/or folio of</w:t>
      </w:r>
      <w:r w:rsidRPr="00D7193F">
        <w:t xml:space="preserve"> evidence drawn from:</w:t>
      </w:r>
    </w:p>
    <w:p w:rsidR="00000000" w:rsidRPr="00D7193F" w:rsidP="00D7193F">
      <w:pPr>
        <w:pStyle w:val="ListBullet2"/>
      </w:pPr>
      <w:r w:rsidRPr="00D7193F">
        <w:t>a single project which provides sufficient evidence of the requirements of all the elements and performance criteria</w:t>
      </w:r>
    </w:p>
    <w:p w:rsidR="00000000" w:rsidRPr="00D7193F" w:rsidP="00D7193F">
      <w:pPr>
        <w:pStyle w:val="ListBullet2"/>
      </w:pPr>
      <w:r w:rsidRPr="00D7193F">
        <w:t>multiple smaller projects which together provide sufficient evidence of the requirements of all the elements and per</w:t>
      </w:r>
      <w:r w:rsidRPr="00D7193F">
        <w:t>formance criteria.</w:t>
      </w:r>
    </w:p>
    <w:p w:rsidR="00000000" w:rsidRPr="00D7193F" w:rsidP="00D7193F">
      <w:pPr>
        <w:pStyle w:val="ListBullet"/>
      </w:pPr>
      <w:r w:rsidRPr="00D7193F">
        <w:t>A third-party report, or similar, may be needed to testify to the work done by the individual, particularly when the project has been done as part of a project team.</w:t>
      </w:r>
    </w:p>
    <w:p w:rsidR="00000000" w:rsidRPr="00D7193F" w:rsidP="00D7193F">
      <w:pPr>
        <w:pStyle w:val="ListBullet"/>
      </w:pPr>
      <w:r w:rsidRPr="00D7193F">
        <w:t>Assessment should use a real project in an operational workplace. Wher</w:t>
      </w:r>
      <w:r w:rsidRPr="00D7193F">
        <w:t xml:space="preserve">e this is not possible or practical, assessment must occur using a sufficiently rigorous simulated environment reflecting realistic operational workplace conditions. This must cover all aspects of workplace performance, including environment, task skills, </w:t>
      </w:r>
      <w:r w:rsidRPr="00D7193F">
        <w:t>task management skills, contingency management skills and job role environment skills.</w:t>
      </w:r>
    </w:p>
    <w:p w:rsidR="00000000" w:rsidRPr="00D7193F" w:rsidP="00D7193F">
      <w:pPr>
        <w:pStyle w:val="ListBullet"/>
      </w:pPr>
      <w:r w:rsidRPr="00D7193F">
        <w:t>Knowledge evidence may be collected concurrently with performance evidence or through an independent process, such as workbooks, written assessments or interviews (provi</w:t>
      </w:r>
      <w:r w:rsidRPr="00D7193F">
        <w:t>ded a record is kept).</w:t>
      </w:r>
    </w:p>
    <w:p w:rsidR="00000000" w:rsidRPr="00D7193F" w:rsidP="00D7193F">
      <w:pPr>
        <w:pStyle w:val="ListBullet"/>
      </w:pPr>
      <w:r w:rsidRPr="00D7193F">
        <w:t>Assessment processes and techniques must be appropriate to the language, literacy and numeracy requirements of the work being performed and the needs of the candidate.</w:t>
      </w:r>
    </w:p>
    <w:p w:rsidR="00000000" w:rsidRPr="00D7193F" w:rsidP="00D7193F">
      <w:pPr>
        <w:pStyle w:val="ListBullet"/>
      </w:pPr>
      <w:r w:rsidRPr="00D7193F">
        <w:t>Conditions for assessment must include access to all tools, equip</w:t>
      </w:r>
      <w:r w:rsidRPr="00D7193F">
        <w:t>ment, materials and documentation required, including relevant workplace procedures, product and manufacturing specifications associated with this unit.</w:t>
      </w:r>
    </w:p>
    <w:p w:rsidR="00000000" w:rsidRPr="00D7193F" w:rsidP="00D7193F">
      <w:pPr>
        <w:pStyle w:val="ListBullet"/>
      </w:pPr>
      <w:r w:rsidRPr="00D7193F">
        <w:t xml:space="preserve">The regulatory framework will be reflected in workplace policies and procedures and is not required to </w:t>
      </w:r>
      <w:r w:rsidRPr="00D7193F">
        <w:t>be independently assessed.</w:t>
      </w:r>
    </w:p>
    <w:p w:rsidR="00000000" w:rsidRPr="00D7193F" w:rsidP="00D7193F">
      <w:pPr>
        <w:pStyle w:val="ListBullet"/>
      </w:pPr>
      <w:r w:rsidRPr="00D7193F">
        <w:t>Foundation skills are integral to competent performance of the unit and should not be assessed separately.</w:t>
      </w:r>
    </w:p>
    <w:p w:rsidR="00000000" w:rsidRPr="00D7193F" w:rsidP="00D7193F">
      <w:pPr>
        <w:pStyle w:val="ListBullet"/>
      </w:pPr>
      <w:r w:rsidRPr="00D7193F">
        <w:t xml:space="preserve">Assessors must satisfy the assessor competency requirements that are in place at the </w:t>
      </w:r>
      <w:r w:rsidRPr="00D7193F">
        <w:t>time of the assessment as set by the VET regulator.</w:t>
      </w:r>
    </w:p>
    <w:p w:rsidR="00000000" w:rsidRPr="00D7193F" w:rsidP="00D7193F">
      <w:pPr>
        <w:pStyle w:val="ListBullet"/>
      </w:pPr>
      <w:r w:rsidRPr="00D7193F">
        <w:t xml:space="preserve">In addition, the assessor or anyone acting in subject matter expert role in assessment must demonstrate both technical competency and currency. If the assessor cannot demonstrate technical competency and </w:t>
      </w:r>
      <w:r w:rsidRPr="00D7193F">
        <w:t xml:space="preserve">currency they must assess with a subject matter expert who does meet these requirements. </w:t>
      </w:r>
    </w:p>
    <w:p w:rsidR="00000000" w:rsidRPr="00D7193F" w:rsidP="00D7193F">
      <w:pPr>
        <w:pStyle w:val="ListBullet"/>
      </w:pPr>
      <w:r w:rsidRPr="00D7193F">
        <w:t>Technical competence can be demonstrated through one or more of:</w:t>
      </w:r>
    </w:p>
    <w:p w:rsidR="00000000" w:rsidRPr="00D7193F" w:rsidP="00D7193F">
      <w:pPr>
        <w:pStyle w:val="ListBullet2"/>
      </w:pPr>
      <w:r w:rsidRPr="00D7193F">
        <w:t xml:space="preserve">relevant VET or other qualification/Statement of Attainment </w:t>
      </w:r>
    </w:p>
    <w:p w:rsidR="00000000" w:rsidRPr="00D7193F" w:rsidP="00D7193F">
      <w:pPr>
        <w:pStyle w:val="ListBullet2"/>
      </w:pPr>
      <w:r w:rsidRPr="00D7193F">
        <w:t>appropriate workplace experience undert</w:t>
      </w:r>
      <w:r w:rsidRPr="00D7193F">
        <w:t xml:space="preserve">aking the type of work being assessed under routine and non-routine conditions </w:t>
      </w:r>
    </w:p>
    <w:p w:rsidR="00000000" w:rsidRPr="00D7193F" w:rsidP="00D7193F">
      <w:pPr>
        <w:pStyle w:val="ListBullet2"/>
      </w:pPr>
      <w:r w:rsidRPr="00D7193F">
        <w:t>appropriate workplace experience supervising/evaluating the type of work being assessed under routine and non-routine conditions</w:t>
      </w:r>
    </w:p>
    <w:p w:rsidR="00000000" w:rsidRPr="00D7193F" w:rsidP="00D7193F">
      <w:pPr>
        <w:pStyle w:val="ListBullet"/>
      </w:pPr>
      <w:r w:rsidRPr="00D7193F">
        <w:t>Currency can be demonstrated through one or mo</w:t>
      </w:r>
      <w:r w:rsidRPr="00D7193F">
        <w:t>re of:</w:t>
      </w:r>
    </w:p>
    <w:p w:rsidR="00000000" w:rsidRPr="00D7193F" w:rsidP="00D7193F">
      <w:pPr>
        <w:pStyle w:val="ListBullet2"/>
      </w:pPr>
      <w:r w:rsidRPr="00D7193F">
        <w:t xml:space="preserve">being currently employed undertaking the type of work being assessed </w:t>
      </w:r>
    </w:p>
    <w:p w:rsidR="00000000" w:rsidRPr="00D7193F" w:rsidP="00D7193F">
      <w:pPr>
        <w:pStyle w:val="ListBullet2"/>
      </w:pPr>
      <w:r w:rsidRPr="00D7193F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D7193F" w:rsidP="00D7193F">
      <w:pPr>
        <w:pStyle w:val="ListBullet2"/>
      </w:pPr>
      <w:r w:rsidRPr="00D7193F">
        <w:t>havi</w:t>
      </w:r>
      <w:r w:rsidRPr="00D7193F">
        <w:t xml:space="preserve">ng consulted/had contact with an organisation undertaking the type of work being assessed within the last twelve months, the consultation/contact being related to assessment </w:t>
      </w:r>
    </w:p>
    <w:p w:rsidR="00000000" w:rsidRPr="00D7193F" w:rsidP="00D7193F">
      <w:pPr>
        <w:pStyle w:val="ListBullet2"/>
      </w:pPr>
      <w:r w:rsidRPr="00D7193F">
        <w:t xml:space="preserve">conducting on-the-job training/assessments of the type of work being assessed </w:t>
      </w:r>
    </w:p>
    <w:p w:rsidR="00000000" w:rsidRPr="00D7193F" w:rsidP="00D7193F">
      <w:pPr>
        <w:pStyle w:val="ListBullet2"/>
      </w:pPr>
      <w:r w:rsidRPr="00D7193F">
        <w:t>be</w:t>
      </w:r>
      <w:r w:rsidRPr="00D7193F">
        <w:t>ing an active member of a relevant professional body and participating in activities relevant to the assessment of this type of work.</w:t>
      </w:r>
    </w:p>
    <w:p w:rsidR="00000000" w:rsidRPr="00D7193F" w:rsidP="00D7193F">
      <w:pPr>
        <w:pStyle w:val="AllowPageBreak"/>
      </w:pPr>
    </w:p>
    <w:p w:rsidR="00000000" w:rsidRPr="00D7193F" w:rsidP="00D7193F">
      <w:pPr>
        <w:pStyle w:val="Heading1"/>
      </w:pPr>
      <w:bookmarkStart w:id="5" w:name="O_909812"/>
      <w:bookmarkEnd w:id="5"/>
      <w:r w:rsidRPr="00D7193F">
        <w:t>Links</w:t>
      </w:r>
    </w:p>
    <w:p w:rsidR="00000000" w:rsidRPr="00D7193F" w:rsidP="00065FCA">
      <w:pPr>
        <w:pStyle w:val="BodyText"/>
      </w:pPr>
      <w:r w:rsidRPr="00D719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305F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7193F" w:rsidP="00D7193F"/>
    <w:sectPr w:rsidSect="00D719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3F" w:rsidRPr="00065FCA" w:rsidP="00065F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CA" w:rsidP="00D719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5FCA" w:rsidP="00D719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5FCA" w:rsidP="00D719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93F" w:rsidRPr="00065FCA" w:rsidP="00065F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CA" w:rsidRPr="002D2AF8" w:rsidP="00D719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PMASUP420 Minimise environmental impact of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65FCA" w:rsidP="00D719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8EC5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8E6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266B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9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9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9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9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9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9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9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9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9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9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9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93F"/>
  </w:style>
  <w:style w:type="character" w:customStyle="1" w:styleId="Heading1Char">
    <w:name w:val="Heading 1 Char"/>
    <w:basedOn w:val="DefaultParagraphFont"/>
    <w:link w:val="Heading1"/>
    <w:rsid w:val="00D719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9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9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9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19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19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9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9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9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9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9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9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9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9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9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9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9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9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9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9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9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9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9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193F"/>
    <w:rPr>
      <w:b/>
      <w:spacing w:val="0"/>
    </w:rPr>
  </w:style>
  <w:style w:type="paragraph" w:customStyle="1" w:styleId="SuperTitle">
    <w:name w:val="SuperTitle"/>
    <w:basedOn w:val="Title"/>
    <w:rsid w:val="00D719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9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9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19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9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9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9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9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9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9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9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9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93F"/>
    <w:rPr>
      <w:i/>
    </w:rPr>
  </w:style>
  <w:style w:type="paragraph" w:styleId="Caption">
    <w:name w:val="caption"/>
    <w:basedOn w:val="BodyText"/>
    <w:next w:val="Normal"/>
    <w:qFormat/>
    <w:rsid w:val="00D719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9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9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93F"/>
  </w:style>
  <w:style w:type="paragraph" w:styleId="TableofFigures">
    <w:name w:val="table of figures"/>
    <w:basedOn w:val="Normal"/>
    <w:next w:val="Normal"/>
    <w:semiHidden/>
    <w:rsid w:val="00D719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9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193F"/>
    <w:rPr>
      <w:rFonts w:ascii="Wingdings" w:hAnsi="Wingdings"/>
    </w:rPr>
  </w:style>
  <w:style w:type="paragraph" w:customStyle="1" w:styleId="TableHeading">
    <w:name w:val="Table Heading"/>
    <w:basedOn w:val="HeadingBase"/>
    <w:rsid w:val="00D719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93F"/>
    <w:rPr>
      <w:color w:val="0033CC"/>
      <w:u w:val="none"/>
    </w:rPr>
  </w:style>
  <w:style w:type="paragraph" w:customStyle="1" w:styleId="BodyTextRight">
    <w:name w:val="Body Text Right"/>
    <w:basedOn w:val="BodyText"/>
    <w:rsid w:val="00D719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9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9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9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9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9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93F"/>
    <w:rPr>
      <w:sz w:val="32"/>
    </w:rPr>
  </w:style>
  <w:style w:type="paragraph" w:customStyle="1" w:styleId="HeadingProcedure">
    <w:name w:val="Heading Procedure"/>
    <w:basedOn w:val="HeadingBase"/>
    <w:next w:val="Normal"/>
    <w:rsid w:val="00D719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93F"/>
    <w:pPr>
      <w:spacing w:before="60" w:after="60"/>
    </w:pPr>
  </w:style>
  <w:style w:type="paragraph" w:styleId="ListContinue">
    <w:name w:val="List Continue"/>
    <w:basedOn w:val="List"/>
    <w:rsid w:val="00D7193F"/>
    <w:pPr>
      <w:ind w:firstLine="0"/>
    </w:pPr>
  </w:style>
  <w:style w:type="paragraph" w:customStyle="1" w:styleId="ListNote">
    <w:name w:val="List Note"/>
    <w:basedOn w:val="List"/>
    <w:rsid w:val="00D719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9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9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93F"/>
    <w:rPr>
      <w:rFonts w:ascii="Courier New" w:hAnsi="Courier New"/>
    </w:rPr>
  </w:style>
  <w:style w:type="paragraph" w:customStyle="1" w:styleId="NoteBullet">
    <w:name w:val="Note Bullet"/>
    <w:basedOn w:val="Note"/>
    <w:rsid w:val="00D719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9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9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9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9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19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9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93F"/>
    <w:rPr>
      <w:b/>
      <w:smallCaps/>
    </w:rPr>
  </w:style>
  <w:style w:type="paragraph" w:customStyle="1" w:styleId="TableListNumber">
    <w:name w:val="Table List Number"/>
    <w:basedOn w:val="ListNumber"/>
    <w:rsid w:val="00D719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9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93F"/>
    <w:pPr>
      <w:numPr>
        <w:numId w:val="9"/>
      </w:numPr>
    </w:pPr>
  </w:style>
  <w:style w:type="paragraph" w:customStyle="1" w:styleId="ListAlpha2">
    <w:name w:val="List Alpha 2"/>
    <w:basedOn w:val="List2"/>
    <w:rsid w:val="00D7193F"/>
    <w:pPr>
      <w:numPr>
        <w:numId w:val="8"/>
      </w:numPr>
    </w:pPr>
  </w:style>
  <w:style w:type="paragraph" w:styleId="List2">
    <w:name w:val="List 2"/>
    <w:basedOn w:val="BodyText"/>
    <w:rsid w:val="00D719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9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9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9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9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9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193F"/>
    <w:pPr>
      <w:numPr>
        <w:numId w:val="4"/>
      </w:numPr>
    </w:pPr>
  </w:style>
  <w:style w:type="paragraph" w:styleId="ListContinue2">
    <w:name w:val="List Continue 2"/>
    <w:basedOn w:val="List2"/>
    <w:rsid w:val="00D7193F"/>
    <w:pPr>
      <w:ind w:firstLine="0"/>
    </w:pPr>
  </w:style>
  <w:style w:type="paragraph" w:styleId="ListContinue3">
    <w:name w:val="List Continue 3"/>
    <w:basedOn w:val="List3"/>
    <w:rsid w:val="00D7193F"/>
    <w:pPr>
      <w:ind w:left="1021" w:firstLine="0"/>
    </w:pPr>
  </w:style>
  <w:style w:type="paragraph" w:styleId="ListContinue4">
    <w:name w:val="List Continue 4"/>
    <w:basedOn w:val="List4"/>
    <w:rsid w:val="00D7193F"/>
    <w:pPr>
      <w:ind w:firstLine="0"/>
    </w:pPr>
  </w:style>
  <w:style w:type="paragraph" w:styleId="ListContinue5">
    <w:name w:val="List Continue 5"/>
    <w:basedOn w:val="List5"/>
    <w:rsid w:val="00D7193F"/>
    <w:pPr>
      <w:ind w:firstLine="0"/>
    </w:pPr>
  </w:style>
  <w:style w:type="paragraph" w:styleId="ListNumber3">
    <w:name w:val="List Number 3"/>
    <w:basedOn w:val="List3"/>
    <w:rsid w:val="00D7193F"/>
    <w:pPr>
      <w:numPr>
        <w:numId w:val="5"/>
      </w:numPr>
    </w:pPr>
  </w:style>
  <w:style w:type="paragraph" w:styleId="ListNumber4">
    <w:name w:val="List Number 4"/>
    <w:basedOn w:val="List4"/>
    <w:rsid w:val="00D7193F"/>
    <w:pPr>
      <w:numPr>
        <w:numId w:val="6"/>
      </w:numPr>
    </w:pPr>
  </w:style>
  <w:style w:type="paragraph" w:styleId="ListNumber5">
    <w:name w:val="List Number 5"/>
    <w:basedOn w:val="List5"/>
    <w:rsid w:val="00D7193F"/>
    <w:pPr>
      <w:numPr>
        <w:numId w:val="7"/>
      </w:numPr>
    </w:pPr>
  </w:style>
  <w:style w:type="paragraph" w:styleId="BlockText">
    <w:name w:val="Block Text"/>
    <w:basedOn w:val="Normal"/>
    <w:rsid w:val="00D719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9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93F"/>
    <w:rPr>
      <w:sz w:val="16"/>
      <w:vertAlign w:val="superscript"/>
    </w:rPr>
  </w:style>
  <w:style w:type="character" w:customStyle="1" w:styleId="Symbols">
    <w:name w:val="Symbols"/>
    <w:basedOn w:val="DefaultParagraphFont"/>
    <w:rsid w:val="00D7193F"/>
    <w:rPr>
      <w:rFonts w:ascii="Symbol" w:hAnsi="Symbol"/>
    </w:rPr>
  </w:style>
  <w:style w:type="character" w:customStyle="1" w:styleId="MenuOptions">
    <w:name w:val="Menu Options"/>
    <w:basedOn w:val="DefaultParagraphFont"/>
    <w:rsid w:val="00D719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93F"/>
    <w:rPr>
      <w:b/>
    </w:rPr>
  </w:style>
  <w:style w:type="character" w:customStyle="1" w:styleId="Underlined">
    <w:name w:val="Underlined"/>
    <w:basedOn w:val="DefaultParagraphFont"/>
    <w:rsid w:val="00D7193F"/>
    <w:rPr>
      <w:u w:val="single"/>
    </w:rPr>
  </w:style>
  <w:style w:type="paragraph" w:customStyle="1" w:styleId="TableBodyTextRight">
    <w:name w:val="Table Body Text Right"/>
    <w:basedOn w:val="TableBodyText"/>
    <w:rsid w:val="00D719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93F"/>
    <w:rPr>
      <w:sz w:val="18"/>
    </w:rPr>
  </w:style>
  <w:style w:type="paragraph" w:customStyle="1" w:styleId="BodySmallRight">
    <w:name w:val="Body Small Right"/>
    <w:basedOn w:val="BodyTextRight"/>
    <w:rsid w:val="00D7193F"/>
    <w:rPr>
      <w:sz w:val="18"/>
      <w:szCs w:val="18"/>
    </w:rPr>
  </w:style>
  <w:style w:type="paragraph" w:customStyle="1" w:styleId="MarginEdition">
    <w:name w:val="Margin Edition"/>
    <w:basedOn w:val="MarginNote"/>
    <w:rsid w:val="00D719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93F"/>
    <w:rPr>
      <w:sz w:val="2"/>
      <w:szCs w:val="2"/>
    </w:rPr>
  </w:style>
  <w:style w:type="character" w:customStyle="1" w:styleId="Small">
    <w:name w:val="Small"/>
    <w:basedOn w:val="DefaultParagraphFont"/>
    <w:rsid w:val="00D7193F"/>
    <w:rPr>
      <w:sz w:val="16"/>
    </w:rPr>
  </w:style>
  <w:style w:type="paragraph" w:customStyle="1" w:styleId="WideTable">
    <w:name w:val="Wide Table"/>
    <w:basedOn w:val="Normal"/>
    <w:rsid w:val="00D719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93F"/>
  </w:style>
  <w:style w:type="paragraph" w:styleId="Quote">
    <w:name w:val="Quote"/>
    <w:basedOn w:val="Heading1"/>
    <w:link w:val="QuoteChar"/>
    <w:qFormat/>
    <w:rsid w:val="00D719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9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93F"/>
    <w:pPr>
      <w:pageBreakBefore/>
    </w:pPr>
  </w:style>
  <w:style w:type="paragraph" w:customStyle="1" w:styleId="Border">
    <w:name w:val="Border"/>
    <w:basedOn w:val="Normal"/>
    <w:qFormat/>
    <w:rsid w:val="00D719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9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9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9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9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9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9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9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93F"/>
    <w:rPr>
      <w:u w:val="single"/>
    </w:rPr>
  </w:style>
  <w:style w:type="character" w:customStyle="1" w:styleId="BoldandItalics">
    <w:name w:val="Bold and Italics"/>
    <w:qFormat/>
    <w:rsid w:val="00D7193F"/>
    <w:rPr>
      <w:b/>
      <w:i/>
      <w:u w:val="none"/>
    </w:rPr>
  </w:style>
  <w:style w:type="paragraph" w:styleId="BalloonText">
    <w:name w:val="Balloon Text"/>
    <w:basedOn w:val="Normal"/>
    <w:link w:val="BalloonTextChar"/>
    <w:rsid w:val="00D719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9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9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9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9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9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93F"/>
    <w:pPr>
      <w:spacing w:before="0" w:after="0"/>
    </w:pPr>
  </w:style>
  <w:style w:type="paragraph" w:customStyle="1" w:styleId="BodyTextBold">
    <w:name w:val="Body Text Bold"/>
    <w:basedOn w:val="BodyText"/>
    <w:qFormat/>
    <w:rsid w:val="00D7193F"/>
    <w:rPr>
      <w:b/>
    </w:rPr>
  </w:style>
  <w:style w:type="character" w:styleId="Hyperlink">
    <w:name w:val="Hyperlink"/>
    <w:basedOn w:val="DefaultParagraphFont"/>
    <w:uiPriority w:val="99"/>
    <w:unhideWhenUsed/>
    <w:rsid w:val="00065F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4770</Characters>
  <Application>Microsoft Office Word</Application>
  <DocSecurity>0</DocSecurity>
  <Lines>101</Lines>
  <Paragraphs>65</Paragraphs>
  <ScaleCrop>false</ScaleCrop>
  <Company>Author-it Software Corporation Ltd.</Company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PMASUP420 Minimise environmental impact of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