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191" w:rsidP="00CB6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PMASUP410 Develop plant documentation</w:t>
      </w:r>
      <w:r>
        <w:fldChar w:fldCharType="end"/>
      </w:r>
    </w:p>
    <w:p w:rsidR="00CB6191" w:rsidP="00CB6191">
      <w:pPr>
        <w:pStyle w:val="Version"/>
        <w:sectPr w:rsidSect="001536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626" w:rsidP="00153626">
      <w:pPr>
        <w:pStyle w:val="SuperHeading"/>
      </w:pPr>
      <w:r w:rsidRPr="00153626">
        <w:t>Assessment Requirements for PMASUP410 Develop plant documentation</w:t>
      </w:r>
    </w:p>
    <w:p w:rsidR="00000000" w:rsidRPr="00153626" w:rsidP="00153626">
      <w:pPr>
        <w:pStyle w:val="Heading1"/>
      </w:pPr>
      <w:bookmarkStart w:id="1" w:name="O_909794"/>
      <w:bookmarkEnd w:id="1"/>
      <w:r w:rsidRPr="00153626">
        <w:t>Modification History</w:t>
      </w:r>
    </w:p>
    <w:p w:rsidR="00000000" w:rsidRPr="00153626" w:rsidP="00CB6191">
      <w:pPr>
        <w:pStyle w:val="BodyText"/>
      </w:pPr>
      <w:r w:rsidRPr="00153626">
        <w:t>Release 1. Supersedes and is equivalent to PMASUP410B Develop plant documentation</w:t>
      </w:r>
    </w:p>
    <w:p w:rsidR="00000000" w:rsidRPr="00153626" w:rsidP="00153626">
      <w:pPr>
        <w:pStyle w:val="Heading1"/>
      </w:pPr>
      <w:bookmarkStart w:id="2" w:name="O_909797"/>
      <w:bookmarkEnd w:id="2"/>
      <w:r w:rsidRPr="00153626">
        <w:t>Performance Evidence</w:t>
      </w:r>
    </w:p>
    <w:p w:rsidR="00000000" w:rsidRPr="00153626" w:rsidP="00CB6191">
      <w:pPr>
        <w:pStyle w:val="BodyText"/>
      </w:pPr>
      <w:r w:rsidRPr="00153626">
        <w:t>Evidence required to demonstrate competence in this unit must be relevant to and satisfy the requirements of the elements and performance criteria, and include the ability to:</w:t>
      </w:r>
    </w:p>
    <w:p w:rsidR="00000000" w:rsidRPr="00153626" w:rsidP="00153626">
      <w:pPr>
        <w:pStyle w:val="ListBullet"/>
      </w:pPr>
      <w:r w:rsidRPr="00153626">
        <w:t>review and interpret a range of relevant sources of information and select rele</w:t>
      </w:r>
      <w:r w:rsidRPr="00153626">
        <w:t>vant content</w:t>
      </w:r>
    </w:p>
    <w:p w:rsidR="00000000" w:rsidRPr="00153626" w:rsidP="00153626">
      <w:pPr>
        <w:pStyle w:val="ListBullet"/>
      </w:pPr>
      <w:r w:rsidRPr="00153626">
        <w:t>communicate and consult effectively with all stakeholders</w:t>
      </w:r>
    </w:p>
    <w:p w:rsidR="00000000" w:rsidRPr="00153626" w:rsidP="00153626">
      <w:pPr>
        <w:pStyle w:val="ListBullet"/>
      </w:pPr>
      <w:r w:rsidRPr="00153626">
        <w:t>clearly convey complex/technical information in writing</w:t>
      </w:r>
    </w:p>
    <w:p w:rsidR="00000000" w:rsidRPr="00153626" w:rsidP="00153626">
      <w:pPr>
        <w:pStyle w:val="ListBullet"/>
      </w:pPr>
      <w:r w:rsidRPr="00153626">
        <w:t>use language, structures and formats that are appropriate to information needs, the reader and organisation requirements.</w:t>
      </w:r>
    </w:p>
    <w:p w:rsidR="00000000" w:rsidRPr="00153626" w:rsidP="00153626">
      <w:pPr>
        <w:pStyle w:val="AllowPageBreak"/>
      </w:pPr>
    </w:p>
    <w:p w:rsidR="00000000" w:rsidRPr="00153626" w:rsidP="00153626">
      <w:pPr>
        <w:pStyle w:val="Heading1"/>
      </w:pPr>
      <w:bookmarkStart w:id="3" w:name="O_909796"/>
      <w:bookmarkEnd w:id="3"/>
      <w:r w:rsidRPr="00153626">
        <w:t>Knowledge Evidence</w:t>
      </w:r>
    </w:p>
    <w:p w:rsidR="00000000" w:rsidRPr="00153626" w:rsidP="00CB6191">
      <w:pPr>
        <w:pStyle w:val="BodyText"/>
      </w:pPr>
      <w:r w:rsidRPr="00153626">
        <w:t>Evidence must be provided that demonstrates knowledge of:</w:t>
      </w:r>
    </w:p>
    <w:p w:rsidR="00000000" w:rsidRPr="00153626" w:rsidP="00153626">
      <w:pPr>
        <w:pStyle w:val="ListBullet"/>
      </w:pPr>
      <w:r w:rsidRPr="00153626">
        <w:t xml:space="preserve">principles of operation of plant/equipment </w:t>
      </w:r>
    </w:p>
    <w:p w:rsidR="00000000" w:rsidRPr="00153626" w:rsidP="00153626">
      <w:pPr>
        <w:pStyle w:val="ListBullet"/>
      </w:pPr>
      <w:r w:rsidRPr="00153626">
        <w:t>process-specific science (e.g. physics, chemistry and biochemistry) and mathematics</w:t>
      </w:r>
    </w:p>
    <w:p w:rsidR="00000000" w:rsidRPr="00153626" w:rsidP="00153626">
      <w:pPr>
        <w:pStyle w:val="ListBullet"/>
      </w:pPr>
      <w:r w:rsidRPr="00153626">
        <w:t>organisation procedures, including those</w:t>
      </w:r>
      <w:r w:rsidRPr="00153626">
        <w:t xml:space="preserve"> covering:</w:t>
      </w:r>
    </w:p>
    <w:p w:rsidR="00000000" w:rsidRPr="00153626" w:rsidP="00153626">
      <w:pPr>
        <w:pStyle w:val="ListBullet2"/>
      </w:pPr>
      <w:r w:rsidRPr="00153626">
        <w:t>information systems</w:t>
      </w:r>
    </w:p>
    <w:p w:rsidR="00000000" w:rsidRPr="00153626" w:rsidP="00153626">
      <w:pPr>
        <w:pStyle w:val="ListBullet2"/>
      </w:pPr>
      <w:r w:rsidRPr="00153626">
        <w:t>data management</w:t>
      </w:r>
    </w:p>
    <w:p w:rsidR="00000000" w:rsidRPr="00153626" w:rsidP="00153626">
      <w:pPr>
        <w:pStyle w:val="ListBullet2"/>
      </w:pPr>
      <w:r w:rsidRPr="00153626">
        <w:t xml:space="preserve">quality </w:t>
      </w:r>
    </w:p>
    <w:p w:rsidR="00000000" w:rsidRPr="00153626" w:rsidP="00153626">
      <w:pPr>
        <w:pStyle w:val="ListBullet2"/>
      </w:pPr>
      <w:r w:rsidRPr="00153626">
        <w:t>safety, emergency and hazard control</w:t>
      </w:r>
    </w:p>
    <w:p w:rsidR="00000000" w:rsidRPr="00153626" w:rsidP="00153626">
      <w:pPr>
        <w:pStyle w:val="ListBullet2"/>
      </w:pPr>
      <w:r w:rsidRPr="00153626">
        <w:t>policy/procedure development</w:t>
      </w:r>
    </w:p>
    <w:p w:rsidR="00000000" w:rsidRPr="00153626" w:rsidP="00153626">
      <w:pPr>
        <w:pStyle w:val="ListBullet2"/>
      </w:pPr>
      <w:r w:rsidRPr="00153626">
        <w:t>document control and approvals</w:t>
      </w:r>
    </w:p>
    <w:p w:rsidR="00000000" w:rsidRPr="00153626" w:rsidP="00153626">
      <w:pPr>
        <w:pStyle w:val="ListBullet2"/>
      </w:pPr>
      <w:r w:rsidRPr="00153626">
        <w:t>style guides and standards for documentation</w:t>
      </w:r>
    </w:p>
    <w:p w:rsidR="00000000" w:rsidRPr="00153626" w:rsidP="00153626">
      <w:pPr>
        <w:pStyle w:val="ListBullet2"/>
      </w:pPr>
      <w:r w:rsidRPr="00153626">
        <w:t>use of internet</w:t>
      </w:r>
    </w:p>
    <w:p w:rsidR="00000000" w:rsidRPr="00153626" w:rsidP="00153626">
      <w:pPr>
        <w:pStyle w:val="ListBullet2"/>
      </w:pPr>
      <w:r w:rsidRPr="00153626">
        <w:t>relevant standard operating procedures</w:t>
      </w:r>
    </w:p>
    <w:p w:rsidR="00000000" w:rsidRPr="00153626" w:rsidP="00153626">
      <w:pPr>
        <w:pStyle w:val="ListBullet"/>
      </w:pPr>
      <w:r w:rsidRPr="00153626">
        <w:t>standard codes of practice relevant to developing plant documentation</w:t>
      </w:r>
    </w:p>
    <w:p w:rsidR="00000000" w:rsidRPr="00153626" w:rsidP="00153626">
      <w:pPr>
        <w:pStyle w:val="ListBullet"/>
      </w:pPr>
      <w:r w:rsidRPr="00153626">
        <w:t>sources of information, including:</w:t>
      </w:r>
    </w:p>
    <w:p w:rsidR="00000000" w:rsidRPr="00153626" w:rsidP="00153626">
      <w:pPr>
        <w:pStyle w:val="ListBullet2"/>
      </w:pPr>
      <w:r w:rsidRPr="00153626">
        <w:t>manufacturing specifications</w:t>
      </w:r>
    </w:p>
    <w:p w:rsidR="00000000" w:rsidRPr="00153626" w:rsidP="00153626">
      <w:pPr>
        <w:pStyle w:val="ListBullet2"/>
      </w:pPr>
      <w:r w:rsidRPr="00153626">
        <w:t>product specifications</w:t>
      </w:r>
    </w:p>
    <w:p w:rsidR="00000000" w:rsidRPr="00153626" w:rsidP="00153626">
      <w:pPr>
        <w:pStyle w:val="ListBullet2"/>
      </w:pPr>
      <w:r w:rsidRPr="00153626">
        <w:t>company policies and procedures</w:t>
      </w:r>
    </w:p>
    <w:p w:rsidR="00000000" w:rsidRPr="00153626" w:rsidP="00153626">
      <w:pPr>
        <w:pStyle w:val="ListBullet2"/>
      </w:pPr>
      <w:r w:rsidRPr="00153626">
        <w:t>customer requirements</w:t>
      </w:r>
    </w:p>
    <w:p w:rsidR="00000000" w:rsidRPr="00153626" w:rsidP="00153626">
      <w:pPr>
        <w:pStyle w:val="ListBullet2"/>
      </w:pPr>
      <w:r w:rsidRPr="00153626">
        <w:t>industry/work place codes of practice</w:t>
      </w:r>
    </w:p>
    <w:p w:rsidR="00000000" w:rsidRPr="00153626" w:rsidP="00153626">
      <w:pPr>
        <w:pStyle w:val="ListBullet2"/>
      </w:pPr>
      <w:r w:rsidRPr="00153626">
        <w:t>state/territory work health and safety (WHS) legislation and regulations</w:t>
      </w:r>
    </w:p>
    <w:p w:rsidR="00000000" w:rsidRPr="00153626" w:rsidP="00153626">
      <w:pPr>
        <w:pStyle w:val="ListBullet2"/>
      </w:pPr>
      <w:r w:rsidRPr="00153626">
        <w:t>ISO and other industry standards and regulations</w:t>
      </w:r>
    </w:p>
    <w:p w:rsidR="00000000" w:rsidRPr="00153626" w:rsidP="00153626">
      <w:pPr>
        <w:pStyle w:val="ListBullet2"/>
      </w:pPr>
      <w:r w:rsidRPr="00153626">
        <w:t>industry associations, networks and professional bodies.</w:t>
      </w:r>
    </w:p>
    <w:p w:rsidR="00000000" w:rsidRPr="00153626" w:rsidP="00153626">
      <w:pPr>
        <w:pStyle w:val="AllowPageBreak"/>
      </w:pPr>
    </w:p>
    <w:p w:rsidR="00000000" w:rsidRPr="00153626" w:rsidP="00153626">
      <w:pPr>
        <w:pStyle w:val="Heading1"/>
      </w:pPr>
      <w:bookmarkStart w:id="4" w:name="O_909795"/>
      <w:bookmarkEnd w:id="4"/>
      <w:r w:rsidRPr="00153626">
        <w:t>Assessment Conditions</w:t>
      </w:r>
    </w:p>
    <w:p w:rsidR="00000000" w:rsidRPr="00153626" w:rsidP="00153626">
      <w:pPr>
        <w:pStyle w:val="ListBullet"/>
      </w:pPr>
      <w:r w:rsidRPr="00153626">
        <w:t>The unit should be assessed holistica</w:t>
      </w:r>
      <w:r w:rsidRPr="00153626">
        <w:t>lly and the judgement of competence based on a holistic assessment of the evidence.</w:t>
      </w:r>
    </w:p>
    <w:p w:rsidR="00000000" w:rsidRPr="00153626" w:rsidP="00153626">
      <w:pPr>
        <w:pStyle w:val="ListBullet"/>
      </w:pPr>
      <w:r w:rsidRPr="00153626">
        <w:t>The collection of performance evidence:</w:t>
      </w:r>
    </w:p>
    <w:p w:rsidR="00000000" w:rsidRPr="00153626" w:rsidP="00153626">
      <w:pPr>
        <w:pStyle w:val="ListBullet2"/>
      </w:pPr>
      <w:r w:rsidRPr="00153626">
        <w:t xml:space="preserve">should occur over a range of situations which include typical disruptions to normal, smooth operations </w:t>
      </w:r>
    </w:p>
    <w:p w:rsidR="00000000" w:rsidRPr="00153626" w:rsidP="00153626">
      <w:pPr>
        <w:pStyle w:val="ListBullet2"/>
      </w:pPr>
      <w:r w:rsidRPr="00153626">
        <w:t>will typically include a su</w:t>
      </w:r>
      <w:r w:rsidRPr="00153626">
        <w:t xml:space="preserve">pervisor/third-party report focusing on consistent performance and problem recognition and solving. A supervisor/third-party report must be prepared by someone who has a direct, relevant, current relationship with the person being assessed and who is in a </w:t>
      </w:r>
      <w:r w:rsidRPr="00153626">
        <w:t xml:space="preserve">position to form a judgement on workplace performance relevant to the unit of competency </w:t>
      </w:r>
    </w:p>
    <w:p w:rsidR="00000000" w:rsidRPr="00153626" w:rsidP="00153626">
      <w:pPr>
        <w:pStyle w:val="ListBullet2"/>
      </w:pPr>
      <w:r w:rsidRPr="00153626">
        <w:t>must include developing and/or amending at least two (2) types of plant documentation, the use of appropriate tools, equipment and safety gear requiring demonstration</w:t>
      </w:r>
      <w:r w:rsidRPr="00153626">
        <w:t xml:space="preserve"> of preparation, operation, completion and responding to problems</w:t>
      </w:r>
    </w:p>
    <w:p w:rsidR="00000000" w:rsidRPr="00153626" w:rsidP="00153626">
      <w:pPr>
        <w:pStyle w:val="ListBullet2"/>
      </w:pPr>
      <w:r w:rsidRPr="00153626">
        <w:t>may use industry-based simulation for part of the unit particularly where safety, lack of opportunity or significant cost is an issue.</w:t>
      </w:r>
    </w:p>
    <w:p w:rsidR="00000000" w:rsidRPr="00153626" w:rsidP="00153626">
      <w:pPr>
        <w:pStyle w:val="ListBullet"/>
      </w:pPr>
      <w:r w:rsidRPr="00153626">
        <w:t>Assessment should occur in operational workplace situa</w:t>
      </w:r>
      <w:r w:rsidRPr="00153626">
        <w:t>tions. Where this is not possible, or where personal safety or environmental damage are limiting factors, assessment must occur in a sufficiently rigorous simulated environment reflecting realistic operational workplace conditions. This must cover all aspe</w:t>
      </w:r>
      <w:r w:rsidRPr="00153626">
        <w:t xml:space="preserve">cts of workplace performance, including environment, task skills, task management skills, contingency management skills and job role environment skills. </w:t>
      </w:r>
    </w:p>
    <w:p w:rsidR="00000000" w:rsidRPr="00153626" w:rsidP="00153626">
      <w:pPr>
        <w:pStyle w:val="ListBullet"/>
      </w:pPr>
      <w:r w:rsidRPr="00153626">
        <w:t xml:space="preserve">Assessment in a simulated environment should use evidence collected from one or more of: </w:t>
      </w:r>
    </w:p>
    <w:p w:rsidR="00000000" w:rsidRPr="00153626" w:rsidP="00153626">
      <w:pPr>
        <w:pStyle w:val="ListBullet2"/>
      </w:pPr>
      <w:r w:rsidRPr="00153626">
        <w:t>walk-throug</w:t>
      </w:r>
      <w:r w:rsidRPr="00153626">
        <w:t>hs</w:t>
      </w:r>
    </w:p>
    <w:p w:rsidR="00000000" w:rsidRPr="00153626" w:rsidP="00153626">
      <w:pPr>
        <w:pStyle w:val="ListBullet2"/>
      </w:pPr>
      <w:r w:rsidRPr="00153626">
        <w:t xml:space="preserve">pilot plant operation </w:t>
      </w:r>
    </w:p>
    <w:p w:rsidR="00000000" w:rsidRPr="00153626" w:rsidP="00153626">
      <w:pPr>
        <w:pStyle w:val="ListBullet2"/>
      </w:pPr>
      <w:r w:rsidRPr="00153626">
        <w:t xml:space="preserve">demonstration of skills </w:t>
      </w:r>
    </w:p>
    <w:p w:rsidR="00000000" w:rsidRPr="00153626" w:rsidP="00153626">
      <w:pPr>
        <w:pStyle w:val="ListBullet2"/>
      </w:pPr>
      <w:r w:rsidRPr="00153626">
        <w:t xml:space="preserve">industry-based case studies/scenarios </w:t>
      </w:r>
    </w:p>
    <w:p w:rsidR="00000000" w:rsidRPr="00153626" w:rsidP="00153626">
      <w:pPr>
        <w:pStyle w:val="ListBullet2"/>
      </w:pPr>
      <w:r w:rsidRPr="00153626">
        <w:t>‘what ifs’.</w:t>
      </w:r>
    </w:p>
    <w:p w:rsidR="00000000" w:rsidRPr="00153626" w:rsidP="00153626">
      <w:pPr>
        <w:pStyle w:val="ListBullet"/>
      </w:pPr>
      <w:r w:rsidRPr="00153626">
        <w:t xml:space="preserve">Knowledge evidence may be collected concurrently with performance evidence (provided a record </w:t>
      </w:r>
      <w:r w:rsidRPr="00153626">
        <w:t>is kept) or through an independent process, such as workbooks, written assessments or interviews (provided a record is kept).</w:t>
      </w:r>
    </w:p>
    <w:p w:rsidR="00000000" w:rsidRPr="00153626" w:rsidP="00153626">
      <w:pPr>
        <w:pStyle w:val="ListBullet"/>
      </w:pPr>
      <w:r w:rsidRPr="00153626">
        <w:t>Assessment processes and techniques must be appropriate to the language, literacy and numeracy requirements of the work being perf</w:t>
      </w:r>
      <w:r w:rsidRPr="00153626">
        <w:t>ormed and the needs of the candidate.</w:t>
      </w:r>
    </w:p>
    <w:p w:rsidR="00000000" w:rsidRPr="00153626" w:rsidP="00153626">
      <w:pPr>
        <w:pStyle w:val="ListBullet"/>
      </w:pPr>
      <w:r w:rsidRPr="0015362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53626" w:rsidP="00153626">
      <w:pPr>
        <w:pStyle w:val="ListBullet"/>
      </w:pPr>
      <w:r w:rsidRPr="00153626">
        <w:t>The regulatory framework will be reflected in workplace policies and procedures and is not required to be independently assessed.</w:t>
      </w:r>
    </w:p>
    <w:p w:rsidR="00000000" w:rsidRPr="00153626" w:rsidP="00153626">
      <w:pPr>
        <w:pStyle w:val="ListBullet"/>
      </w:pPr>
      <w:r w:rsidRPr="00153626">
        <w:t>Foundation skills are integral to competent performance of the unit and should not be assessed separately.</w:t>
      </w:r>
    </w:p>
    <w:p w:rsidR="00000000" w:rsidRPr="00153626" w:rsidP="00153626">
      <w:pPr>
        <w:pStyle w:val="ListBullet"/>
      </w:pPr>
      <w:r w:rsidRPr="00153626">
        <w:t>Assessors must sati</w:t>
      </w:r>
      <w:r w:rsidRPr="00153626">
        <w:t>sfy the assessor competency requirements that are in place at the time of the assessment as set by the VET regulator.</w:t>
      </w:r>
    </w:p>
    <w:p w:rsidR="00000000" w:rsidRPr="00153626" w:rsidP="00153626">
      <w:pPr>
        <w:pStyle w:val="ListBullet"/>
      </w:pPr>
      <w:r w:rsidRPr="00153626">
        <w:t>In addition, the assessor or anyone acting in subject matter expert role in assessment must demonstrate both technical competency and curr</w:t>
      </w:r>
      <w:r w:rsidRPr="00153626">
        <w:t xml:space="preserve">ency. If the assessor cannot demonstrate technical competency and currency they must assess with a subject matter expert who does meet these requirements. </w:t>
      </w:r>
    </w:p>
    <w:p w:rsidR="00000000" w:rsidRPr="00153626" w:rsidP="00153626">
      <w:pPr>
        <w:pStyle w:val="ListBullet"/>
      </w:pPr>
      <w:r w:rsidRPr="00153626">
        <w:t>Technical competence can be demonstrated through one or more of:</w:t>
      </w:r>
    </w:p>
    <w:p w:rsidR="00000000" w:rsidRPr="00153626" w:rsidP="00153626">
      <w:pPr>
        <w:pStyle w:val="ListBullet2"/>
      </w:pPr>
      <w:r w:rsidRPr="00153626">
        <w:t>relevant VET or other qualificatio</w:t>
      </w:r>
      <w:r w:rsidRPr="00153626">
        <w:t xml:space="preserve">n/Statement of Attainment </w:t>
      </w:r>
    </w:p>
    <w:p w:rsidR="00000000" w:rsidRPr="00153626" w:rsidP="00153626">
      <w:pPr>
        <w:pStyle w:val="ListBullet2"/>
      </w:pPr>
      <w:r w:rsidRPr="00153626">
        <w:t xml:space="preserve">appropriate workplace experience undertaking the type of work being assessed under routine and non-routine conditions </w:t>
      </w:r>
    </w:p>
    <w:p w:rsidR="00000000" w:rsidRPr="00153626" w:rsidP="00153626">
      <w:pPr>
        <w:pStyle w:val="ListBullet2"/>
      </w:pPr>
      <w:r w:rsidRPr="00153626">
        <w:t>appropriate workplace experience supervising/evaluating the type of work being assessed under routine and non-</w:t>
      </w:r>
      <w:r w:rsidRPr="00153626">
        <w:t>routine conditions</w:t>
      </w:r>
    </w:p>
    <w:p w:rsidR="00000000" w:rsidRPr="00153626" w:rsidP="00153626">
      <w:pPr>
        <w:pStyle w:val="ListBullet"/>
      </w:pPr>
      <w:r w:rsidRPr="00153626">
        <w:t>Currency can be demonstrated through one or more of:</w:t>
      </w:r>
    </w:p>
    <w:p w:rsidR="00000000" w:rsidRPr="00153626" w:rsidP="00153626">
      <w:pPr>
        <w:pStyle w:val="ListBullet2"/>
      </w:pPr>
      <w:r w:rsidRPr="00153626">
        <w:t xml:space="preserve">being currently employed undertaking the type of work being assessed </w:t>
      </w:r>
    </w:p>
    <w:p w:rsidR="00000000" w:rsidRPr="00153626" w:rsidP="00153626">
      <w:pPr>
        <w:pStyle w:val="ListBullet2"/>
      </w:pPr>
      <w:r w:rsidRPr="00153626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153626" w:rsidP="00153626">
      <w:pPr>
        <w:pStyle w:val="ListBullet2"/>
      </w:pPr>
      <w:r w:rsidRPr="00153626">
        <w:t>having consulted/had contact with an organisation undertaking the type of work bei</w:t>
      </w:r>
      <w:r w:rsidRPr="00153626">
        <w:t xml:space="preserve">ng assessed within the last twelve months, the consultation/contact being related to assessment </w:t>
      </w:r>
    </w:p>
    <w:p w:rsidR="00000000" w:rsidRPr="00153626" w:rsidP="00153626">
      <w:pPr>
        <w:pStyle w:val="ListBullet2"/>
      </w:pPr>
      <w:r w:rsidRPr="00153626">
        <w:t xml:space="preserve">conducting on-the-job training/assessments of the type of work being assessed </w:t>
      </w:r>
    </w:p>
    <w:p w:rsidR="00000000" w:rsidRPr="00153626" w:rsidP="00153626">
      <w:pPr>
        <w:pStyle w:val="ListBullet2"/>
      </w:pPr>
      <w:r w:rsidRPr="00153626">
        <w:t>being an active member of a relevant professional body and participating in acti</w:t>
      </w:r>
      <w:r w:rsidRPr="00153626">
        <w:t>vities relevant to the assessment of this type of work.</w:t>
      </w:r>
    </w:p>
    <w:p w:rsidR="00000000" w:rsidRPr="00153626" w:rsidP="00153626">
      <w:pPr>
        <w:pStyle w:val="AllowPageBreak"/>
      </w:pPr>
    </w:p>
    <w:p w:rsidR="00000000" w:rsidRPr="00153626" w:rsidP="00153626">
      <w:pPr>
        <w:pStyle w:val="Heading1"/>
      </w:pPr>
      <w:bookmarkStart w:id="5" w:name="O_909793"/>
      <w:bookmarkEnd w:id="5"/>
      <w:r w:rsidRPr="00153626">
        <w:t>Links</w:t>
      </w:r>
    </w:p>
    <w:p w:rsidR="00000000" w:rsidRPr="00153626" w:rsidP="00CB6191">
      <w:pPr>
        <w:pStyle w:val="BodyText"/>
      </w:pPr>
      <w:r w:rsidRPr="001536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058F0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53626" w:rsidP="00153626"/>
    <w:sectPr w:rsidSect="001536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6" w:rsidRPr="00CB6191" w:rsidP="00CB6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1" w:rsidP="001536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191" w:rsidP="001536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6191" w:rsidP="001536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626" w:rsidRPr="00CB6191" w:rsidP="00CB6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6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91" w:rsidRPr="002D2AF8" w:rsidP="001536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PMASUP410 Develop plant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B6191" w:rsidP="001536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C8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AF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46E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6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6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6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6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6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6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6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6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6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6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6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626"/>
  </w:style>
  <w:style w:type="character" w:customStyle="1" w:styleId="Heading1Char">
    <w:name w:val="Heading 1 Char"/>
    <w:basedOn w:val="DefaultParagraphFont"/>
    <w:link w:val="Heading1"/>
    <w:rsid w:val="001536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6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6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6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6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6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6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36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6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6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6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6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6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6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6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6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6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6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6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6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6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6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6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6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6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626"/>
    <w:rPr>
      <w:b/>
      <w:spacing w:val="0"/>
    </w:rPr>
  </w:style>
  <w:style w:type="paragraph" w:customStyle="1" w:styleId="SuperTitle">
    <w:name w:val="SuperTitle"/>
    <w:basedOn w:val="Title"/>
    <w:rsid w:val="001536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6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6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6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6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6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6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6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6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6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6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6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626"/>
    <w:rPr>
      <w:i/>
    </w:rPr>
  </w:style>
  <w:style w:type="paragraph" w:styleId="Caption">
    <w:name w:val="caption"/>
    <w:basedOn w:val="BodyText"/>
    <w:next w:val="Normal"/>
    <w:qFormat/>
    <w:rsid w:val="001536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6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6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626"/>
  </w:style>
  <w:style w:type="paragraph" w:styleId="TableofFigures">
    <w:name w:val="table of figures"/>
    <w:basedOn w:val="Normal"/>
    <w:next w:val="Normal"/>
    <w:semiHidden/>
    <w:rsid w:val="001536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6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626"/>
    <w:rPr>
      <w:rFonts w:ascii="Wingdings" w:hAnsi="Wingdings"/>
    </w:rPr>
  </w:style>
  <w:style w:type="paragraph" w:customStyle="1" w:styleId="TableHeading">
    <w:name w:val="Table Heading"/>
    <w:basedOn w:val="HeadingBase"/>
    <w:rsid w:val="001536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626"/>
    <w:rPr>
      <w:color w:val="0033CC"/>
      <w:u w:val="none"/>
    </w:rPr>
  </w:style>
  <w:style w:type="paragraph" w:customStyle="1" w:styleId="BodyTextRight">
    <w:name w:val="Body Text Right"/>
    <w:basedOn w:val="BodyText"/>
    <w:rsid w:val="001536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6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6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6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6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6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626"/>
    <w:rPr>
      <w:sz w:val="32"/>
    </w:rPr>
  </w:style>
  <w:style w:type="paragraph" w:customStyle="1" w:styleId="HeadingProcedure">
    <w:name w:val="Heading Procedure"/>
    <w:basedOn w:val="HeadingBase"/>
    <w:next w:val="Normal"/>
    <w:rsid w:val="001536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626"/>
    <w:pPr>
      <w:spacing w:before="60" w:after="60"/>
    </w:pPr>
  </w:style>
  <w:style w:type="paragraph" w:styleId="ListContinue">
    <w:name w:val="List Continue"/>
    <w:basedOn w:val="List"/>
    <w:rsid w:val="00153626"/>
    <w:pPr>
      <w:ind w:firstLine="0"/>
    </w:pPr>
  </w:style>
  <w:style w:type="paragraph" w:customStyle="1" w:styleId="ListNote">
    <w:name w:val="List Note"/>
    <w:basedOn w:val="List"/>
    <w:rsid w:val="001536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6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6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626"/>
    <w:rPr>
      <w:rFonts w:ascii="Courier New" w:hAnsi="Courier New"/>
    </w:rPr>
  </w:style>
  <w:style w:type="paragraph" w:customStyle="1" w:styleId="NoteBullet">
    <w:name w:val="Note Bullet"/>
    <w:basedOn w:val="Note"/>
    <w:rsid w:val="001536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6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6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6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6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6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6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626"/>
    <w:rPr>
      <w:b/>
      <w:smallCaps/>
    </w:rPr>
  </w:style>
  <w:style w:type="paragraph" w:customStyle="1" w:styleId="TableListNumber">
    <w:name w:val="Table List Number"/>
    <w:basedOn w:val="ListNumber"/>
    <w:rsid w:val="001536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6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626"/>
    <w:pPr>
      <w:numPr>
        <w:numId w:val="9"/>
      </w:numPr>
    </w:pPr>
  </w:style>
  <w:style w:type="paragraph" w:customStyle="1" w:styleId="ListAlpha2">
    <w:name w:val="List Alpha 2"/>
    <w:basedOn w:val="List2"/>
    <w:rsid w:val="00153626"/>
    <w:pPr>
      <w:numPr>
        <w:numId w:val="8"/>
      </w:numPr>
    </w:pPr>
  </w:style>
  <w:style w:type="paragraph" w:styleId="List2">
    <w:name w:val="List 2"/>
    <w:basedOn w:val="BodyText"/>
    <w:rsid w:val="001536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6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6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6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6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6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626"/>
    <w:pPr>
      <w:numPr>
        <w:numId w:val="4"/>
      </w:numPr>
    </w:pPr>
  </w:style>
  <w:style w:type="paragraph" w:styleId="ListContinue2">
    <w:name w:val="List Continue 2"/>
    <w:basedOn w:val="List2"/>
    <w:rsid w:val="00153626"/>
    <w:pPr>
      <w:ind w:firstLine="0"/>
    </w:pPr>
  </w:style>
  <w:style w:type="paragraph" w:styleId="ListContinue3">
    <w:name w:val="List Continue 3"/>
    <w:basedOn w:val="List3"/>
    <w:rsid w:val="00153626"/>
    <w:pPr>
      <w:ind w:left="1021" w:firstLine="0"/>
    </w:pPr>
  </w:style>
  <w:style w:type="paragraph" w:styleId="ListContinue4">
    <w:name w:val="List Continue 4"/>
    <w:basedOn w:val="List4"/>
    <w:rsid w:val="00153626"/>
    <w:pPr>
      <w:ind w:firstLine="0"/>
    </w:pPr>
  </w:style>
  <w:style w:type="paragraph" w:styleId="ListContinue5">
    <w:name w:val="List Continue 5"/>
    <w:basedOn w:val="List5"/>
    <w:rsid w:val="00153626"/>
    <w:pPr>
      <w:ind w:firstLine="0"/>
    </w:pPr>
  </w:style>
  <w:style w:type="paragraph" w:styleId="ListNumber3">
    <w:name w:val="List Number 3"/>
    <w:basedOn w:val="List3"/>
    <w:rsid w:val="00153626"/>
    <w:pPr>
      <w:numPr>
        <w:numId w:val="5"/>
      </w:numPr>
    </w:pPr>
  </w:style>
  <w:style w:type="paragraph" w:styleId="ListNumber4">
    <w:name w:val="List Number 4"/>
    <w:basedOn w:val="List4"/>
    <w:rsid w:val="00153626"/>
    <w:pPr>
      <w:numPr>
        <w:numId w:val="6"/>
      </w:numPr>
    </w:pPr>
  </w:style>
  <w:style w:type="paragraph" w:styleId="ListNumber5">
    <w:name w:val="List Number 5"/>
    <w:basedOn w:val="List5"/>
    <w:rsid w:val="00153626"/>
    <w:pPr>
      <w:numPr>
        <w:numId w:val="7"/>
      </w:numPr>
    </w:pPr>
  </w:style>
  <w:style w:type="paragraph" w:styleId="BlockText">
    <w:name w:val="Block Text"/>
    <w:basedOn w:val="Normal"/>
    <w:rsid w:val="001536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6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626"/>
    <w:rPr>
      <w:sz w:val="16"/>
      <w:vertAlign w:val="superscript"/>
    </w:rPr>
  </w:style>
  <w:style w:type="character" w:customStyle="1" w:styleId="Symbols">
    <w:name w:val="Symbols"/>
    <w:basedOn w:val="DefaultParagraphFont"/>
    <w:rsid w:val="00153626"/>
    <w:rPr>
      <w:rFonts w:ascii="Symbol" w:hAnsi="Symbol"/>
    </w:rPr>
  </w:style>
  <w:style w:type="character" w:customStyle="1" w:styleId="MenuOptions">
    <w:name w:val="Menu Options"/>
    <w:basedOn w:val="DefaultParagraphFont"/>
    <w:rsid w:val="001536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626"/>
    <w:rPr>
      <w:b/>
    </w:rPr>
  </w:style>
  <w:style w:type="character" w:customStyle="1" w:styleId="Underlined">
    <w:name w:val="Underlined"/>
    <w:basedOn w:val="DefaultParagraphFont"/>
    <w:rsid w:val="00153626"/>
    <w:rPr>
      <w:u w:val="single"/>
    </w:rPr>
  </w:style>
  <w:style w:type="paragraph" w:customStyle="1" w:styleId="TableBodyTextRight">
    <w:name w:val="Table Body Text Right"/>
    <w:basedOn w:val="TableBodyText"/>
    <w:rsid w:val="001536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626"/>
    <w:rPr>
      <w:sz w:val="18"/>
    </w:rPr>
  </w:style>
  <w:style w:type="paragraph" w:customStyle="1" w:styleId="BodySmallRight">
    <w:name w:val="Body Small Right"/>
    <w:basedOn w:val="BodyTextRight"/>
    <w:rsid w:val="00153626"/>
    <w:rPr>
      <w:sz w:val="18"/>
      <w:szCs w:val="18"/>
    </w:rPr>
  </w:style>
  <w:style w:type="paragraph" w:customStyle="1" w:styleId="MarginEdition">
    <w:name w:val="Margin Edition"/>
    <w:basedOn w:val="MarginNote"/>
    <w:rsid w:val="001536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626"/>
    <w:rPr>
      <w:sz w:val="2"/>
      <w:szCs w:val="2"/>
    </w:rPr>
  </w:style>
  <w:style w:type="character" w:customStyle="1" w:styleId="Small">
    <w:name w:val="Small"/>
    <w:basedOn w:val="DefaultParagraphFont"/>
    <w:rsid w:val="00153626"/>
    <w:rPr>
      <w:sz w:val="16"/>
    </w:rPr>
  </w:style>
  <w:style w:type="paragraph" w:customStyle="1" w:styleId="WideTable">
    <w:name w:val="Wide Table"/>
    <w:basedOn w:val="Normal"/>
    <w:rsid w:val="001536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626"/>
  </w:style>
  <w:style w:type="paragraph" w:styleId="Quote">
    <w:name w:val="Quote"/>
    <w:basedOn w:val="Heading1"/>
    <w:link w:val="QuoteChar"/>
    <w:qFormat/>
    <w:rsid w:val="001536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6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626"/>
    <w:pPr>
      <w:pageBreakBefore/>
    </w:pPr>
  </w:style>
  <w:style w:type="paragraph" w:customStyle="1" w:styleId="Border">
    <w:name w:val="Border"/>
    <w:basedOn w:val="Normal"/>
    <w:qFormat/>
    <w:rsid w:val="001536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6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6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6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6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6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6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6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6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626"/>
    <w:rPr>
      <w:u w:val="single"/>
    </w:rPr>
  </w:style>
  <w:style w:type="character" w:customStyle="1" w:styleId="BoldandItalics">
    <w:name w:val="Bold and Italics"/>
    <w:qFormat/>
    <w:rsid w:val="00153626"/>
    <w:rPr>
      <w:b/>
      <w:i/>
      <w:u w:val="none"/>
    </w:rPr>
  </w:style>
  <w:style w:type="paragraph" w:styleId="BalloonText">
    <w:name w:val="Balloon Text"/>
    <w:basedOn w:val="Normal"/>
    <w:link w:val="BalloonTextChar"/>
    <w:rsid w:val="001536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6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6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6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6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6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626"/>
    <w:pPr>
      <w:spacing w:before="0" w:after="0"/>
    </w:pPr>
  </w:style>
  <w:style w:type="paragraph" w:customStyle="1" w:styleId="BodyTextBold">
    <w:name w:val="Body Text Bold"/>
    <w:basedOn w:val="BodyText"/>
    <w:qFormat/>
    <w:rsid w:val="00153626"/>
    <w:rPr>
      <w:b/>
    </w:rPr>
  </w:style>
  <w:style w:type="character" w:styleId="Hyperlink">
    <w:name w:val="Hyperlink"/>
    <w:basedOn w:val="DefaultParagraphFont"/>
    <w:uiPriority w:val="99"/>
    <w:unhideWhenUsed/>
    <w:rsid w:val="00CB6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5256</Characters>
  <Application>Microsoft Office Word</Application>
  <DocSecurity>0</DocSecurity>
  <Lines>114</Lines>
  <Paragraphs>79</Paragraphs>
  <ScaleCrop>false</ScaleCrop>
  <Company>Author-it Software Corporation Ltd.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PMASUP410 Develop plant documentation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