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723" w:rsidP="00046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PMASUP348 Monitor and maintain cathodic protection systems</w:t>
      </w:r>
      <w:r>
        <w:fldChar w:fldCharType="end"/>
      </w:r>
    </w:p>
    <w:p w:rsidR="00046723" w:rsidP="00046723">
      <w:pPr>
        <w:pStyle w:val="Version"/>
        <w:sectPr w:rsidSect="00450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10C" w:rsidP="0045010C">
      <w:pPr>
        <w:pStyle w:val="SuperHeading"/>
      </w:pPr>
      <w:r w:rsidRPr="0045010C">
        <w:t>Assessment Requirements for PMASUP348 Monitor and maintain cathodic protection systems</w:t>
      </w:r>
    </w:p>
    <w:p w:rsidR="00000000" w:rsidRPr="0045010C" w:rsidP="0045010C">
      <w:pPr>
        <w:pStyle w:val="Heading1"/>
      </w:pPr>
      <w:bookmarkStart w:id="1" w:name="O_1072659"/>
      <w:bookmarkEnd w:id="1"/>
      <w:r w:rsidRPr="0045010C">
        <w:t>Modification History</w:t>
      </w:r>
    </w:p>
    <w:p w:rsidR="00000000" w:rsidRPr="0045010C" w:rsidP="00046723">
      <w:pPr>
        <w:pStyle w:val="BodyText"/>
      </w:pPr>
      <w:r w:rsidRPr="0045010C">
        <w:t xml:space="preserve">Release 1. Unit Code and Application changed. Performance </w:t>
      </w:r>
      <w:r w:rsidRPr="0045010C">
        <w:t>Criteria changed. Range of Conditions removed. Assessment Requirements changed. Supersedes and is equivalent to PMASUP343 Monitor and maintain cathodic protection systems.</w:t>
      </w:r>
    </w:p>
    <w:p w:rsidR="00000000" w:rsidRPr="0045010C" w:rsidP="0045010C">
      <w:pPr>
        <w:pStyle w:val="Heading1"/>
      </w:pPr>
      <w:bookmarkStart w:id="2" w:name="O_1072660"/>
      <w:bookmarkEnd w:id="2"/>
      <w:r w:rsidRPr="0045010C">
        <w:t>Performance Evidence</w:t>
      </w:r>
    </w:p>
    <w:p w:rsidR="00000000" w:rsidRPr="0045010C" w:rsidP="00046723">
      <w:pPr>
        <w:pStyle w:val="BodyText"/>
      </w:pPr>
      <w:r w:rsidRPr="0045010C">
        <w:t>There must be evidence the candidate has com</w:t>
      </w:r>
      <w:r w:rsidRPr="0045010C">
        <w:t>pleted the tasks outlined in the elements and performance criteria of this unit:</w:t>
      </w:r>
    </w:p>
    <w:p w:rsidR="00000000" w:rsidRPr="0045010C" w:rsidP="0045010C">
      <w:pPr>
        <w:pStyle w:val="ListBullet"/>
      </w:pPr>
      <w:r w:rsidRPr="0045010C">
        <w:t>at least 2 times, each in a separate work context.</w:t>
      </w:r>
    </w:p>
    <w:p w:rsidR="00000000" w:rsidRPr="0045010C" w:rsidP="0045010C">
      <w:pPr>
        <w:pStyle w:val="AllowPageBreak"/>
      </w:pPr>
    </w:p>
    <w:p w:rsidR="00000000" w:rsidRPr="0045010C" w:rsidP="0045010C">
      <w:pPr>
        <w:pStyle w:val="Heading1"/>
      </w:pPr>
      <w:bookmarkStart w:id="3" w:name="O_1072661"/>
      <w:bookmarkEnd w:id="3"/>
      <w:r w:rsidRPr="0045010C">
        <w:t>Knowledge Evidence</w:t>
      </w:r>
    </w:p>
    <w:p w:rsidR="00000000" w:rsidRPr="0045010C" w:rsidP="00046723">
      <w:pPr>
        <w:pStyle w:val="BodyText"/>
      </w:pPr>
      <w:r w:rsidRPr="0045010C">
        <w:t>There must be evidence the candidate has knowledge of:</w:t>
      </w:r>
    </w:p>
    <w:p w:rsidR="00000000" w:rsidRPr="0045010C" w:rsidP="0045010C">
      <w:pPr>
        <w:pStyle w:val="ListBullet"/>
      </w:pPr>
      <w:r w:rsidRPr="0045010C">
        <w:t>Australian Standards relating</w:t>
      </w:r>
      <w:r w:rsidRPr="0045010C">
        <w:t xml:space="preserve"> to cathodic protection (CP) systems</w:t>
      </w:r>
    </w:p>
    <w:p w:rsidR="00000000" w:rsidRPr="0045010C" w:rsidP="0045010C">
      <w:pPr>
        <w:pStyle w:val="ListBullet"/>
      </w:pPr>
      <w:r w:rsidRPr="0045010C">
        <w:t>company-specific work organisations and workflows</w:t>
      </w:r>
    </w:p>
    <w:p w:rsidR="00000000" w:rsidRPr="0045010C" w:rsidP="0045010C">
      <w:pPr>
        <w:pStyle w:val="ListBullet"/>
      </w:pPr>
      <w:r w:rsidRPr="0045010C">
        <w:t>operations and functions of CP systems and equipment</w:t>
      </w:r>
    </w:p>
    <w:p w:rsidR="00000000" w:rsidRPr="0045010C" w:rsidP="0045010C">
      <w:pPr>
        <w:pStyle w:val="ListBullet"/>
      </w:pPr>
      <w:r w:rsidRPr="0045010C">
        <w:t>function of solar-powered power generation systems</w:t>
      </w:r>
    </w:p>
    <w:p w:rsidR="00000000" w:rsidRPr="0045010C" w:rsidP="0045010C">
      <w:pPr>
        <w:pStyle w:val="ListBullet"/>
      </w:pPr>
      <w:r w:rsidRPr="0045010C">
        <w:t>operations of 240 V power generation systems</w:t>
      </w:r>
    </w:p>
    <w:p w:rsidR="00000000" w:rsidRPr="0045010C" w:rsidP="0045010C">
      <w:pPr>
        <w:pStyle w:val="ListBullet"/>
      </w:pPr>
      <w:r w:rsidRPr="0045010C">
        <w:t>insulation and monol</w:t>
      </w:r>
      <w:r w:rsidRPr="0045010C">
        <w:t>ithic joints</w:t>
      </w:r>
    </w:p>
    <w:p w:rsidR="00000000" w:rsidRPr="0045010C" w:rsidP="0045010C">
      <w:pPr>
        <w:pStyle w:val="ListBullet"/>
      </w:pPr>
      <w:r w:rsidRPr="0045010C">
        <w:t>CP systems abnormal situations including causes and required action:</w:t>
      </w:r>
    </w:p>
    <w:p w:rsidR="00000000" w:rsidRPr="0045010C" w:rsidP="0045010C">
      <w:pPr>
        <w:pStyle w:val="ListBullet2"/>
      </w:pPr>
      <w:r w:rsidRPr="0045010C">
        <w:t>coating damage and deterioration</w:t>
      </w:r>
    </w:p>
    <w:p w:rsidR="00000000" w:rsidRPr="0045010C" w:rsidP="0045010C">
      <w:pPr>
        <w:pStyle w:val="ListBullet2"/>
      </w:pPr>
      <w:r w:rsidRPr="0045010C">
        <w:t>interference from other systems</w:t>
      </w:r>
    </w:p>
    <w:p w:rsidR="00000000" w:rsidRPr="0045010C" w:rsidP="0045010C">
      <w:pPr>
        <w:pStyle w:val="ListBullet2"/>
      </w:pPr>
      <w:r w:rsidRPr="0045010C">
        <w:t>anode not working</w:t>
      </w:r>
    </w:p>
    <w:p w:rsidR="00000000" w:rsidRPr="0045010C" w:rsidP="0045010C">
      <w:pPr>
        <w:pStyle w:val="ListBullet2"/>
      </w:pPr>
      <w:r w:rsidRPr="0045010C">
        <w:t>incorrect current output from central processing unit (CPU) and transmission (TR) unit</w:t>
      </w:r>
    </w:p>
    <w:p w:rsidR="00000000" w:rsidRPr="0045010C" w:rsidP="0045010C">
      <w:pPr>
        <w:pStyle w:val="ListBullet2"/>
      </w:pPr>
      <w:r w:rsidRPr="0045010C">
        <w:t>equipment faults and failure</w:t>
      </w:r>
    </w:p>
    <w:p w:rsidR="00000000" w:rsidRPr="0045010C" w:rsidP="0045010C">
      <w:pPr>
        <w:pStyle w:val="ListBullet"/>
      </w:pPr>
      <w:r w:rsidRPr="0045010C">
        <w:t>organisational procedures and documentation, including:</w:t>
      </w:r>
    </w:p>
    <w:p w:rsidR="00000000" w:rsidRPr="0045010C" w:rsidP="0045010C">
      <w:pPr>
        <w:pStyle w:val="ListBullet2"/>
      </w:pPr>
      <w:r w:rsidRPr="0045010C">
        <w:t>safety, emergency and hazard control</w:t>
      </w:r>
    </w:p>
    <w:p w:rsidR="00000000" w:rsidRPr="0045010C" w:rsidP="0045010C">
      <w:pPr>
        <w:pStyle w:val="ListBullet2"/>
      </w:pPr>
      <w:r w:rsidRPr="0045010C">
        <w:t>work permit systems</w:t>
      </w:r>
    </w:p>
    <w:p w:rsidR="00000000" w:rsidRPr="0045010C" w:rsidP="0045010C">
      <w:pPr>
        <w:pStyle w:val="ListBullet2"/>
      </w:pPr>
      <w:r w:rsidRPr="0045010C">
        <w:t xml:space="preserve">maintenance </w:t>
      </w:r>
    </w:p>
    <w:p w:rsidR="00000000" w:rsidRPr="0045010C" w:rsidP="0045010C">
      <w:pPr>
        <w:pStyle w:val="ListBullet2"/>
      </w:pPr>
      <w:r w:rsidRPr="0045010C">
        <w:t>standard operating procedures (SOPs)</w:t>
      </w:r>
    </w:p>
    <w:p w:rsidR="00000000" w:rsidRPr="0045010C" w:rsidP="0045010C">
      <w:pPr>
        <w:pStyle w:val="ListBullet2"/>
      </w:pPr>
      <w:r w:rsidRPr="0045010C">
        <w:t>survey specifications</w:t>
      </w:r>
    </w:p>
    <w:p w:rsidR="00000000" w:rsidRPr="0045010C" w:rsidP="0045010C">
      <w:pPr>
        <w:pStyle w:val="ListBullet"/>
      </w:pPr>
      <w:r w:rsidRPr="0045010C">
        <w:t>hierarchy of control</w:t>
      </w:r>
    </w:p>
    <w:p w:rsidR="00000000" w:rsidRPr="0045010C" w:rsidP="0045010C">
      <w:pPr>
        <w:pStyle w:val="ListBullet"/>
      </w:pPr>
      <w:r w:rsidRPr="0045010C">
        <w:t>CP systems hazards</w:t>
      </w:r>
      <w:r w:rsidRPr="0045010C">
        <w:t>:</w:t>
      </w:r>
    </w:p>
    <w:p w:rsidR="00000000" w:rsidRPr="0045010C" w:rsidP="0045010C">
      <w:pPr>
        <w:pStyle w:val="ListBullet2"/>
      </w:pPr>
      <w:r w:rsidRPr="0045010C">
        <w:t>possible causes</w:t>
      </w:r>
    </w:p>
    <w:p w:rsidR="00000000" w:rsidRPr="0045010C" w:rsidP="0045010C">
      <w:pPr>
        <w:pStyle w:val="ListBullet2"/>
      </w:pPr>
      <w:r w:rsidRPr="0045010C">
        <w:t>potential consequences</w:t>
      </w:r>
    </w:p>
    <w:p w:rsidR="00000000" w:rsidRPr="0045010C" w:rsidP="0045010C">
      <w:pPr>
        <w:pStyle w:val="ListBullet"/>
      </w:pPr>
      <w:r w:rsidRPr="0045010C">
        <w:t>appropriate risk controls, including:</w:t>
      </w:r>
    </w:p>
    <w:p w:rsidR="00000000" w:rsidRPr="0045010C" w:rsidP="0045010C">
      <w:pPr>
        <w:pStyle w:val="ListBullet2"/>
      </w:pPr>
      <w:r w:rsidRPr="0045010C">
        <w:t>electricity</w:t>
      </w:r>
    </w:p>
    <w:p w:rsidR="00000000" w:rsidRPr="0045010C" w:rsidP="0045010C">
      <w:pPr>
        <w:pStyle w:val="ListBullet2"/>
      </w:pPr>
      <w:r w:rsidRPr="0045010C">
        <w:t xml:space="preserve">gases and liquids under pressure </w:t>
      </w:r>
    </w:p>
    <w:p w:rsidR="00000000" w:rsidRPr="0045010C" w:rsidP="0045010C">
      <w:pPr>
        <w:pStyle w:val="ListBullet2"/>
      </w:pPr>
      <w:r w:rsidRPr="0045010C">
        <w:t>equipment failures</w:t>
      </w:r>
    </w:p>
    <w:p w:rsidR="00000000" w:rsidRPr="0045010C" w:rsidP="0045010C">
      <w:pPr>
        <w:pStyle w:val="ListBullet2"/>
      </w:pPr>
      <w:r w:rsidRPr="0045010C">
        <w:t>flammability and explosivity</w:t>
      </w:r>
    </w:p>
    <w:p w:rsidR="00000000" w:rsidRPr="0045010C" w:rsidP="0045010C">
      <w:pPr>
        <w:pStyle w:val="ListBullet2"/>
      </w:pPr>
      <w:r w:rsidRPr="0045010C">
        <w:t>extreme weather.</w:t>
      </w:r>
    </w:p>
    <w:p w:rsidR="00000000" w:rsidRPr="0045010C" w:rsidP="0045010C">
      <w:pPr>
        <w:pStyle w:val="AllowPageBreak"/>
      </w:pPr>
    </w:p>
    <w:p w:rsidR="00000000" w:rsidRPr="0045010C" w:rsidP="0045010C">
      <w:pPr>
        <w:pStyle w:val="Heading1"/>
      </w:pPr>
      <w:bookmarkStart w:id="4" w:name="O_1072662"/>
      <w:bookmarkEnd w:id="4"/>
      <w:r w:rsidRPr="0045010C">
        <w:t>Assessment Conditions</w:t>
      </w:r>
    </w:p>
    <w:p w:rsidR="00000000" w:rsidRPr="0045010C" w:rsidP="00046723">
      <w:pPr>
        <w:pStyle w:val="BodyText"/>
      </w:pPr>
      <w:r w:rsidRPr="0045010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5010C" w:rsidP="0045010C">
      <w:pPr>
        <w:pStyle w:val="ListBullet"/>
      </w:pPr>
      <w:r w:rsidRPr="0045010C">
        <w:t xml:space="preserve">use of suitable facilities, equipment and resources, including: </w:t>
      </w:r>
    </w:p>
    <w:p w:rsidR="00000000" w:rsidRPr="0045010C" w:rsidP="0045010C">
      <w:pPr>
        <w:pStyle w:val="ListBullet2"/>
      </w:pPr>
      <w:r w:rsidRPr="0045010C">
        <w:t>CP systems, tools, equipment and safety gear equipment</w:t>
      </w:r>
    </w:p>
    <w:p w:rsidR="00000000" w:rsidRPr="0045010C" w:rsidP="0045010C">
      <w:pPr>
        <w:pStyle w:val="ListBullet2"/>
      </w:pPr>
      <w:r w:rsidRPr="0045010C">
        <w:t>operating procedures</w:t>
      </w:r>
    </w:p>
    <w:p w:rsidR="00000000" w:rsidRPr="0045010C" w:rsidP="0045010C">
      <w:pPr>
        <w:pStyle w:val="ListBullet"/>
      </w:pPr>
      <w:r w:rsidRPr="0045010C">
        <w:t>abnormal situations must be relevant to cathodic protection systems.</w:t>
      </w:r>
    </w:p>
    <w:p w:rsidR="00000000" w:rsidRPr="0045010C" w:rsidP="0045010C">
      <w:pPr>
        <w:pStyle w:val="BodyText"/>
      </w:pPr>
    </w:p>
    <w:p w:rsidR="00000000" w:rsidRPr="0045010C" w:rsidP="00046723">
      <w:pPr>
        <w:pStyle w:val="BodyText"/>
      </w:pPr>
      <w:r w:rsidRPr="0045010C">
        <w:t>Assessors must satisfy the NVR/AQTF mandatory competency requirements for assessors.</w:t>
      </w:r>
    </w:p>
    <w:p w:rsidR="00000000" w:rsidRPr="0045010C" w:rsidP="0045010C">
      <w:pPr>
        <w:pStyle w:val="Heading1"/>
      </w:pPr>
      <w:bookmarkStart w:id="5" w:name="O_1072665"/>
      <w:bookmarkEnd w:id="5"/>
      <w:r w:rsidRPr="0045010C">
        <w:t>Links</w:t>
      </w:r>
    </w:p>
    <w:p w:rsidR="00000000" w:rsidRPr="0045010C" w:rsidP="00046723">
      <w:pPr>
        <w:pStyle w:val="BodyText"/>
      </w:pPr>
      <w:r w:rsidRPr="004501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B56E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5010C" w:rsidP="0045010C"/>
    <w:sectPr w:rsidSect="004501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0C" w:rsidRPr="00046723" w:rsidP="00046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23" w:rsidP="00450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6723" w:rsidP="00450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6723" w:rsidP="00450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10C" w:rsidRPr="00046723" w:rsidP="000467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23" w:rsidRPr="002D2AF8" w:rsidP="00450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PMASUP348 Monitor and maintain cathodic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46723" w:rsidP="00450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5A5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D49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47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10C"/>
  </w:style>
  <w:style w:type="character" w:customStyle="1" w:styleId="Heading1Char">
    <w:name w:val="Heading 1 Char"/>
    <w:basedOn w:val="DefaultParagraphFont"/>
    <w:link w:val="Heading1"/>
    <w:rsid w:val="00450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1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1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10C"/>
    <w:rPr>
      <w:b/>
      <w:spacing w:val="0"/>
    </w:rPr>
  </w:style>
  <w:style w:type="paragraph" w:customStyle="1" w:styleId="SuperTitle">
    <w:name w:val="SuperTitle"/>
    <w:basedOn w:val="Title"/>
    <w:rsid w:val="00450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1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10C"/>
    <w:rPr>
      <w:i/>
    </w:rPr>
  </w:style>
  <w:style w:type="paragraph" w:styleId="Caption">
    <w:name w:val="caption"/>
    <w:basedOn w:val="BodyText"/>
    <w:next w:val="Normal"/>
    <w:qFormat/>
    <w:rsid w:val="00450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10C"/>
  </w:style>
  <w:style w:type="paragraph" w:styleId="TableofFigures">
    <w:name w:val="table of figures"/>
    <w:basedOn w:val="Normal"/>
    <w:next w:val="Normal"/>
    <w:semiHidden/>
    <w:rsid w:val="00450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1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10C"/>
    <w:rPr>
      <w:rFonts w:ascii="Wingdings" w:hAnsi="Wingdings"/>
    </w:rPr>
  </w:style>
  <w:style w:type="paragraph" w:customStyle="1" w:styleId="TableHeading">
    <w:name w:val="Table Heading"/>
    <w:basedOn w:val="HeadingBase"/>
    <w:rsid w:val="00450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10C"/>
    <w:rPr>
      <w:color w:val="0033CC"/>
      <w:u w:val="none"/>
    </w:rPr>
  </w:style>
  <w:style w:type="paragraph" w:customStyle="1" w:styleId="BodyTextRight">
    <w:name w:val="Body Text Right"/>
    <w:basedOn w:val="BodyText"/>
    <w:rsid w:val="00450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1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10C"/>
    <w:rPr>
      <w:sz w:val="32"/>
    </w:rPr>
  </w:style>
  <w:style w:type="paragraph" w:customStyle="1" w:styleId="HeadingProcedure">
    <w:name w:val="Heading Procedure"/>
    <w:basedOn w:val="HeadingBase"/>
    <w:next w:val="Normal"/>
    <w:rsid w:val="00450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10C"/>
    <w:pPr>
      <w:spacing w:before="60" w:after="60"/>
    </w:pPr>
  </w:style>
  <w:style w:type="paragraph" w:styleId="ListContinue">
    <w:name w:val="List Continue"/>
    <w:basedOn w:val="List"/>
    <w:rsid w:val="0045010C"/>
    <w:pPr>
      <w:ind w:firstLine="0"/>
    </w:pPr>
  </w:style>
  <w:style w:type="paragraph" w:customStyle="1" w:styleId="ListNote">
    <w:name w:val="List Note"/>
    <w:basedOn w:val="List"/>
    <w:rsid w:val="00450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10C"/>
    <w:rPr>
      <w:rFonts w:ascii="Courier New" w:hAnsi="Courier New"/>
    </w:rPr>
  </w:style>
  <w:style w:type="paragraph" w:customStyle="1" w:styleId="NoteBullet">
    <w:name w:val="Note Bullet"/>
    <w:basedOn w:val="Note"/>
    <w:rsid w:val="00450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1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10C"/>
    <w:rPr>
      <w:b/>
      <w:smallCaps/>
    </w:rPr>
  </w:style>
  <w:style w:type="paragraph" w:customStyle="1" w:styleId="TableListNumber">
    <w:name w:val="Table List Number"/>
    <w:basedOn w:val="ListNumber"/>
    <w:rsid w:val="00450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10C"/>
    <w:pPr>
      <w:numPr>
        <w:numId w:val="9"/>
      </w:numPr>
    </w:pPr>
  </w:style>
  <w:style w:type="paragraph" w:customStyle="1" w:styleId="ListAlpha2">
    <w:name w:val="List Alpha 2"/>
    <w:basedOn w:val="List2"/>
    <w:rsid w:val="0045010C"/>
    <w:pPr>
      <w:numPr>
        <w:numId w:val="8"/>
      </w:numPr>
    </w:pPr>
  </w:style>
  <w:style w:type="paragraph" w:styleId="List2">
    <w:name w:val="List 2"/>
    <w:basedOn w:val="BodyText"/>
    <w:rsid w:val="00450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1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1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10C"/>
    <w:pPr>
      <w:numPr>
        <w:numId w:val="4"/>
      </w:numPr>
    </w:pPr>
  </w:style>
  <w:style w:type="paragraph" w:styleId="ListContinue2">
    <w:name w:val="List Continue 2"/>
    <w:basedOn w:val="List2"/>
    <w:rsid w:val="0045010C"/>
    <w:pPr>
      <w:ind w:firstLine="0"/>
    </w:pPr>
  </w:style>
  <w:style w:type="paragraph" w:styleId="ListContinue3">
    <w:name w:val="List Continue 3"/>
    <w:basedOn w:val="List3"/>
    <w:rsid w:val="0045010C"/>
    <w:pPr>
      <w:ind w:left="1021" w:firstLine="0"/>
    </w:pPr>
  </w:style>
  <w:style w:type="paragraph" w:styleId="ListContinue4">
    <w:name w:val="List Continue 4"/>
    <w:basedOn w:val="List4"/>
    <w:rsid w:val="0045010C"/>
    <w:pPr>
      <w:ind w:firstLine="0"/>
    </w:pPr>
  </w:style>
  <w:style w:type="paragraph" w:styleId="ListContinue5">
    <w:name w:val="List Continue 5"/>
    <w:basedOn w:val="List5"/>
    <w:rsid w:val="0045010C"/>
    <w:pPr>
      <w:ind w:firstLine="0"/>
    </w:pPr>
  </w:style>
  <w:style w:type="paragraph" w:styleId="ListNumber3">
    <w:name w:val="List Number 3"/>
    <w:basedOn w:val="List3"/>
    <w:rsid w:val="0045010C"/>
    <w:pPr>
      <w:numPr>
        <w:numId w:val="5"/>
      </w:numPr>
    </w:pPr>
  </w:style>
  <w:style w:type="paragraph" w:styleId="ListNumber4">
    <w:name w:val="List Number 4"/>
    <w:basedOn w:val="List4"/>
    <w:rsid w:val="0045010C"/>
    <w:pPr>
      <w:numPr>
        <w:numId w:val="6"/>
      </w:numPr>
    </w:pPr>
  </w:style>
  <w:style w:type="paragraph" w:styleId="ListNumber5">
    <w:name w:val="List Number 5"/>
    <w:basedOn w:val="List5"/>
    <w:rsid w:val="0045010C"/>
    <w:pPr>
      <w:numPr>
        <w:numId w:val="7"/>
      </w:numPr>
    </w:pPr>
  </w:style>
  <w:style w:type="paragraph" w:styleId="BlockText">
    <w:name w:val="Block Text"/>
    <w:basedOn w:val="Normal"/>
    <w:rsid w:val="00450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10C"/>
    <w:rPr>
      <w:sz w:val="16"/>
      <w:vertAlign w:val="superscript"/>
    </w:rPr>
  </w:style>
  <w:style w:type="character" w:customStyle="1" w:styleId="Symbols">
    <w:name w:val="Symbols"/>
    <w:basedOn w:val="DefaultParagraphFont"/>
    <w:rsid w:val="0045010C"/>
    <w:rPr>
      <w:rFonts w:ascii="Symbol" w:hAnsi="Symbol"/>
    </w:rPr>
  </w:style>
  <w:style w:type="character" w:customStyle="1" w:styleId="MenuOptions">
    <w:name w:val="Menu Options"/>
    <w:basedOn w:val="DefaultParagraphFont"/>
    <w:rsid w:val="00450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10C"/>
    <w:rPr>
      <w:b/>
    </w:rPr>
  </w:style>
  <w:style w:type="character" w:customStyle="1" w:styleId="Underlined">
    <w:name w:val="Underlined"/>
    <w:basedOn w:val="DefaultParagraphFont"/>
    <w:rsid w:val="0045010C"/>
    <w:rPr>
      <w:u w:val="single"/>
    </w:rPr>
  </w:style>
  <w:style w:type="paragraph" w:customStyle="1" w:styleId="TableBodyTextRight">
    <w:name w:val="Table Body Text Right"/>
    <w:basedOn w:val="TableBodyText"/>
    <w:rsid w:val="00450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10C"/>
    <w:rPr>
      <w:sz w:val="18"/>
    </w:rPr>
  </w:style>
  <w:style w:type="paragraph" w:customStyle="1" w:styleId="BodySmallRight">
    <w:name w:val="Body Small Right"/>
    <w:basedOn w:val="BodyTextRight"/>
    <w:rsid w:val="0045010C"/>
    <w:rPr>
      <w:sz w:val="18"/>
      <w:szCs w:val="18"/>
    </w:rPr>
  </w:style>
  <w:style w:type="paragraph" w:customStyle="1" w:styleId="MarginEdition">
    <w:name w:val="Margin Edition"/>
    <w:basedOn w:val="MarginNote"/>
    <w:rsid w:val="00450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10C"/>
    <w:rPr>
      <w:sz w:val="2"/>
      <w:szCs w:val="2"/>
    </w:rPr>
  </w:style>
  <w:style w:type="character" w:customStyle="1" w:styleId="Small">
    <w:name w:val="Small"/>
    <w:basedOn w:val="DefaultParagraphFont"/>
    <w:rsid w:val="0045010C"/>
    <w:rPr>
      <w:sz w:val="16"/>
    </w:rPr>
  </w:style>
  <w:style w:type="paragraph" w:customStyle="1" w:styleId="WideTable">
    <w:name w:val="Wide Table"/>
    <w:basedOn w:val="Normal"/>
    <w:rsid w:val="00450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10C"/>
  </w:style>
  <w:style w:type="paragraph" w:styleId="Quote">
    <w:name w:val="Quote"/>
    <w:basedOn w:val="Heading1"/>
    <w:link w:val="QuoteChar"/>
    <w:qFormat/>
    <w:rsid w:val="00450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10C"/>
    <w:pPr>
      <w:pageBreakBefore/>
    </w:pPr>
  </w:style>
  <w:style w:type="paragraph" w:customStyle="1" w:styleId="Border">
    <w:name w:val="Border"/>
    <w:basedOn w:val="Normal"/>
    <w:qFormat/>
    <w:rsid w:val="00450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10C"/>
    <w:rPr>
      <w:u w:val="single"/>
    </w:rPr>
  </w:style>
  <w:style w:type="character" w:customStyle="1" w:styleId="BoldandItalics">
    <w:name w:val="Bold and Italics"/>
    <w:qFormat/>
    <w:rsid w:val="0045010C"/>
    <w:rPr>
      <w:b/>
      <w:i/>
      <w:u w:val="none"/>
    </w:rPr>
  </w:style>
  <w:style w:type="paragraph" w:styleId="BalloonText">
    <w:name w:val="Balloon Text"/>
    <w:basedOn w:val="Normal"/>
    <w:link w:val="BalloonTextChar"/>
    <w:rsid w:val="00450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10C"/>
    <w:pPr>
      <w:spacing w:before="0" w:after="0"/>
    </w:pPr>
  </w:style>
  <w:style w:type="paragraph" w:customStyle="1" w:styleId="BodyTextBold">
    <w:name w:val="Body Text Bold"/>
    <w:basedOn w:val="BodyText"/>
    <w:qFormat/>
    <w:rsid w:val="0045010C"/>
    <w:rPr>
      <w:b/>
    </w:rPr>
  </w:style>
  <w:style w:type="character" w:styleId="Hyperlink">
    <w:name w:val="Hyperlink"/>
    <w:basedOn w:val="DefaultParagraphFont"/>
    <w:uiPriority w:val="99"/>
    <w:unhideWhenUsed/>
    <w:rsid w:val="000467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2206</Characters>
  <Application>Microsoft Office Word</Application>
  <DocSecurity>0</DocSecurity>
  <Lines>66</Lines>
  <Paragraphs>55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PMASUP348 Monitor and maintain cathodic protection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