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B65" w:rsidP="00B26B65">
      <w:pPr>
        <w:pStyle w:val="Title"/>
      </w:pPr>
      <w:r>
        <w:fldChar w:fldCharType="begin"/>
      </w:r>
      <w:r>
        <w:instrText xml:space="preserve"> TITLE   \* MERGEFORMAT </w:instrText>
      </w:r>
      <w:r>
        <w:fldChar w:fldCharType="separate"/>
      </w:r>
      <w:r>
        <w:t>PMASUP345 Monitor vibration</w:t>
      </w:r>
      <w:r>
        <w:fldChar w:fldCharType="end"/>
      </w:r>
    </w:p>
    <w:p w:rsidR="00B26B65" w:rsidP="00B26B65">
      <w:pPr>
        <w:pStyle w:val="Version"/>
        <w:sectPr w:rsidSect="00100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1B5" w:rsidP="001001B5">
      <w:pPr>
        <w:pStyle w:val="SuperHeading"/>
      </w:pPr>
      <w:r w:rsidRPr="001001B5">
        <w:t>PMASUP345 Monitor vibration</w:t>
      </w:r>
    </w:p>
    <w:p w:rsidR="00000000" w:rsidRPr="001001B5" w:rsidP="001001B5">
      <w:pPr>
        <w:pStyle w:val="Heading1"/>
      </w:pPr>
      <w:bookmarkStart w:id="1" w:name="O_910047"/>
      <w:bookmarkEnd w:id="1"/>
      <w:r w:rsidRPr="001001B5">
        <w:t>Modification History</w:t>
      </w:r>
    </w:p>
    <w:p w:rsidR="00000000" w:rsidRPr="001001B5" w:rsidP="00B26B65">
      <w:pPr>
        <w:pStyle w:val="BodyText"/>
      </w:pPr>
      <w:r w:rsidRPr="001001B5">
        <w:t>Release 1. Supersedes and is equivalent to PMASUP345A Monitor vibration</w:t>
      </w:r>
    </w:p>
    <w:p w:rsidR="00000000" w:rsidRPr="001001B5" w:rsidP="001001B5">
      <w:pPr>
        <w:pStyle w:val="Heading1"/>
      </w:pPr>
      <w:bookmarkStart w:id="2" w:name="O_910055"/>
      <w:bookmarkEnd w:id="2"/>
      <w:r w:rsidRPr="001001B5">
        <w:t>Application</w:t>
      </w:r>
    </w:p>
    <w:p w:rsidR="00000000" w:rsidRPr="001001B5" w:rsidP="00B26B65">
      <w:pPr>
        <w:pStyle w:val="BodyText"/>
      </w:pPr>
      <w:r w:rsidRPr="001001B5">
        <w:t>This unit of competency covers the skills and knowledge required to undertake specialist monitoring activities as part of a preventive</w:t>
      </w:r>
      <w:r w:rsidRPr="001001B5">
        <w:t xml:space="preserve"> maintenance or total productive maintenance plan or program. </w:t>
      </w:r>
    </w:p>
    <w:p w:rsidR="00000000" w:rsidRPr="001001B5" w:rsidP="00B26B65">
      <w:pPr>
        <w:pStyle w:val="BodyText"/>
      </w:pPr>
      <w:r w:rsidRPr="001001B5">
        <w:t>This unit of competency applies to monitoring that is undertaken in a workshop, laboratory or in situ environment. Readings are undertaken to the accuracy of monitoring equipment limitations o</w:t>
      </w:r>
      <w:r w:rsidRPr="001001B5">
        <w:t>r to site specifications where applicable. The results are typically provided to an engineer or other expert for interpretation and action.</w:t>
      </w:r>
    </w:p>
    <w:p w:rsidR="00000000" w:rsidRPr="001001B5" w:rsidP="00B26B65">
      <w:pPr>
        <w:pStyle w:val="BodyText"/>
      </w:pPr>
      <w:r w:rsidRPr="001001B5">
        <w:t>This unit of competency applies to operators who are required to select appropriate monitoring methods and equipmen</w:t>
      </w:r>
      <w:r w:rsidRPr="001001B5">
        <w:t xml:space="preserve">t, undertake checks according to procedures, and identify and report deviations from specifications. </w:t>
      </w:r>
    </w:p>
    <w:p w:rsidR="00000000" w:rsidRPr="001001B5" w:rsidP="00B26B65">
      <w:pPr>
        <w:pStyle w:val="BodyText"/>
      </w:pPr>
      <w:r w:rsidRPr="001001B5">
        <w:t>This unit of competency applies to an individual working alone or as part of a team or group and working in liaison with other shift team members and the</w:t>
      </w:r>
      <w:r w:rsidRPr="001001B5">
        <w:t xml:space="preserve"> control room operator, as appropriate.</w:t>
      </w:r>
    </w:p>
    <w:p w:rsidR="00000000" w:rsidRPr="001001B5" w:rsidP="00B26B65">
      <w:pPr>
        <w:pStyle w:val="BodyText"/>
      </w:pPr>
      <w:r w:rsidRPr="001001B5">
        <w:t>No licensing, legislative or certification requirements apply to this unit at the time of publication.</w:t>
      </w:r>
    </w:p>
    <w:p w:rsidR="00000000" w:rsidRPr="001001B5" w:rsidP="001001B5">
      <w:pPr>
        <w:pStyle w:val="Heading1"/>
      </w:pPr>
      <w:bookmarkStart w:id="3" w:name="O_910054"/>
      <w:bookmarkEnd w:id="3"/>
      <w:r w:rsidRPr="001001B5">
        <w:t>Pre-requisite Unit</w:t>
      </w:r>
    </w:p>
    <w:p w:rsidR="00000000" w:rsidRPr="001001B5" w:rsidP="00B26B65">
      <w:pPr>
        <w:pStyle w:val="BodyText"/>
      </w:pPr>
      <w:r w:rsidRPr="001001B5">
        <w:t>Nil</w:t>
      </w:r>
    </w:p>
    <w:p w:rsidR="00000000" w:rsidRPr="001001B5" w:rsidP="001001B5">
      <w:pPr>
        <w:pStyle w:val="Heading1"/>
      </w:pPr>
      <w:bookmarkStart w:id="4" w:name="O_910053"/>
      <w:bookmarkEnd w:id="4"/>
      <w:r w:rsidRPr="001001B5">
        <w:t>Competency Field</w:t>
      </w:r>
    </w:p>
    <w:p w:rsidR="00000000" w:rsidRPr="001001B5" w:rsidP="00B26B65">
      <w:pPr>
        <w:pStyle w:val="BodyText"/>
      </w:pPr>
      <w:r w:rsidRPr="001001B5">
        <w:t>Support</w:t>
      </w:r>
    </w:p>
    <w:p w:rsidR="00000000" w:rsidRPr="001001B5" w:rsidP="001001B5">
      <w:pPr>
        <w:pStyle w:val="Heading1"/>
      </w:pPr>
      <w:bookmarkStart w:id="5" w:name="O_910052"/>
      <w:bookmarkEnd w:id="5"/>
      <w:r w:rsidRPr="001001B5">
        <w:t>Unit Sector</w:t>
      </w:r>
    </w:p>
    <w:p w:rsidR="00000000" w:rsidRPr="001001B5" w:rsidP="001001B5">
      <w:pPr>
        <w:pStyle w:val="Heading1"/>
      </w:pPr>
      <w:bookmarkStart w:id="6" w:name="O_910051"/>
      <w:bookmarkEnd w:id="6"/>
      <w:r w:rsidRPr="001001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01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Performance criteria describe the performance needed to demonstrate achievement of the element.</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1</w:t>
            </w:r>
          </w:p>
        </w:tc>
        <w:tc>
          <w:tcPr>
            <w:tcW w:w="1962" w:type="dxa"/>
            <w:vMerge w:val="restart"/>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Prepare for monitoring activities</w:t>
            </w: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1.1</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Identify and confirm specifications</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1.2</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Select appropriate condition monitoring technique</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1.3</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Identify standard operating procedures (SOPs)</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1.4</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Identify and control hazards</w:t>
            </w:r>
          </w:p>
        </w:tc>
      </w:tr>
      <w:tr w:rsidTr="001001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01B5">
            <w:pPr>
              <w:pStyle w:val="BodyText"/>
              <w:rPr>
                <w:lang w:val="en-NZ"/>
              </w:rPr>
            </w:pP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2</w:t>
            </w:r>
          </w:p>
        </w:tc>
        <w:tc>
          <w:tcPr>
            <w:tcW w:w="1962" w:type="dxa"/>
            <w:vMerge w:val="restart"/>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Undertake condition monitoring</w:t>
            </w: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2.1</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Conduct equipment condition monitoring</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2.2</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Undertake checks correctly, safely and to SOPs</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2.3</w:t>
            </w:r>
          </w:p>
        </w:tc>
        <w:tc>
          <w:tcPr>
            <w:tcW w:w="561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Record results and identify deviations from specifications</w:t>
            </w:r>
          </w:p>
        </w:tc>
      </w:tr>
      <w:tr w:rsidTr="0010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2.4</w:t>
            </w:r>
          </w:p>
        </w:tc>
        <w:tc>
          <w:tcPr>
            <w:tcW w:w="5610" w:type="dxa"/>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Report deviations to appropriate authority</w:t>
            </w:r>
          </w:p>
        </w:tc>
      </w:tr>
    </w:tbl>
    <w:p w:rsidR="00000000" w:rsidRPr="001001B5" w:rsidP="001001B5">
      <w:pPr>
        <w:pStyle w:val="BodyText"/>
      </w:pPr>
    </w:p>
    <w:p w:rsidR="00000000" w:rsidRPr="001001B5" w:rsidP="001001B5">
      <w:pPr>
        <w:pStyle w:val="AllowPageBreak"/>
      </w:pPr>
    </w:p>
    <w:p w:rsidR="00000000" w:rsidRPr="001001B5" w:rsidP="001001B5">
      <w:pPr>
        <w:pStyle w:val="Heading1"/>
      </w:pPr>
      <w:bookmarkStart w:id="7" w:name="O_910050"/>
      <w:bookmarkEnd w:id="7"/>
      <w:r w:rsidRPr="001001B5">
        <w:t>Foundation Skills</w:t>
      </w:r>
    </w:p>
    <w:p w:rsidR="00000000" w:rsidRPr="001001B5" w:rsidP="00B26B65">
      <w:pPr>
        <w:pStyle w:val="BodyText"/>
      </w:pPr>
      <w:r w:rsidRPr="001001B5">
        <w:t>This section describes those language, literacy, numeracy and employment skills that are essential to performance.</w:t>
      </w:r>
    </w:p>
    <w:p w:rsidR="00000000" w:rsidRPr="001001B5" w:rsidP="00B26B65">
      <w:pPr>
        <w:pStyle w:val="BodyText"/>
      </w:pPr>
      <w:r w:rsidRPr="001001B5">
        <w:t>Foundation skills essential to performance are explicit in the performance criteria of this unit of competency.</w:t>
      </w:r>
    </w:p>
    <w:p w:rsidR="00000000" w:rsidRPr="001001B5" w:rsidP="001001B5">
      <w:pPr>
        <w:pStyle w:val="Heading1"/>
      </w:pPr>
      <w:bookmarkStart w:id="8" w:name="O_910049"/>
      <w:bookmarkEnd w:id="8"/>
      <w:r w:rsidRPr="001001B5">
        <w:t>Range of Co</w:t>
      </w:r>
      <w:r w:rsidRPr="001001B5">
        <w:t>nditions</w:t>
      </w:r>
    </w:p>
    <w:tbl>
      <w:tblPr>
        <w:tblW w:w="0" w:type="auto"/>
        <w:tblCellMar>
          <w:left w:w="62" w:type="dxa"/>
          <w:right w:w="62" w:type="dxa"/>
        </w:tblCellMar>
        <w:tblLook w:val="0000"/>
      </w:tblPr>
      <w:tblGrid>
        <w:gridCol w:w="2163"/>
        <w:gridCol w:w="7033"/>
      </w:tblGrid>
      <w:tr w:rsidTr="00B26B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t>This field allows for different work environments and conditions that may affect performance. Essential operating conditions that may be present (depending on the work situation, needs of the candidate, accessibility of the item, and local industr</w:t>
            </w:r>
            <w:r w:rsidRPr="001001B5">
              <w:t>y and regional contexts) are included.</w:t>
            </w:r>
          </w:p>
        </w:tc>
      </w:tr>
      <w:tr w:rsidTr="00B26B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 xml:space="preserve">The latest version of all legislation, regulations, industry codes of practice and Australian/international standards, or the version specified by the local regulatory authority, must be used, </w:t>
            </w:r>
            <w:r w:rsidRPr="001001B5">
              <w:t>and include one or more of the following:</w:t>
            </w:r>
          </w:p>
          <w:p w:rsidR="00000000" w:rsidRPr="001001B5" w:rsidP="001001B5">
            <w:pPr>
              <w:pStyle w:val="ListBullet"/>
            </w:pPr>
            <w:r w:rsidRPr="001001B5">
              <w:t>legislative requirements, including work health and safety (WHS)</w:t>
            </w:r>
          </w:p>
          <w:p w:rsidR="00000000" w:rsidRPr="001001B5" w:rsidP="001001B5">
            <w:pPr>
              <w:pStyle w:val="ListBullet"/>
            </w:pPr>
            <w:r w:rsidRPr="001001B5">
              <w:t>industry codes of practice and guidelines</w:t>
            </w:r>
          </w:p>
          <w:p w:rsidR="00000000" w:rsidRPr="001001B5" w:rsidP="001001B5">
            <w:pPr>
              <w:pStyle w:val="ListBullet"/>
            </w:pPr>
            <w:r w:rsidRPr="001001B5">
              <w:t xml:space="preserve">environmental regulations and guidelines </w:t>
            </w:r>
          </w:p>
          <w:p w:rsidR="00000000" w:rsidRPr="001001B5" w:rsidP="001001B5">
            <w:pPr>
              <w:pStyle w:val="ListBullet"/>
            </w:pPr>
            <w:r w:rsidRPr="001001B5">
              <w:t>Australian and other standards</w:t>
            </w:r>
          </w:p>
          <w:p w:rsidR="00000000" w:rsidRPr="001001B5" w:rsidP="001001B5">
            <w:pPr>
              <w:pStyle w:val="ListBullet"/>
            </w:pPr>
            <w:r w:rsidRPr="001001B5">
              <w:t xml:space="preserve">licence and certification requirements </w:t>
            </w:r>
          </w:p>
          <w:p w:rsidR="00000000" w:rsidRPr="001001B5" w:rsidP="001001B5">
            <w:pPr>
              <w:pStyle w:val="BodyText"/>
            </w:pPr>
          </w:p>
          <w:p w:rsidR="00000000" w:rsidRPr="001001B5" w:rsidP="001001B5">
            <w:pPr>
              <w:pStyle w:val="BodyText"/>
            </w:pPr>
            <w:r w:rsidRPr="001001B5">
              <w:t>All operations to which this unit applies are subject to stringent health, safety and environment (HSE) requirements, which may be imposed through state/territory or federal legislation, and these must not be compro</w:t>
            </w:r>
            <w:r w:rsidRPr="001001B5">
              <w:t>mised at any time. Where there is an apparent conflict between performance criteria and HSE requirements, the HSE requirements take precedence.</w:t>
            </w:r>
          </w:p>
          <w:p w:rsidR="00000000" w:rsidP="001001B5">
            <w:pPr>
              <w:pStyle w:val="BodyText"/>
              <w:rPr>
                <w:lang w:val="en-NZ"/>
              </w:rPr>
            </w:pPr>
          </w:p>
        </w:tc>
      </w:tr>
      <w:tr w:rsidTr="00B26B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All operations must be performed in accordance with relevant procedures.</w:t>
            </w:r>
          </w:p>
          <w:p w:rsidR="00000000" w:rsidRPr="001001B5" w:rsidP="001001B5">
            <w:pPr>
              <w:pStyle w:val="BodyText"/>
            </w:pPr>
          </w:p>
          <w:p w:rsidR="00000000" w:rsidRPr="001001B5" w:rsidP="001001B5">
            <w:pPr>
              <w:pStyle w:val="BodyText"/>
            </w:pPr>
            <w:r w:rsidRPr="001001B5">
              <w:t>Procedures are written, v</w:t>
            </w:r>
            <w:r w:rsidRPr="001001B5">
              <w:t>erbal, visual, computer-based or in some other form, include one or more of the following:</w:t>
            </w:r>
          </w:p>
          <w:p w:rsidR="00000000" w:rsidRPr="001001B5" w:rsidP="001001B5">
            <w:pPr>
              <w:pStyle w:val="ListBullet"/>
            </w:pPr>
            <w:r w:rsidRPr="001001B5">
              <w:t>emergency procedures</w:t>
            </w:r>
          </w:p>
          <w:p w:rsidR="00000000" w:rsidRPr="001001B5" w:rsidP="001001B5">
            <w:pPr>
              <w:pStyle w:val="ListBullet"/>
            </w:pPr>
            <w:r w:rsidRPr="001001B5">
              <w:t>work instructions</w:t>
            </w:r>
          </w:p>
          <w:p w:rsidR="00000000" w:rsidRPr="001001B5" w:rsidP="001001B5">
            <w:pPr>
              <w:pStyle w:val="ListBullet"/>
            </w:pPr>
            <w:r w:rsidRPr="001001B5">
              <w:t>SOPs</w:t>
            </w:r>
          </w:p>
          <w:p w:rsidR="00000000" w:rsidRPr="001001B5" w:rsidP="001001B5">
            <w:pPr>
              <w:pStyle w:val="ListBullet"/>
            </w:pPr>
            <w:r w:rsidRPr="001001B5">
              <w:t>safe work method statements (SWMS)</w:t>
            </w:r>
          </w:p>
          <w:p w:rsidR="00000000" w:rsidRPr="001001B5" w:rsidP="001001B5">
            <w:pPr>
              <w:pStyle w:val="ListBullet"/>
            </w:pPr>
            <w:r w:rsidRPr="001001B5">
              <w:t>formulas/recipes</w:t>
            </w:r>
          </w:p>
          <w:p w:rsidR="00000000" w:rsidRPr="001001B5" w:rsidP="001001B5">
            <w:pPr>
              <w:pStyle w:val="ListBullet"/>
            </w:pPr>
            <w:r w:rsidRPr="001001B5">
              <w:t>batch sheets</w:t>
            </w:r>
          </w:p>
          <w:p w:rsidR="00000000" w:rsidRPr="001001B5" w:rsidP="001001B5">
            <w:pPr>
              <w:pStyle w:val="ListBullet"/>
            </w:pPr>
            <w:r w:rsidRPr="001001B5">
              <w:t>temporary instructions</w:t>
            </w:r>
          </w:p>
          <w:p w:rsidR="00000000" w:rsidRPr="001001B5" w:rsidP="001001B5">
            <w:pPr>
              <w:pStyle w:val="ListBullet"/>
            </w:pPr>
            <w:r w:rsidRPr="001001B5">
              <w:t>any similar instructions provided for the smooth running of the plant</w:t>
            </w:r>
          </w:p>
          <w:p w:rsidR="00000000" w:rsidP="001001B5">
            <w:pPr>
              <w:pStyle w:val="BodyText"/>
              <w:rPr>
                <w:lang w:val="en-NZ"/>
              </w:rPr>
            </w:pPr>
          </w:p>
        </w:tc>
      </w:tr>
      <w:tr w:rsidTr="00B26B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Hazards include one or more of the following:</w:t>
            </w:r>
          </w:p>
          <w:p w:rsidR="00000000" w:rsidRPr="001001B5" w:rsidP="001001B5">
            <w:pPr>
              <w:pStyle w:val="ListBullet"/>
            </w:pPr>
            <w:r w:rsidRPr="001001B5">
              <w:t>electricity</w:t>
            </w:r>
          </w:p>
          <w:p w:rsidR="00000000" w:rsidRPr="001001B5" w:rsidP="001001B5">
            <w:pPr>
              <w:pStyle w:val="ListBullet"/>
            </w:pPr>
            <w:r w:rsidRPr="001001B5">
              <w:t>gas</w:t>
            </w:r>
          </w:p>
          <w:p w:rsidR="00000000" w:rsidRPr="001001B5" w:rsidP="001001B5">
            <w:pPr>
              <w:pStyle w:val="ListBullet"/>
            </w:pPr>
            <w:r w:rsidRPr="001001B5">
              <w:t xml:space="preserve">gases and liquids under pressure </w:t>
            </w:r>
          </w:p>
          <w:p w:rsidR="00000000" w:rsidRPr="001001B5" w:rsidP="001001B5">
            <w:pPr>
              <w:pStyle w:val="ListBullet"/>
            </w:pPr>
            <w:r w:rsidRPr="001001B5">
              <w:t>structural hazards</w:t>
            </w:r>
          </w:p>
          <w:p w:rsidR="00000000" w:rsidRPr="001001B5" w:rsidP="001001B5">
            <w:pPr>
              <w:pStyle w:val="ListBullet"/>
            </w:pPr>
            <w:r w:rsidRPr="001001B5">
              <w:t>industrial (machinery, equipment and product)</w:t>
            </w:r>
          </w:p>
          <w:p w:rsidR="00000000" w:rsidRPr="001001B5" w:rsidP="001001B5">
            <w:pPr>
              <w:pStyle w:val="ListBullet"/>
            </w:pPr>
            <w:r w:rsidRPr="001001B5">
              <w:t>equipment or p</w:t>
            </w:r>
            <w:r w:rsidRPr="001001B5">
              <w:t>roduct mass</w:t>
            </w:r>
          </w:p>
          <w:p w:rsidR="00000000" w:rsidRPr="001001B5" w:rsidP="001001B5">
            <w:pPr>
              <w:pStyle w:val="ListBullet"/>
            </w:pPr>
            <w:r w:rsidRPr="001001B5">
              <w:t>noise, rotational equipment or vibration</w:t>
            </w:r>
          </w:p>
          <w:p w:rsidR="00000000" w:rsidRPr="001001B5" w:rsidP="001001B5">
            <w:pPr>
              <w:pStyle w:val="ListBullet"/>
            </w:pPr>
            <w:r w:rsidRPr="001001B5">
              <w:t>plant services (steam, condensate and cooling water)</w:t>
            </w:r>
          </w:p>
          <w:p w:rsidR="00000000" w:rsidRPr="001001B5" w:rsidP="001001B5">
            <w:pPr>
              <w:pStyle w:val="ListBullet"/>
            </w:pPr>
            <w:r w:rsidRPr="001001B5">
              <w:t xml:space="preserve">limited head spaces or overhangs </w:t>
            </w:r>
          </w:p>
          <w:p w:rsidR="00000000" w:rsidRPr="001001B5" w:rsidP="001001B5">
            <w:pPr>
              <w:pStyle w:val="ListBullet"/>
            </w:pPr>
            <w:r w:rsidRPr="001001B5">
              <w:t>working at heights, in restricted or confined spaces, or in environments subjected to heat, dusts or vapours</w:t>
            </w:r>
          </w:p>
          <w:p w:rsidR="00000000" w:rsidRPr="001001B5" w:rsidP="001001B5">
            <w:pPr>
              <w:pStyle w:val="ListBullet"/>
            </w:pPr>
            <w:r w:rsidRPr="001001B5">
              <w:t>flammability and explosivity</w:t>
            </w:r>
          </w:p>
          <w:p w:rsidR="00000000" w:rsidRPr="001001B5" w:rsidP="001001B5">
            <w:pPr>
              <w:pStyle w:val="ListBullet"/>
            </w:pPr>
            <w:r w:rsidRPr="001001B5">
              <w:t>hazardous products and materials</w:t>
            </w:r>
          </w:p>
          <w:p w:rsidR="00000000" w:rsidRPr="001001B5" w:rsidP="001001B5">
            <w:pPr>
              <w:pStyle w:val="ListBullet"/>
            </w:pPr>
            <w:r w:rsidRPr="001001B5">
              <w:t>unauthorised personnel</w:t>
            </w:r>
          </w:p>
          <w:p w:rsidR="00000000" w:rsidRPr="001001B5" w:rsidP="001001B5">
            <w:pPr>
              <w:pStyle w:val="ListBullet"/>
            </w:pPr>
            <w:r w:rsidRPr="001001B5">
              <w:t>sharp edges, protrusions or obstructions</w:t>
            </w:r>
          </w:p>
          <w:p w:rsidR="00000000" w:rsidRPr="001001B5" w:rsidP="001001B5">
            <w:pPr>
              <w:pStyle w:val="ListBullet"/>
            </w:pPr>
            <w:r w:rsidRPr="001001B5">
              <w:t>slippery surfaces, spills or leaks</w:t>
            </w:r>
          </w:p>
          <w:p w:rsidR="00000000" w:rsidRPr="001001B5" w:rsidP="001001B5">
            <w:pPr>
              <w:pStyle w:val="ListBullet"/>
            </w:pPr>
            <w:r w:rsidRPr="001001B5">
              <w:t>extreme weather</w:t>
            </w:r>
          </w:p>
          <w:p w:rsidR="00000000" w:rsidRPr="001001B5" w:rsidP="001001B5">
            <w:pPr>
              <w:pStyle w:val="ListBullet"/>
            </w:pPr>
            <w:r w:rsidRPr="001001B5">
              <w:t>other hazards that might arise</w:t>
            </w:r>
          </w:p>
          <w:p w:rsidR="00000000" w:rsidP="001001B5">
            <w:pPr>
              <w:pStyle w:val="BodyText"/>
              <w:rPr>
                <w:lang w:val="en-NZ"/>
              </w:rPr>
            </w:pPr>
          </w:p>
        </w:tc>
      </w:tr>
      <w:tr w:rsidTr="00B26B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01B5">
            <w:pPr>
              <w:pStyle w:val="BodyText"/>
              <w:rPr>
                <w:lang w:val="en-NZ"/>
              </w:rPr>
            </w:pPr>
            <w:r w:rsidRPr="001001B5">
              <w:rPr>
                <w:rStyle w:val="SpecialBold"/>
              </w:rPr>
              <w:t>Monitoring equipment</w:t>
            </w:r>
          </w:p>
        </w:tc>
        <w:tc>
          <w:tcPr>
            <w:tcW w:w="0" w:type="auto"/>
            <w:tcBorders>
              <w:top w:val="nil"/>
              <w:left w:val="nil"/>
              <w:bottom w:val="nil"/>
              <w:right w:val="nil"/>
            </w:tcBorders>
            <w:tcMar>
              <w:top w:w="0" w:type="dxa"/>
              <w:left w:w="62" w:type="dxa"/>
              <w:bottom w:w="0" w:type="dxa"/>
              <w:right w:w="62" w:type="dxa"/>
            </w:tcMar>
          </w:tcPr>
          <w:p w:rsidR="00000000" w:rsidRPr="001001B5" w:rsidP="001001B5">
            <w:pPr>
              <w:pStyle w:val="BodyText"/>
            </w:pPr>
            <w:r w:rsidRPr="001001B5">
              <w:t>Monitoring equipment incl</w:t>
            </w:r>
            <w:r w:rsidRPr="001001B5">
              <w:t>udes one or more of the following:</w:t>
            </w:r>
          </w:p>
          <w:p w:rsidR="00000000" w:rsidRPr="001001B5" w:rsidP="001001B5">
            <w:pPr>
              <w:pStyle w:val="ListBullet"/>
            </w:pPr>
            <w:r w:rsidRPr="001001B5">
              <w:t>built-in systems (software and site displays)</w:t>
            </w:r>
          </w:p>
          <w:p w:rsidR="00000000" w:rsidRPr="001001B5" w:rsidP="001001B5">
            <w:pPr>
              <w:pStyle w:val="ListBullet"/>
            </w:pPr>
            <w:r w:rsidRPr="001001B5">
              <w:t>portable meters or devices</w:t>
            </w:r>
          </w:p>
          <w:p w:rsidR="00000000" w:rsidRPr="001001B5" w:rsidP="001001B5">
            <w:pPr>
              <w:pStyle w:val="ListBullet"/>
            </w:pPr>
            <w:r w:rsidRPr="001001B5">
              <w:t>vibration monitors</w:t>
            </w:r>
          </w:p>
          <w:p w:rsidR="00000000" w:rsidRPr="001001B5" w:rsidP="001001B5">
            <w:pPr>
              <w:pStyle w:val="ListBullet"/>
            </w:pPr>
            <w:r w:rsidRPr="001001B5">
              <w:t>infra-red and ultra-violet, and non-destructive testing</w:t>
            </w:r>
          </w:p>
        </w:tc>
      </w:tr>
    </w:tbl>
    <w:p w:rsidR="00000000" w:rsidRPr="001001B5" w:rsidP="001001B5">
      <w:pPr>
        <w:pStyle w:val="BodyText"/>
      </w:pPr>
    </w:p>
    <w:p w:rsidR="00000000" w:rsidRPr="001001B5" w:rsidP="001001B5">
      <w:pPr>
        <w:pStyle w:val="AllowPageBreak"/>
      </w:pPr>
    </w:p>
    <w:p w:rsidR="00000000" w:rsidRPr="001001B5" w:rsidP="001001B5">
      <w:pPr>
        <w:pStyle w:val="Heading1"/>
      </w:pPr>
      <w:bookmarkStart w:id="9" w:name="O_910048"/>
      <w:bookmarkEnd w:id="9"/>
      <w:r w:rsidRPr="001001B5">
        <w:t>Unit Mapping Information</w:t>
      </w:r>
    </w:p>
    <w:p w:rsidR="00000000" w:rsidRPr="001001B5" w:rsidP="00B26B65">
      <w:pPr>
        <w:pStyle w:val="BodyText"/>
      </w:pPr>
      <w:r w:rsidRPr="001001B5">
        <w:t>Release 1. Supersedes and is equivalent to PMASUP345A Monitor vibration</w:t>
      </w:r>
    </w:p>
    <w:p w:rsidR="00000000" w:rsidRPr="001001B5" w:rsidP="001001B5">
      <w:pPr>
        <w:pStyle w:val="Heading1"/>
      </w:pPr>
      <w:bookmarkStart w:id="10" w:name="O_910041"/>
      <w:bookmarkEnd w:id="10"/>
      <w:r w:rsidRPr="001001B5">
        <w:t>Links</w:t>
      </w:r>
    </w:p>
    <w:p w:rsidR="00000000" w:rsidRPr="001001B5" w:rsidP="00B26B65">
      <w:pPr>
        <w:pStyle w:val="BodyText"/>
      </w:pPr>
      <w:r w:rsidRPr="001001B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D724E">
        <w:rPr>
          <w:rStyle w:val="Hyperlink"/>
        </w:rPr>
        <w:t>https://vetnet.gov.au/Pages/TrainingDocs.aspx?q=9fc2cf53-e570-4e9f-ad6a-b228ffdb6875</w:t>
      </w:r>
      <w:r>
        <w:fldChar w:fldCharType="end"/>
      </w:r>
    </w:p>
    <w:p w:rsidR="00000000" w:rsidRPr="001001B5" w:rsidP="001001B5"/>
    <w:sectPr w:rsidSect="001001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B5" w:rsidRPr="00B26B65" w:rsidP="00B26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65" w:rsidP="00100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B65" w:rsidP="001001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B65" w:rsidP="00100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1B5" w:rsidRPr="00B26B65" w:rsidP="00B26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65" w:rsidRPr="002D2AF8" w:rsidP="001001B5">
    <w:pPr>
      <w:pStyle w:val="Header"/>
      <w:framePr w:wrap="around"/>
    </w:pPr>
    <w:r>
      <w:fldChar w:fldCharType="begin"/>
    </w:r>
    <w:r>
      <w:instrText xml:space="preserve"> TITLE   \* MERGEFORMAT </w:instrText>
    </w:r>
    <w:r>
      <w:fldChar w:fldCharType="separate"/>
    </w:r>
    <w:r>
      <w:t>PMASUP345 Monitor vibration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B26B65" w:rsidP="00100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4A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7C8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1B5"/>
    <w:pPr>
      <w:spacing w:before="360" w:after="60"/>
      <w:outlineLvl w:val="0"/>
    </w:pPr>
    <w:rPr>
      <w:sz w:val="32"/>
    </w:rPr>
  </w:style>
  <w:style w:type="paragraph" w:styleId="Heading2">
    <w:name w:val="heading 2"/>
    <w:basedOn w:val="HeadingBase"/>
    <w:next w:val="BodyText"/>
    <w:link w:val="Heading2Char"/>
    <w:qFormat/>
    <w:rsid w:val="001001B5"/>
    <w:pPr>
      <w:keepLines/>
      <w:spacing w:before="240" w:after="120"/>
      <w:outlineLvl w:val="1"/>
    </w:pPr>
    <w:rPr>
      <w:sz w:val="28"/>
      <w:szCs w:val="40"/>
    </w:rPr>
  </w:style>
  <w:style w:type="paragraph" w:styleId="Heading3">
    <w:name w:val="heading 3"/>
    <w:basedOn w:val="HeadingBase"/>
    <w:next w:val="BodyText"/>
    <w:link w:val="Heading3Char"/>
    <w:qFormat/>
    <w:rsid w:val="001001B5"/>
    <w:pPr>
      <w:spacing w:before="180" w:after="120"/>
      <w:outlineLvl w:val="2"/>
    </w:pPr>
    <w:rPr>
      <w:spacing w:val="-10"/>
      <w:kern w:val="32"/>
    </w:rPr>
  </w:style>
  <w:style w:type="paragraph" w:styleId="Heading4">
    <w:name w:val="heading 4"/>
    <w:basedOn w:val="HeadingBase"/>
    <w:next w:val="BodyText"/>
    <w:link w:val="Heading4Char"/>
    <w:qFormat/>
    <w:rsid w:val="001001B5"/>
    <w:pPr>
      <w:spacing w:before="160" w:after="120"/>
      <w:outlineLvl w:val="3"/>
    </w:pPr>
    <w:rPr>
      <w:sz w:val="22"/>
    </w:rPr>
  </w:style>
  <w:style w:type="paragraph" w:styleId="Heading5">
    <w:name w:val="heading 5"/>
    <w:basedOn w:val="HeadingBase"/>
    <w:next w:val="Normal"/>
    <w:link w:val="Heading5Char"/>
    <w:qFormat/>
    <w:rsid w:val="001001B5"/>
    <w:pPr>
      <w:spacing w:before="80"/>
      <w:outlineLvl w:val="4"/>
    </w:pPr>
    <w:rPr>
      <w:color w:val="918585"/>
      <w:sz w:val="20"/>
    </w:rPr>
  </w:style>
  <w:style w:type="paragraph" w:styleId="Heading6">
    <w:name w:val="heading 6"/>
    <w:basedOn w:val="HeadingBase"/>
    <w:next w:val="Normal"/>
    <w:link w:val="Heading6Char"/>
    <w:qFormat/>
    <w:rsid w:val="001001B5"/>
    <w:pPr>
      <w:spacing w:before="60"/>
      <w:outlineLvl w:val="5"/>
    </w:pPr>
    <w:rPr>
      <w:color w:val="918585"/>
      <w:sz w:val="20"/>
    </w:rPr>
  </w:style>
  <w:style w:type="paragraph" w:styleId="Heading7">
    <w:name w:val="heading 7"/>
    <w:basedOn w:val="Normal"/>
    <w:next w:val="Normal"/>
    <w:link w:val="Heading7Char"/>
    <w:qFormat/>
    <w:rsid w:val="001001B5"/>
    <w:pPr>
      <w:ind w:left="720"/>
      <w:outlineLvl w:val="6"/>
    </w:pPr>
    <w:rPr>
      <w:i/>
    </w:rPr>
  </w:style>
  <w:style w:type="paragraph" w:styleId="Heading8">
    <w:name w:val="heading 8"/>
    <w:basedOn w:val="Normal"/>
    <w:next w:val="Normal"/>
    <w:link w:val="Heading8Char"/>
    <w:qFormat/>
    <w:rsid w:val="001001B5"/>
    <w:pPr>
      <w:ind w:left="720"/>
      <w:outlineLvl w:val="7"/>
    </w:pPr>
    <w:rPr>
      <w:i/>
    </w:rPr>
  </w:style>
  <w:style w:type="paragraph" w:styleId="Heading9">
    <w:name w:val="heading 9"/>
    <w:basedOn w:val="Normal"/>
    <w:next w:val="Normal"/>
    <w:link w:val="Heading9Char"/>
    <w:qFormat/>
    <w:rsid w:val="001001B5"/>
    <w:pPr>
      <w:ind w:left="720"/>
      <w:outlineLvl w:val="8"/>
    </w:pPr>
    <w:rPr>
      <w:i/>
    </w:rPr>
  </w:style>
  <w:style w:type="character" w:default="1" w:styleId="DefaultParagraphFont">
    <w:name w:val="Default Paragraph Font"/>
    <w:uiPriority w:val="1"/>
    <w:unhideWhenUsed/>
    <w:rsid w:val="00100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1B5"/>
  </w:style>
  <w:style w:type="character" w:customStyle="1" w:styleId="Heading1Char">
    <w:name w:val="Heading 1 Char"/>
    <w:basedOn w:val="DefaultParagraphFont"/>
    <w:link w:val="Heading1"/>
    <w:rsid w:val="001001B5"/>
    <w:rPr>
      <w:rFonts w:ascii="Times New Roman" w:eastAsia="Times New Roman" w:hAnsi="Times New Roman" w:cs="Times New Roman"/>
      <w:b/>
      <w:sz w:val="32"/>
      <w:szCs w:val="20"/>
      <w:lang w:eastAsia="en-US"/>
    </w:rPr>
  </w:style>
  <w:style w:type="paragraph" w:styleId="BodyText">
    <w:name w:val="Body Text"/>
    <w:basedOn w:val="Normal"/>
    <w:link w:val="BodyTextChar"/>
    <w:rsid w:val="00100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1B5"/>
    <w:rPr>
      <w:rFonts w:ascii="Times New Roman" w:eastAsia="Times New Roman" w:hAnsi="Times New Roman" w:cs="Times New Roman"/>
      <w:sz w:val="24"/>
      <w:lang w:eastAsia="en-US"/>
    </w:rPr>
  </w:style>
  <w:style w:type="paragraph" w:styleId="ListBullet">
    <w:name w:val="List Bullet"/>
    <w:basedOn w:val="List"/>
    <w:rsid w:val="001001B5"/>
    <w:pPr>
      <w:numPr>
        <w:numId w:val="11"/>
      </w:numPr>
      <w:tabs>
        <w:tab w:val="clear" w:pos="340"/>
      </w:tabs>
      <w:spacing w:before="40" w:after="40"/>
    </w:pPr>
  </w:style>
  <w:style w:type="character" w:customStyle="1" w:styleId="SpecialBold">
    <w:name w:val="Special Bold"/>
    <w:basedOn w:val="DefaultParagraphFont"/>
    <w:rsid w:val="001001B5"/>
    <w:rPr>
      <w:b/>
      <w:spacing w:val="0"/>
    </w:rPr>
  </w:style>
  <w:style w:type="paragraph" w:customStyle="1" w:styleId="SuperHeading">
    <w:name w:val="SuperHeading"/>
    <w:basedOn w:val="Normal"/>
    <w:rsid w:val="001001B5"/>
    <w:pPr>
      <w:spacing w:before="240" w:after="120"/>
      <w:outlineLvl w:val="0"/>
    </w:pPr>
    <w:rPr>
      <w:rFonts w:ascii="Times New Roman" w:hAnsi="Times New Roman"/>
      <w:b/>
      <w:sz w:val="32"/>
    </w:rPr>
  </w:style>
  <w:style w:type="paragraph" w:customStyle="1" w:styleId="AllowPageBreak">
    <w:name w:val="AllowPageBreak"/>
    <w:rsid w:val="00100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1B5"/>
    <w:rPr>
      <w:rFonts w:ascii="Courier New" w:eastAsia="Times New Roman" w:hAnsi="Courier New" w:cs="Times New Roman"/>
      <w:i/>
      <w:szCs w:val="20"/>
      <w:lang w:eastAsia="en-US"/>
    </w:rPr>
  </w:style>
  <w:style w:type="paragraph" w:customStyle="1" w:styleId="HeadingBase">
    <w:name w:val="Heading Base"/>
    <w:rsid w:val="00100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1B5"/>
    <w:pPr>
      <w:tabs>
        <w:tab w:val="right" w:leader="dot" w:pos="9072"/>
      </w:tabs>
      <w:ind w:left="567"/>
    </w:pPr>
    <w:rPr>
      <w:szCs w:val="22"/>
    </w:rPr>
  </w:style>
  <w:style w:type="paragraph" w:customStyle="1" w:styleId="TOCBase">
    <w:name w:val="TOC Base"/>
    <w:rsid w:val="00100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1B5"/>
    <w:pPr>
      <w:tabs>
        <w:tab w:val="right" w:leader="dot" w:pos="9072"/>
      </w:tabs>
      <w:spacing w:before="40" w:after="40"/>
      <w:ind w:left="284"/>
    </w:pPr>
    <w:rPr>
      <w:rFonts w:ascii="Times New Roman" w:hAnsi="Times New Roman"/>
    </w:rPr>
  </w:style>
  <w:style w:type="paragraph" w:styleId="TOC1">
    <w:name w:val="toc 1"/>
    <w:basedOn w:val="TOCBase"/>
    <w:next w:val="Normal"/>
    <w:rsid w:val="00100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1B5"/>
    <w:rPr>
      <w:rFonts w:ascii="Times New Roman" w:eastAsia="Times New Roman" w:hAnsi="Times New Roman" w:cs="Times New Roman"/>
      <w:sz w:val="16"/>
      <w:lang w:eastAsia="en-US"/>
    </w:rPr>
  </w:style>
  <w:style w:type="paragraph" w:styleId="Title">
    <w:name w:val="Title"/>
    <w:basedOn w:val="HeadingBase"/>
    <w:link w:val="TitleChar"/>
    <w:qFormat/>
    <w:rsid w:val="001001B5"/>
    <w:pPr>
      <w:spacing w:before="5040"/>
      <w:jc w:val="center"/>
    </w:pPr>
    <w:rPr>
      <w:sz w:val="48"/>
      <w:szCs w:val="72"/>
      <w:lang w:val="en-US"/>
    </w:rPr>
  </w:style>
  <w:style w:type="character" w:customStyle="1" w:styleId="TitleChar">
    <w:name w:val="Title Char"/>
    <w:basedOn w:val="DefaultParagraphFont"/>
    <w:link w:val="Title"/>
    <w:rsid w:val="00100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1B5"/>
    <w:pPr>
      <w:tabs>
        <w:tab w:val="left" w:pos="3600"/>
        <w:tab w:val="left" w:pos="3958"/>
      </w:tabs>
    </w:pPr>
  </w:style>
  <w:style w:type="paragraph" w:styleId="List">
    <w:name w:val="List"/>
    <w:basedOn w:val="BodyText"/>
    <w:next w:val="BodyText"/>
    <w:rsid w:val="001001B5"/>
    <w:pPr>
      <w:tabs>
        <w:tab w:val="left" w:pos="340"/>
      </w:tabs>
      <w:spacing w:before="60" w:after="60"/>
      <w:ind w:left="340" w:hanging="340"/>
    </w:pPr>
  </w:style>
  <w:style w:type="paragraph" w:customStyle="1" w:styleId="Note">
    <w:name w:val="Note"/>
    <w:basedOn w:val="BodyText"/>
    <w:rsid w:val="00100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1B5"/>
    <w:pPr>
      <w:framePr w:wrap="auto" w:hAnchor="text" w:y="6049"/>
    </w:pPr>
    <w:rPr>
      <w:color w:val="000000"/>
      <w:sz w:val="40"/>
    </w:rPr>
  </w:style>
  <w:style w:type="paragraph" w:customStyle="1" w:styleId="TOCTitle">
    <w:name w:val="TOCTitle"/>
    <w:basedOn w:val="Heading1"/>
    <w:rsid w:val="001001B5"/>
    <w:pPr>
      <w:spacing w:after="240"/>
      <w:jc w:val="center"/>
      <w:outlineLvl w:val="9"/>
    </w:pPr>
    <w:rPr>
      <w:caps/>
    </w:rPr>
  </w:style>
  <w:style w:type="paragraph" w:customStyle="1" w:styleId="Version">
    <w:name w:val="Version"/>
    <w:rsid w:val="00100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1B5"/>
    <w:pPr>
      <w:numPr>
        <w:numId w:val="12"/>
      </w:numPr>
      <w:tabs>
        <w:tab w:val="clear" w:pos="680"/>
      </w:tabs>
    </w:pPr>
  </w:style>
  <w:style w:type="paragraph" w:styleId="Index1">
    <w:name w:val="index 1"/>
    <w:basedOn w:val="Normal"/>
    <w:next w:val="Normal"/>
    <w:semiHidden/>
    <w:rsid w:val="001001B5"/>
    <w:pPr>
      <w:keepNext w:val="0"/>
      <w:tabs>
        <w:tab w:val="right" w:pos="4176"/>
      </w:tabs>
      <w:ind w:left="198" w:hanging="198"/>
    </w:pPr>
    <w:rPr>
      <w:rFonts w:ascii="Garamond" w:hAnsi="Garamond"/>
    </w:rPr>
  </w:style>
  <w:style w:type="paragraph" w:styleId="IndexHeading">
    <w:name w:val="index heading"/>
    <w:basedOn w:val="Normal"/>
    <w:next w:val="Index1"/>
    <w:semiHidden/>
    <w:rsid w:val="001001B5"/>
    <w:pPr>
      <w:spacing w:before="120" w:after="120"/>
    </w:pPr>
    <w:rPr>
      <w:rFonts w:ascii="Arial" w:hAnsi="Arial"/>
      <w:b/>
      <w:color w:val="918585"/>
      <w:sz w:val="24"/>
    </w:rPr>
  </w:style>
  <w:style w:type="paragraph" w:styleId="Header">
    <w:name w:val="header"/>
    <w:basedOn w:val="Normal"/>
    <w:link w:val="HeaderChar"/>
    <w:rsid w:val="00100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1B5"/>
    <w:rPr>
      <w:rFonts w:ascii="Times New Roman" w:eastAsia="Times New Roman" w:hAnsi="Times New Roman" w:cs="Times New Roman"/>
      <w:sz w:val="16"/>
      <w:szCs w:val="20"/>
      <w:lang w:val="en-GB" w:eastAsia="en-US"/>
    </w:rPr>
  </w:style>
  <w:style w:type="paragraph" w:customStyle="1" w:styleId="Chapter">
    <w:name w:val="Chapter"/>
    <w:basedOn w:val="Normal"/>
    <w:rsid w:val="001001B5"/>
    <w:pPr>
      <w:spacing w:before="240"/>
    </w:pPr>
    <w:rPr>
      <w:rFonts w:ascii="Times New Roman" w:hAnsi="Times New Roman"/>
      <w:smallCaps/>
      <w:spacing w:val="80"/>
      <w:sz w:val="28"/>
    </w:rPr>
  </w:style>
  <w:style w:type="paragraph" w:customStyle="1" w:styleId="InChapter">
    <w:name w:val="InChapter"/>
    <w:basedOn w:val="Heading3"/>
    <w:rsid w:val="001001B5"/>
    <w:pPr>
      <w:spacing w:after="240"/>
      <w:outlineLvl w:val="9"/>
    </w:pPr>
    <w:rPr>
      <w:noProof/>
    </w:rPr>
  </w:style>
  <w:style w:type="paragraph" w:styleId="Index2">
    <w:name w:val="index 2"/>
    <w:basedOn w:val="Normal"/>
    <w:next w:val="Normal"/>
    <w:semiHidden/>
    <w:rsid w:val="001001B5"/>
    <w:pPr>
      <w:tabs>
        <w:tab w:val="right" w:pos="4176"/>
      </w:tabs>
      <w:ind w:left="568" w:hanging="284"/>
    </w:pPr>
    <w:rPr>
      <w:rFonts w:ascii="Garamond" w:hAnsi="Garamond"/>
    </w:rPr>
  </w:style>
  <w:style w:type="paragraph" w:customStyle="1" w:styleId="Byline">
    <w:name w:val="Byline"/>
    <w:rsid w:val="00100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1B5"/>
    <w:pPr>
      <w:tabs>
        <w:tab w:val="clear" w:pos="3600"/>
        <w:tab w:val="clear" w:pos="3958"/>
      </w:tabs>
      <w:jc w:val="right"/>
    </w:pPr>
  </w:style>
  <w:style w:type="character" w:styleId="Emphasis">
    <w:name w:val="Emphasis"/>
    <w:basedOn w:val="DefaultParagraphFont"/>
    <w:qFormat/>
    <w:rsid w:val="001001B5"/>
    <w:rPr>
      <w:i/>
    </w:rPr>
  </w:style>
  <w:style w:type="paragraph" w:styleId="Caption">
    <w:name w:val="caption"/>
    <w:basedOn w:val="BodyText"/>
    <w:next w:val="Normal"/>
    <w:qFormat/>
    <w:rsid w:val="001001B5"/>
    <w:pPr>
      <w:framePr w:w="2268" w:hSpace="181" w:vSpace="181" w:wrap="around" w:vAnchor="text" w:hAnchor="page" w:x="1135" w:y="285" w:anchorLock="1"/>
    </w:pPr>
    <w:rPr>
      <w:i/>
    </w:rPr>
  </w:style>
  <w:style w:type="paragraph" w:customStyle="1" w:styleId="MiniTOCTitle">
    <w:name w:val="MiniTOCTitle"/>
    <w:basedOn w:val="Heading4"/>
    <w:rsid w:val="001001B5"/>
    <w:pPr>
      <w:spacing w:before="240"/>
      <w:outlineLvl w:val="9"/>
    </w:pPr>
    <w:rPr>
      <w:noProof/>
      <w:sz w:val="24"/>
    </w:rPr>
  </w:style>
  <w:style w:type="paragraph" w:customStyle="1" w:styleId="MiniTOCItem">
    <w:name w:val="MiniTOCItem"/>
    <w:basedOn w:val="ListBullet"/>
    <w:rsid w:val="001001B5"/>
    <w:pPr>
      <w:numPr>
        <w:numId w:val="0"/>
      </w:numPr>
      <w:tabs>
        <w:tab w:val="right" w:leader="dot" w:pos="6521"/>
      </w:tabs>
      <w:spacing w:before="0" w:after="0"/>
    </w:pPr>
  </w:style>
  <w:style w:type="paragraph" w:customStyle="1" w:styleId="TOFTitle">
    <w:name w:val="TOFTitle"/>
    <w:basedOn w:val="TOCTitle"/>
    <w:rsid w:val="001001B5"/>
  </w:style>
  <w:style w:type="paragraph" w:styleId="TableofFigures">
    <w:name w:val="table of figures"/>
    <w:basedOn w:val="Normal"/>
    <w:next w:val="Normal"/>
    <w:semiHidden/>
    <w:rsid w:val="001001B5"/>
    <w:pPr>
      <w:tabs>
        <w:tab w:val="right" w:leader="dot" w:pos="9072"/>
      </w:tabs>
      <w:ind w:left="970" w:hanging="403"/>
    </w:pPr>
    <w:rPr>
      <w:rFonts w:ascii="Times New Roman" w:hAnsi="Times New Roman"/>
      <w:b/>
    </w:rPr>
  </w:style>
  <w:style w:type="paragraph" w:styleId="ListNumber">
    <w:name w:val="List Number"/>
    <w:basedOn w:val="List"/>
    <w:rsid w:val="001001B5"/>
    <w:pPr>
      <w:numPr>
        <w:numId w:val="14"/>
      </w:numPr>
      <w:tabs>
        <w:tab w:val="clear" w:pos="340"/>
      </w:tabs>
    </w:pPr>
  </w:style>
  <w:style w:type="character" w:customStyle="1" w:styleId="WingdingSymbols">
    <w:name w:val="Wingding Symbols"/>
    <w:rsid w:val="001001B5"/>
    <w:rPr>
      <w:rFonts w:ascii="Wingdings" w:hAnsi="Wingdings"/>
    </w:rPr>
  </w:style>
  <w:style w:type="paragraph" w:customStyle="1" w:styleId="TableHeading">
    <w:name w:val="Table Heading"/>
    <w:basedOn w:val="HeadingBase"/>
    <w:rsid w:val="001001B5"/>
    <w:pPr>
      <w:keepLines/>
      <w:pBdr>
        <w:bottom w:val="single" w:sz="6" w:space="1" w:color="918585"/>
      </w:pBdr>
      <w:spacing w:before="240"/>
    </w:pPr>
  </w:style>
  <w:style w:type="character" w:customStyle="1" w:styleId="HotSpot">
    <w:name w:val="HotSpot"/>
    <w:rsid w:val="001001B5"/>
    <w:rPr>
      <w:color w:val="0033CC"/>
      <w:u w:val="none"/>
    </w:rPr>
  </w:style>
  <w:style w:type="paragraph" w:customStyle="1" w:styleId="BodyTextRight">
    <w:name w:val="Body Text Right"/>
    <w:basedOn w:val="BodyText"/>
    <w:rsid w:val="001001B5"/>
    <w:pPr>
      <w:spacing w:before="0" w:after="0"/>
      <w:jc w:val="right"/>
    </w:pPr>
  </w:style>
  <w:style w:type="paragraph" w:styleId="Index3">
    <w:name w:val="index 3"/>
    <w:basedOn w:val="ListNumber2"/>
    <w:next w:val="Normal"/>
    <w:semiHidden/>
    <w:rsid w:val="001001B5"/>
    <w:pPr>
      <w:numPr>
        <w:numId w:val="0"/>
      </w:numPr>
      <w:tabs>
        <w:tab w:val="right" w:leader="dot" w:pos="4176"/>
      </w:tabs>
    </w:pPr>
  </w:style>
  <w:style w:type="paragraph" w:styleId="ListNumber2">
    <w:name w:val="List Number 2"/>
    <w:basedOn w:val="List2"/>
    <w:rsid w:val="001001B5"/>
    <w:pPr>
      <w:numPr>
        <w:numId w:val="9"/>
      </w:numPr>
      <w:tabs>
        <w:tab w:val="clear" w:pos="1060"/>
      </w:tabs>
    </w:pPr>
  </w:style>
  <w:style w:type="paragraph" w:customStyle="1" w:styleId="MarginNote">
    <w:name w:val="Margin Note"/>
    <w:basedOn w:val="BodyText"/>
    <w:rsid w:val="00100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1B5"/>
    <w:rPr>
      <w:sz w:val="32"/>
    </w:rPr>
  </w:style>
  <w:style w:type="paragraph" w:customStyle="1" w:styleId="HeadingProcedure">
    <w:name w:val="Heading Procedure"/>
    <w:basedOn w:val="HeadingBase"/>
    <w:next w:val="Normal"/>
    <w:rsid w:val="001001B5"/>
    <w:pPr>
      <w:tabs>
        <w:tab w:val="left" w:pos="0"/>
      </w:tabs>
      <w:spacing w:before="120" w:after="60"/>
    </w:pPr>
    <w:rPr>
      <w:i/>
      <w:color w:val="918585"/>
      <w:sz w:val="22"/>
    </w:rPr>
  </w:style>
  <w:style w:type="paragraph" w:customStyle="1" w:styleId="TableBodyText">
    <w:name w:val="Table Body Text"/>
    <w:basedOn w:val="BodyText"/>
    <w:rsid w:val="001001B5"/>
    <w:pPr>
      <w:spacing w:before="60" w:after="60"/>
    </w:pPr>
  </w:style>
  <w:style w:type="paragraph" w:styleId="ListContinue">
    <w:name w:val="List Continue"/>
    <w:basedOn w:val="List"/>
    <w:rsid w:val="001001B5"/>
    <w:pPr>
      <w:ind w:firstLine="0"/>
    </w:pPr>
  </w:style>
  <w:style w:type="paragraph" w:customStyle="1" w:styleId="ListNote">
    <w:name w:val="List Note"/>
    <w:basedOn w:val="List"/>
    <w:rsid w:val="001001B5"/>
    <w:pPr>
      <w:pBdr>
        <w:top w:val="single" w:sz="6" w:space="2" w:color="918585"/>
        <w:bottom w:val="single" w:sz="6" w:space="2" w:color="918585"/>
      </w:pBdr>
      <w:tabs>
        <w:tab w:val="left" w:pos="1021"/>
      </w:tabs>
      <w:ind w:firstLine="0"/>
    </w:pPr>
  </w:style>
  <w:style w:type="paragraph" w:customStyle="1" w:styleId="Warning">
    <w:name w:val="Warning"/>
    <w:basedOn w:val="BodyText"/>
    <w:rsid w:val="001001B5"/>
    <w:pPr>
      <w:shd w:val="clear" w:color="auto" w:fill="D9D9D9"/>
      <w:tabs>
        <w:tab w:val="left" w:pos="992"/>
      </w:tabs>
      <w:ind w:left="119" w:right="119"/>
    </w:pPr>
    <w:rPr>
      <w:sz w:val="20"/>
    </w:rPr>
  </w:style>
  <w:style w:type="paragraph" w:customStyle="1" w:styleId="MarginIcons">
    <w:name w:val="Margin Icons"/>
    <w:basedOn w:val="BodyText"/>
    <w:rsid w:val="00100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1B5"/>
    <w:rPr>
      <w:rFonts w:ascii="Courier New" w:hAnsi="Courier New"/>
    </w:rPr>
  </w:style>
  <w:style w:type="paragraph" w:customStyle="1" w:styleId="NoteBullet">
    <w:name w:val="Note Bullet"/>
    <w:basedOn w:val="Note"/>
    <w:rsid w:val="001001B5"/>
    <w:pPr>
      <w:tabs>
        <w:tab w:val="clear" w:pos="680"/>
      </w:tabs>
      <w:spacing w:before="60" w:after="60"/>
    </w:pPr>
  </w:style>
  <w:style w:type="paragraph" w:customStyle="1" w:styleId="SubHeading2">
    <w:name w:val="SubHeading2"/>
    <w:basedOn w:val="HeadingBase"/>
    <w:rsid w:val="001001B5"/>
    <w:pPr>
      <w:spacing w:before="240" w:after="60"/>
    </w:pPr>
    <w:rPr>
      <w:sz w:val="20"/>
    </w:rPr>
  </w:style>
  <w:style w:type="paragraph" w:customStyle="1" w:styleId="SubHeading1">
    <w:name w:val="SubHeading1"/>
    <w:basedOn w:val="HeadingBase"/>
    <w:rsid w:val="001001B5"/>
    <w:pPr>
      <w:spacing w:before="240" w:after="60"/>
    </w:pPr>
    <w:rPr>
      <w:color w:val="918585"/>
      <w:sz w:val="22"/>
    </w:rPr>
  </w:style>
  <w:style w:type="paragraph" w:customStyle="1" w:styleId="SideHeading">
    <w:name w:val="Side Heading"/>
    <w:basedOn w:val="HeadingBase"/>
    <w:rsid w:val="00100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1B5"/>
    <w:pPr>
      <w:numPr>
        <w:numId w:val="10"/>
      </w:numPr>
    </w:pPr>
  </w:style>
  <w:style w:type="paragraph" w:styleId="PlainText">
    <w:name w:val="Plain Text"/>
    <w:basedOn w:val="Normal"/>
    <w:link w:val="PlainTextChar"/>
    <w:rsid w:val="001001B5"/>
    <w:rPr>
      <w:sz w:val="20"/>
    </w:rPr>
  </w:style>
  <w:style w:type="character" w:customStyle="1" w:styleId="PlainTextChar">
    <w:name w:val="Plain Text Char"/>
    <w:basedOn w:val="DefaultParagraphFont"/>
    <w:link w:val="PlainText"/>
    <w:rsid w:val="001001B5"/>
    <w:rPr>
      <w:rFonts w:ascii="Courier New" w:eastAsia="Times New Roman" w:hAnsi="Courier New" w:cs="Times New Roman"/>
      <w:sz w:val="20"/>
      <w:szCs w:val="20"/>
      <w:lang w:eastAsia="en-US"/>
    </w:rPr>
  </w:style>
  <w:style w:type="character" w:customStyle="1" w:styleId="MenuOption">
    <w:name w:val="Menu Option"/>
    <w:basedOn w:val="DefaultParagraphFont"/>
    <w:rsid w:val="001001B5"/>
    <w:rPr>
      <w:b/>
      <w:smallCaps/>
    </w:rPr>
  </w:style>
  <w:style w:type="paragraph" w:customStyle="1" w:styleId="TableListNumber">
    <w:name w:val="Table List Number"/>
    <w:basedOn w:val="ListNumber"/>
    <w:rsid w:val="001001B5"/>
    <w:pPr>
      <w:numPr>
        <w:numId w:val="0"/>
      </w:numPr>
    </w:pPr>
  </w:style>
  <w:style w:type="paragraph" w:styleId="TOC4">
    <w:name w:val="toc 4"/>
    <w:basedOn w:val="TOCBase"/>
    <w:next w:val="Normal"/>
    <w:semiHidden/>
    <w:rsid w:val="001001B5"/>
    <w:pPr>
      <w:tabs>
        <w:tab w:val="right" w:leader="dot" w:pos="9071"/>
      </w:tabs>
      <w:ind w:left="1701"/>
    </w:pPr>
  </w:style>
  <w:style w:type="paragraph" w:customStyle="1" w:styleId="ListAlpha">
    <w:name w:val="List Alpha"/>
    <w:basedOn w:val="List"/>
    <w:rsid w:val="001001B5"/>
    <w:pPr>
      <w:numPr>
        <w:numId w:val="8"/>
      </w:numPr>
    </w:pPr>
  </w:style>
  <w:style w:type="paragraph" w:customStyle="1" w:styleId="ListAlpha2">
    <w:name w:val="List Alpha 2"/>
    <w:basedOn w:val="List2"/>
    <w:rsid w:val="001001B5"/>
    <w:pPr>
      <w:numPr>
        <w:numId w:val="7"/>
      </w:numPr>
    </w:pPr>
  </w:style>
  <w:style w:type="paragraph" w:styleId="List2">
    <w:name w:val="List 2"/>
    <w:basedOn w:val="BodyText"/>
    <w:rsid w:val="001001B5"/>
    <w:pPr>
      <w:tabs>
        <w:tab w:val="left" w:pos="680"/>
      </w:tabs>
      <w:spacing w:before="60" w:after="60"/>
      <w:ind w:left="680" w:hanging="340"/>
    </w:pPr>
  </w:style>
  <w:style w:type="paragraph" w:styleId="List3">
    <w:name w:val="List 3"/>
    <w:basedOn w:val="BodyText"/>
    <w:rsid w:val="001001B5"/>
    <w:pPr>
      <w:tabs>
        <w:tab w:val="left" w:pos="1021"/>
      </w:tabs>
      <w:spacing w:before="60" w:after="60"/>
      <w:ind w:left="1020" w:hanging="340"/>
    </w:pPr>
  </w:style>
  <w:style w:type="paragraph" w:styleId="List4">
    <w:name w:val="List 4"/>
    <w:basedOn w:val="BodyText"/>
    <w:rsid w:val="001001B5"/>
    <w:pPr>
      <w:tabs>
        <w:tab w:val="left" w:pos="1361"/>
      </w:tabs>
      <w:spacing w:before="60" w:after="60"/>
      <w:ind w:left="1361" w:hanging="340"/>
    </w:pPr>
  </w:style>
  <w:style w:type="paragraph" w:styleId="List5">
    <w:name w:val="List 5"/>
    <w:basedOn w:val="BodyText"/>
    <w:rsid w:val="001001B5"/>
    <w:pPr>
      <w:tabs>
        <w:tab w:val="left" w:pos="1701"/>
      </w:tabs>
      <w:spacing w:before="60" w:after="60"/>
      <w:ind w:left="1701" w:hanging="340"/>
    </w:pPr>
  </w:style>
  <w:style w:type="paragraph" w:styleId="ListBullet3">
    <w:name w:val="List Bullet 3"/>
    <w:basedOn w:val="List3"/>
    <w:rsid w:val="001001B5"/>
    <w:pPr>
      <w:numPr>
        <w:numId w:val="13"/>
      </w:numPr>
      <w:tabs>
        <w:tab w:val="clear" w:pos="1021"/>
      </w:tabs>
      <w:ind w:left="1037" w:hanging="357"/>
    </w:pPr>
  </w:style>
  <w:style w:type="paragraph" w:styleId="ListBullet4">
    <w:name w:val="List Bullet 4"/>
    <w:basedOn w:val="List4"/>
    <w:rsid w:val="001001B5"/>
    <w:pPr>
      <w:numPr>
        <w:numId w:val="2"/>
      </w:numPr>
      <w:tabs>
        <w:tab w:val="clear" w:pos="1361"/>
      </w:tabs>
    </w:pPr>
  </w:style>
  <w:style w:type="paragraph" w:styleId="ListBullet5">
    <w:name w:val="List Bullet 5"/>
    <w:basedOn w:val="List5"/>
    <w:rsid w:val="001001B5"/>
    <w:pPr>
      <w:numPr>
        <w:numId w:val="3"/>
      </w:numPr>
    </w:pPr>
  </w:style>
  <w:style w:type="paragraph" w:styleId="ListContinue2">
    <w:name w:val="List Continue 2"/>
    <w:basedOn w:val="List2"/>
    <w:rsid w:val="001001B5"/>
    <w:pPr>
      <w:ind w:firstLine="0"/>
    </w:pPr>
  </w:style>
  <w:style w:type="paragraph" w:styleId="ListContinue3">
    <w:name w:val="List Continue 3"/>
    <w:basedOn w:val="List3"/>
    <w:rsid w:val="001001B5"/>
    <w:pPr>
      <w:ind w:left="1021" w:firstLine="0"/>
    </w:pPr>
  </w:style>
  <w:style w:type="paragraph" w:styleId="ListContinue4">
    <w:name w:val="List Continue 4"/>
    <w:basedOn w:val="List4"/>
    <w:rsid w:val="001001B5"/>
    <w:pPr>
      <w:ind w:firstLine="0"/>
    </w:pPr>
  </w:style>
  <w:style w:type="paragraph" w:styleId="ListContinue5">
    <w:name w:val="List Continue 5"/>
    <w:basedOn w:val="List5"/>
    <w:rsid w:val="001001B5"/>
    <w:pPr>
      <w:ind w:firstLine="0"/>
    </w:pPr>
  </w:style>
  <w:style w:type="paragraph" w:styleId="ListNumber3">
    <w:name w:val="List Number 3"/>
    <w:basedOn w:val="List3"/>
    <w:rsid w:val="001001B5"/>
    <w:pPr>
      <w:numPr>
        <w:numId w:val="4"/>
      </w:numPr>
    </w:pPr>
  </w:style>
  <w:style w:type="paragraph" w:styleId="ListNumber4">
    <w:name w:val="List Number 4"/>
    <w:basedOn w:val="List4"/>
    <w:rsid w:val="001001B5"/>
    <w:pPr>
      <w:numPr>
        <w:numId w:val="5"/>
      </w:numPr>
    </w:pPr>
  </w:style>
  <w:style w:type="paragraph" w:styleId="ListNumber5">
    <w:name w:val="List Number 5"/>
    <w:basedOn w:val="List5"/>
    <w:rsid w:val="001001B5"/>
    <w:pPr>
      <w:numPr>
        <w:numId w:val="6"/>
      </w:numPr>
    </w:pPr>
  </w:style>
  <w:style w:type="paragraph" w:styleId="BlockText">
    <w:name w:val="Block Text"/>
    <w:basedOn w:val="Normal"/>
    <w:rsid w:val="001001B5"/>
    <w:pPr>
      <w:spacing w:after="120"/>
      <w:ind w:left="1440" w:right="1440"/>
    </w:pPr>
  </w:style>
  <w:style w:type="character" w:customStyle="1" w:styleId="Subscript">
    <w:name w:val="Subscript"/>
    <w:basedOn w:val="DefaultParagraphFont"/>
    <w:rsid w:val="001001B5"/>
    <w:rPr>
      <w:sz w:val="16"/>
      <w:vertAlign w:val="subscript"/>
    </w:rPr>
  </w:style>
  <w:style w:type="character" w:customStyle="1" w:styleId="Superscript">
    <w:name w:val="Superscript"/>
    <w:basedOn w:val="DefaultParagraphFont"/>
    <w:rsid w:val="001001B5"/>
    <w:rPr>
      <w:sz w:val="16"/>
      <w:vertAlign w:val="superscript"/>
    </w:rPr>
  </w:style>
  <w:style w:type="character" w:customStyle="1" w:styleId="Symbols">
    <w:name w:val="Symbols"/>
    <w:basedOn w:val="DefaultParagraphFont"/>
    <w:rsid w:val="001001B5"/>
    <w:rPr>
      <w:rFonts w:ascii="Symbol" w:hAnsi="Symbol"/>
    </w:rPr>
  </w:style>
  <w:style w:type="character" w:customStyle="1" w:styleId="MenuOptions">
    <w:name w:val="Menu Options"/>
    <w:basedOn w:val="DefaultParagraphFont"/>
    <w:rsid w:val="001001B5"/>
    <w:rPr>
      <w:rFonts w:ascii="Arial Narrow" w:hAnsi="Arial Narrow"/>
      <w:smallCaps/>
    </w:rPr>
  </w:style>
  <w:style w:type="character" w:customStyle="1" w:styleId="Buttons">
    <w:name w:val="Buttons"/>
    <w:basedOn w:val="DefaultParagraphFont"/>
    <w:rsid w:val="001001B5"/>
    <w:rPr>
      <w:b/>
    </w:rPr>
  </w:style>
  <w:style w:type="character" w:customStyle="1" w:styleId="Underlined">
    <w:name w:val="Underlined"/>
    <w:basedOn w:val="DefaultParagraphFont"/>
    <w:rsid w:val="001001B5"/>
    <w:rPr>
      <w:u w:val="single"/>
    </w:rPr>
  </w:style>
  <w:style w:type="paragraph" w:customStyle="1" w:styleId="TableBodyTextRight">
    <w:name w:val="Table Body Text Right"/>
    <w:basedOn w:val="TableBodyText"/>
    <w:rsid w:val="001001B5"/>
    <w:pPr>
      <w:widowControl w:val="0"/>
      <w:autoSpaceDE w:val="0"/>
      <w:autoSpaceDN w:val="0"/>
      <w:adjustRightInd w:val="0"/>
      <w:jc w:val="right"/>
    </w:pPr>
    <w:rPr>
      <w:rFonts w:cs="Arial"/>
      <w:szCs w:val="18"/>
    </w:rPr>
  </w:style>
  <w:style w:type="paragraph" w:customStyle="1" w:styleId="CopyrightText">
    <w:name w:val="Copyright Text"/>
    <w:basedOn w:val="BodyText"/>
    <w:rsid w:val="001001B5"/>
    <w:rPr>
      <w:sz w:val="18"/>
    </w:rPr>
  </w:style>
  <w:style w:type="paragraph" w:customStyle="1" w:styleId="BodySmallRight">
    <w:name w:val="Body Small Right"/>
    <w:basedOn w:val="BodyTextRight"/>
    <w:rsid w:val="001001B5"/>
    <w:rPr>
      <w:sz w:val="18"/>
      <w:szCs w:val="18"/>
    </w:rPr>
  </w:style>
  <w:style w:type="paragraph" w:customStyle="1" w:styleId="MarginEdition">
    <w:name w:val="Margin Edition"/>
    <w:basedOn w:val="MarginNote"/>
    <w:rsid w:val="001001B5"/>
    <w:pPr>
      <w:spacing w:before="0" w:after="0"/>
    </w:pPr>
    <w:rPr>
      <w:rFonts w:ascii="Times New Roman" w:hAnsi="Times New Roman"/>
      <w:color w:val="999999"/>
    </w:rPr>
  </w:style>
  <w:style w:type="paragraph" w:customStyle="1" w:styleId="Spacer">
    <w:name w:val="Spacer"/>
    <w:basedOn w:val="Normal"/>
    <w:rsid w:val="001001B5"/>
    <w:rPr>
      <w:sz w:val="2"/>
      <w:szCs w:val="2"/>
    </w:rPr>
  </w:style>
  <w:style w:type="character" w:customStyle="1" w:styleId="Small">
    <w:name w:val="Small"/>
    <w:basedOn w:val="DefaultParagraphFont"/>
    <w:rsid w:val="001001B5"/>
    <w:rPr>
      <w:sz w:val="16"/>
    </w:rPr>
  </w:style>
  <w:style w:type="paragraph" w:customStyle="1" w:styleId="WideTable">
    <w:name w:val="Wide Table"/>
    <w:basedOn w:val="Normal"/>
    <w:rsid w:val="001001B5"/>
    <w:pPr>
      <w:ind w:left="-1418"/>
    </w:pPr>
    <w:rPr>
      <w:sz w:val="2"/>
      <w:szCs w:val="2"/>
    </w:rPr>
  </w:style>
  <w:style w:type="character" w:styleId="PageNumber">
    <w:name w:val="page number"/>
    <w:basedOn w:val="DefaultParagraphFont"/>
    <w:rsid w:val="001001B5"/>
  </w:style>
  <w:style w:type="paragraph" w:styleId="Quote">
    <w:name w:val="Quote"/>
    <w:basedOn w:val="Heading1"/>
    <w:link w:val="QuoteChar"/>
    <w:qFormat/>
    <w:rsid w:val="001001B5"/>
    <w:rPr>
      <w:b w:val="0"/>
      <w:sz w:val="72"/>
      <w:szCs w:val="72"/>
      <w:lang w:val="en-NZ"/>
    </w:rPr>
  </w:style>
  <w:style w:type="character" w:customStyle="1" w:styleId="QuoteChar">
    <w:name w:val="Quote Char"/>
    <w:basedOn w:val="DefaultParagraphFont"/>
    <w:link w:val="Quote"/>
    <w:rsid w:val="00100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1B5"/>
    <w:pPr>
      <w:pageBreakBefore/>
    </w:pPr>
  </w:style>
  <w:style w:type="paragraph" w:customStyle="1" w:styleId="Border">
    <w:name w:val="Border"/>
    <w:basedOn w:val="Normal"/>
    <w:qFormat/>
    <w:rsid w:val="00100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1B5"/>
    <w:rPr>
      <w:b/>
      <w:bCs/>
      <w:i/>
      <w:iCs/>
      <w:color w:val="auto"/>
    </w:rPr>
  </w:style>
  <w:style w:type="paragraph" w:styleId="IntenseQuote">
    <w:name w:val="Intense Quote"/>
    <w:basedOn w:val="Normal"/>
    <w:next w:val="Normal"/>
    <w:link w:val="IntenseQuoteChar"/>
    <w:uiPriority w:val="30"/>
    <w:qFormat/>
    <w:rsid w:val="00100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1B5"/>
    <w:rPr>
      <w:smallCaps/>
      <w:color w:val="auto"/>
      <w:u w:val="single"/>
    </w:rPr>
  </w:style>
  <w:style w:type="character" w:styleId="IntenseReference">
    <w:name w:val="Intense Reference"/>
    <w:basedOn w:val="DefaultParagraphFont"/>
    <w:uiPriority w:val="32"/>
    <w:qFormat/>
    <w:rsid w:val="001001B5"/>
    <w:rPr>
      <w:b/>
      <w:bCs/>
      <w:smallCaps/>
      <w:color w:val="auto"/>
      <w:spacing w:val="5"/>
      <w:u w:val="single"/>
    </w:rPr>
  </w:style>
  <w:style w:type="paragraph" w:customStyle="1" w:styleId="2ColumnHeading">
    <w:name w:val="2Column Heading"/>
    <w:basedOn w:val="BodyText"/>
    <w:qFormat/>
    <w:rsid w:val="001001B5"/>
    <w:pPr>
      <w:spacing w:after="60"/>
      <w:ind w:left="-2268"/>
    </w:pPr>
    <w:rPr>
      <w:b/>
    </w:rPr>
  </w:style>
  <w:style w:type="paragraph" w:customStyle="1" w:styleId="Heading1TOC">
    <w:name w:val="Heading1 TOC"/>
    <w:basedOn w:val="Normal"/>
    <w:qFormat/>
    <w:rsid w:val="001001B5"/>
    <w:pPr>
      <w:spacing w:before="240" w:after="120"/>
    </w:pPr>
    <w:rPr>
      <w:rFonts w:ascii="Times New Roman" w:hAnsi="Times New Roman"/>
      <w:b/>
      <w:sz w:val="32"/>
    </w:rPr>
  </w:style>
  <w:style w:type="paragraph" w:customStyle="1" w:styleId="Heading2TOC">
    <w:name w:val="Heading2 TOC"/>
    <w:basedOn w:val="Normal"/>
    <w:qFormat/>
    <w:rsid w:val="001001B5"/>
    <w:pPr>
      <w:spacing w:before="240" w:after="60"/>
    </w:pPr>
    <w:rPr>
      <w:rFonts w:ascii="Times New Roman" w:hAnsi="Times New Roman"/>
      <w:b/>
      <w:sz w:val="28"/>
    </w:rPr>
  </w:style>
  <w:style w:type="character" w:customStyle="1" w:styleId="Underline">
    <w:name w:val="Underline"/>
    <w:basedOn w:val="DefaultParagraphFont"/>
    <w:qFormat/>
    <w:rsid w:val="001001B5"/>
    <w:rPr>
      <w:u w:val="single"/>
    </w:rPr>
  </w:style>
  <w:style w:type="character" w:customStyle="1" w:styleId="BoldandItalics">
    <w:name w:val="Bold and Italics"/>
    <w:qFormat/>
    <w:rsid w:val="001001B5"/>
    <w:rPr>
      <w:b/>
      <w:i/>
      <w:u w:val="none"/>
    </w:rPr>
  </w:style>
  <w:style w:type="paragraph" w:styleId="BalloonText">
    <w:name w:val="Balloon Text"/>
    <w:basedOn w:val="Normal"/>
    <w:link w:val="BalloonTextChar"/>
    <w:rsid w:val="001001B5"/>
    <w:rPr>
      <w:rFonts w:ascii="Tahoma" w:hAnsi="Tahoma" w:cs="Tahoma"/>
      <w:sz w:val="16"/>
      <w:szCs w:val="16"/>
    </w:rPr>
  </w:style>
  <w:style w:type="character" w:customStyle="1" w:styleId="BalloonTextChar">
    <w:name w:val="Balloon Text Char"/>
    <w:basedOn w:val="DefaultParagraphFont"/>
    <w:link w:val="BalloonText"/>
    <w:rsid w:val="00100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1B5"/>
    <w:rPr>
      <w:b/>
      <w:color w:val="660033"/>
      <w:spacing w:val="0"/>
    </w:rPr>
  </w:style>
  <w:style w:type="paragraph" w:customStyle="1" w:styleId="Nameditemlist">
    <w:name w:val="Named item list"/>
    <w:basedOn w:val="BodyText"/>
    <w:qFormat/>
    <w:rsid w:val="001001B5"/>
    <w:pPr>
      <w:tabs>
        <w:tab w:val="left" w:pos="2835"/>
      </w:tabs>
      <w:ind w:left="2835" w:hanging="2835"/>
    </w:pPr>
  </w:style>
  <w:style w:type="paragraph" w:customStyle="1" w:styleId="BodyTextnopadding">
    <w:name w:val="Body Text no padding"/>
    <w:basedOn w:val="BodyText"/>
    <w:qFormat/>
    <w:rsid w:val="001001B5"/>
    <w:pPr>
      <w:spacing w:before="0" w:after="0"/>
    </w:pPr>
  </w:style>
  <w:style w:type="paragraph" w:customStyle="1" w:styleId="BodyTextBold">
    <w:name w:val="Body Text Bold"/>
    <w:basedOn w:val="BodyText"/>
    <w:qFormat/>
    <w:rsid w:val="001001B5"/>
    <w:rPr>
      <w:b/>
    </w:rPr>
  </w:style>
  <w:style w:type="character" w:styleId="Hyperlink">
    <w:name w:val="Hyperlink"/>
    <w:basedOn w:val="DefaultParagraphFont"/>
    <w:uiPriority w:val="99"/>
    <w:unhideWhenUsed/>
    <w:rsid w:val="00B26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4338</Characters>
  <Application>Microsoft Office Word</Application>
  <DocSecurity>0</DocSecurity>
  <Lines>166</Lines>
  <Paragraphs>108</Paragraphs>
  <ScaleCrop>false</ScaleCrop>
  <Company>Author-it Software Corporation Ltd.</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PMASUP345 Monitor vibration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