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5D8" w:rsidP="00ED05D8">
      <w:pPr>
        <w:pStyle w:val="Title"/>
      </w:pPr>
      <w:r>
        <w:fldChar w:fldCharType="begin"/>
      </w:r>
      <w:r>
        <w:instrText xml:space="preserve"> TITLE   \* MERGEFORMAT </w:instrText>
      </w:r>
      <w:r>
        <w:fldChar w:fldCharType="separate"/>
      </w:r>
      <w:r>
        <w:t>PMASUP345 Monitor vibration</w:t>
      </w:r>
      <w:r>
        <w:fldChar w:fldCharType="end"/>
      </w:r>
    </w:p>
    <w:p w:rsidR="00ED05D8" w:rsidP="00ED05D8">
      <w:pPr>
        <w:pStyle w:val="Version"/>
        <w:sectPr w:rsidSect="000B49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959" w:rsidP="000B4959">
      <w:pPr>
        <w:pStyle w:val="SuperHeading"/>
      </w:pPr>
      <w:r w:rsidRPr="000B4959">
        <w:t>PMASUP345 Monitor vibration</w:t>
      </w:r>
    </w:p>
    <w:p w:rsidR="00000000" w:rsidRPr="000B4959" w:rsidP="000B4959">
      <w:pPr>
        <w:pStyle w:val="Heading1"/>
      </w:pPr>
      <w:bookmarkStart w:id="1" w:name="O_910047"/>
      <w:bookmarkEnd w:id="1"/>
      <w:r w:rsidRPr="000B4959">
        <w:t>Modification History</w:t>
      </w:r>
    </w:p>
    <w:p w:rsidR="00000000" w:rsidRPr="000B4959" w:rsidP="00ED05D8">
      <w:pPr>
        <w:pStyle w:val="BodyText"/>
      </w:pPr>
      <w:r w:rsidRPr="000B4959">
        <w:t>Release 1. Supersedes and is equivalent to PMASUP345A Monitor vibration</w:t>
      </w:r>
    </w:p>
    <w:p w:rsidR="00000000" w:rsidRPr="000B4959" w:rsidP="000B4959">
      <w:pPr>
        <w:pStyle w:val="Heading1"/>
      </w:pPr>
      <w:bookmarkStart w:id="2" w:name="O_910055"/>
      <w:bookmarkEnd w:id="2"/>
      <w:r w:rsidRPr="000B4959">
        <w:t>Application</w:t>
      </w:r>
    </w:p>
    <w:p w:rsidR="00000000" w:rsidRPr="000B4959" w:rsidP="00ED05D8">
      <w:pPr>
        <w:pStyle w:val="BodyText"/>
      </w:pPr>
      <w:r w:rsidRPr="000B4959">
        <w:t>This unit of competency covers the skills and knowledge required to undertake specialist monitoring activities as part of a preventive</w:t>
      </w:r>
      <w:r w:rsidRPr="000B4959">
        <w:t xml:space="preserve"> maintenance or total productive maintenance plan or program. </w:t>
      </w:r>
    </w:p>
    <w:p w:rsidR="00000000" w:rsidRPr="000B4959" w:rsidP="00ED05D8">
      <w:pPr>
        <w:pStyle w:val="BodyText"/>
      </w:pPr>
      <w:r w:rsidRPr="000B4959">
        <w:t>This unit of competency applies to monitoring that is undertaken in a workshop, laboratory or in situ environment. Readings are undertaken to the accuracy of monitoring equipment limitations o</w:t>
      </w:r>
      <w:r w:rsidRPr="000B4959">
        <w:t>r to site specifications where applicable. The results are typically provided to an engineer or other expert for interpretation and action.</w:t>
      </w:r>
    </w:p>
    <w:p w:rsidR="00000000" w:rsidRPr="000B4959" w:rsidP="00ED05D8">
      <w:pPr>
        <w:pStyle w:val="BodyText"/>
      </w:pPr>
      <w:r w:rsidRPr="000B4959">
        <w:t>This unit of competency applies to operators who are required to select appropriate monitoring methods and equipmen</w:t>
      </w:r>
      <w:r w:rsidRPr="000B4959">
        <w:t xml:space="preserve">t, undertake checks according to procedures, and identify and report deviations from specifications. </w:t>
      </w:r>
    </w:p>
    <w:p w:rsidR="00000000" w:rsidRPr="000B4959" w:rsidP="00ED05D8">
      <w:pPr>
        <w:pStyle w:val="BodyText"/>
      </w:pPr>
      <w:r w:rsidRPr="000B4959">
        <w:t>This unit of competency applies to an individual working alone or as part of a team or group and working in liaison with other shift team members and the</w:t>
      </w:r>
      <w:r w:rsidRPr="000B4959">
        <w:t xml:space="preserve"> control room operator, as appropriate.</w:t>
      </w:r>
    </w:p>
    <w:p w:rsidR="00000000" w:rsidRPr="000B4959" w:rsidP="00ED05D8">
      <w:pPr>
        <w:pStyle w:val="BodyText"/>
      </w:pPr>
      <w:r w:rsidRPr="000B4959">
        <w:t>No licensing, legislative or certification requirements apply to this unit at the time of publication.</w:t>
      </w:r>
    </w:p>
    <w:p w:rsidR="00000000" w:rsidRPr="000B4959" w:rsidP="000B4959">
      <w:pPr>
        <w:pStyle w:val="Heading1"/>
      </w:pPr>
      <w:bookmarkStart w:id="3" w:name="O_910054"/>
      <w:bookmarkEnd w:id="3"/>
      <w:r w:rsidRPr="000B4959">
        <w:t>Pre-requisite Unit</w:t>
      </w:r>
    </w:p>
    <w:p w:rsidR="00000000" w:rsidRPr="000B4959" w:rsidP="00ED05D8">
      <w:pPr>
        <w:pStyle w:val="BodyText"/>
      </w:pPr>
      <w:r w:rsidRPr="000B4959">
        <w:t>Nil</w:t>
      </w:r>
    </w:p>
    <w:p w:rsidR="00000000" w:rsidRPr="000B4959" w:rsidP="000B4959">
      <w:pPr>
        <w:pStyle w:val="Heading1"/>
      </w:pPr>
      <w:bookmarkStart w:id="4" w:name="O_910053"/>
      <w:bookmarkEnd w:id="4"/>
      <w:r w:rsidRPr="000B4959">
        <w:t>Competency Field</w:t>
      </w:r>
    </w:p>
    <w:p w:rsidR="00000000" w:rsidRPr="000B4959" w:rsidP="00ED05D8">
      <w:pPr>
        <w:pStyle w:val="BodyText"/>
      </w:pPr>
      <w:r w:rsidRPr="000B4959">
        <w:t>Support</w:t>
      </w:r>
    </w:p>
    <w:p w:rsidR="00000000" w:rsidRPr="000B4959" w:rsidP="000B4959">
      <w:pPr>
        <w:pStyle w:val="Heading1"/>
      </w:pPr>
      <w:bookmarkStart w:id="5" w:name="O_910052"/>
      <w:bookmarkEnd w:id="5"/>
      <w:r w:rsidRPr="000B4959">
        <w:t>Unit Sector</w:t>
      </w:r>
    </w:p>
    <w:p w:rsidR="00000000" w:rsidRPr="000B4959" w:rsidP="000B4959">
      <w:pPr>
        <w:pStyle w:val="Heading1"/>
      </w:pPr>
      <w:bookmarkStart w:id="6" w:name="O_910051"/>
      <w:bookmarkEnd w:id="6"/>
      <w:r w:rsidRPr="000B495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B495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Performance criteria describe the performance needed to demonstrate achievement of the element.</w:t>
            </w:r>
          </w:p>
        </w:tc>
      </w:tr>
      <w:tr w:rsidTr="000B49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4959" w:rsidP="000B4959">
            <w:pPr>
              <w:pStyle w:val="BodyText"/>
            </w:pPr>
            <w:r w:rsidRPr="000B4959">
              <w:t>1</w:t>
            </w:r>
          </w:p>
        </w:tc>
        <w:tc>
          <w:tcPr>
            <w:tcW w:w="1962" w:type="dxa"/>
            <w:vMerge w:val="restart"/>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rPr>
                <w:rStyle w:val="SpecialBold"/>
              </w:rPr>
              <w:t>Prepare for monitoring activities</w:t>
            </w:r>
          </w:p>
        </w:tc>
        <w:tc>
          <w:tcPr>
            <w:tcW w:w="770" w:type="dxa"/>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1.1</w:t>
            </w:r>
          </w:p>
        </w:tc>
        <w:tc>
          <w:tcPr>
            <w:tcW w:w="5610" w:type="dxa"/>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Identify and confirm specifications</w:t>
            </w:r>
          </w:p>
        </w:tc>
      </w:tr>
      <w:tr w:rsidTr="000B49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1.2</w:t>
            </w:r>
          </w:p>
        </w:tc>
        <w:tc>
          <w:tcPr>
            <w:tcW w:w="5610" w:type="dxa"/>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Select appropriate condition monitoring technique</w:t>
            </w:r>
          </w:p>
        </w:tc>
      </w:tr>
      <w:tr w:rsidTr="000B49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1.3</w:t>
            </w:r>
          </w:p>
        </w:tc>
        <w:tc>
          <w:tcPr>
            <w:tcW w:w="5610" w:type="dxa"/>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Identify standard operating procedures (SOPs)</w:t>
            </w:r>
          </w:p>
        </w:tc>
      </w:tr>
      <w:tr w:rsidTr="000B49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1.4</w:t>
            </w:r>
          </w:p>
        </w:tc>
        <w:tc>
          <w:tcPr>
            <w:tcW w:w="5610" w:type="dxa"/>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Identify and control hazards</w:t>
            </w:r>
          </w:p>
        </w:tc>
      </w:tr>
      <w:tr w:rsidTr="000B49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B4959">
            <w:pPr>
              <w:pStyle w:val="BodyText"/>
              <w:rPr>
                <w:lang w:val="en-NZ"/>
              </w:rPr>
            </w:pPr>
          </w:p>
        </w:tc>
      </w:tr>
      <w:tr w:rsidTr="000B49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4959" w:rsidP="000B4959">
            <w:pPr>
              <w:pStyle w:val="BodyText"/>
            </w:pPr>
            <w:r w:rsidRPr="000B4959">
              <w:t>2</w:t>
            </w:r>
          </w:p>
        </w:tc>
        <w:tc>
          <w:tcPr>
            <w:tcW w:w="1962" w:type="dxa"/>
            <w:vMerge w:val="restart"/>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rPr>
                <w:rStyle w:val="SpecialBold"/>
              </w:rPr>
              <w:t>Undertake condition monitoring</w:t>
            </w:r>
          </w:p>
        </w:tc>
        <w:tc>
          <w:tcPr>
            <w:tcW w:w="770" w:type="dxa"/>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2.1</w:t>
            </w:r>
          </w:p>
        </w:tc>
        <w:tc>
          <w:tcPr>
            <w:tcW w:w="5610" w:type="dxa"/>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Conduct equipment condition monitoring</w:t>
            </w:r>
          </w:p>
        </w:tc>
      </w:tr>
      <w:tr w:rsidTr="000B49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2.2</w:t>
            </w:r>
          </w:p>
        </w:tc>
        <w:tc>
          <w:tcPr>
            <w:tcW w:w="5610" w:type="dxa"/>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Undertake checks correctly, safely and to SOPs</w:t>
            </w:r>
          </w:p>
        </w:tc>
      </w:tr>
      <w:tr w:rsidTr="000B49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2.3</w:t>
            </w:r>
          </w:p>
        </w:tc>
        <w:tc>
          <w:tcPr>
            <w:tcW w:w="5610" w:type="dxa"/>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Record results and identify deviations from specifications</w:t>
            </w:r>
          </w:p>
        </w:tc>
      </w:tr>
      <w:tr w:rsidTr="000B49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2.4</w:t>
            </w:r>
          </w:p>
        </w:tc>
        <w:tc>
          <w:tcPr>
            <w:tcW w:w="5610" w:type="dxa"/>
            <w:tcBorders>
              <w:top w:val="nil"/>
              <w:left w:val="nil"/>
              <w:bottom w:val="nil"/>
              <w:right w:val="nil"/>
            </w:tcBorders>
            <w:tcMar>
              <w:top w:w="0" w:type="dxa"/>
              <w:left w:w="62" w:type="dxa"/>
              <w:bottom w:w="0" w:type="dxa"/>
              <w:right w:w="62" w:type="dxa"/>
            </w:tcMar>
          </w:tcPr>
          <w:p w:rsidR="00000000" w:rsidRPr="000B4959" w:rsidP="000B4959">
            <w:pPr>
              <w:pStyle w:val="BodyText"/>
            </w:pPr>
            <w:r w:rsidRPr="000B4959">
              <w:t>Report deviations to appropriate authority</w:t>
            </w:r>
          </w:p>
        </w:tc>
      </w:tr>
    </w:tbl>
    <w:p w:rsidR="00000000" w:rsidRPr="000B4959" w:rsidP="000B4959">
      <w:pPr>
        <w:pStyle w:val="BodyText"/>
      </w:pPr>
    </w:p>
    <w:p w:rsidR="00000000" w:rsidRPr="000B4959" w:rsidP="000B4959">
      <w:pPr>
        <w:pStyle w:val="AllowPageBreak"/>
      </w:pPr>
    </w:p>
    <w:p w:rsidR="00000000" w:rsidRPr="000B4959" w:rsidP="000B4959">
      <w:pPr>
        <w:pStyle w:val="Heading1"/>
      </w:pPr>
      <w:bookmarkStart w:id="7" w:name="O_910050"/>
      <w:bookmarkEnd w:id="7"/>
      <w:r w:rsidRPr="000B4959">
        <w:t>Foundation Skills</w:t>
      </w:r>
    </w:p>
    <w:p w:rsidR="00000000" w:rsidRPr="000B4959" w:rsidP="00ED05D8">
      <w:pPr>
        <w:pStyle w:val="BodyText"/>
      </w:pPr>
      <w:r w:rsidRPr="000B4959">
        <w:t>This section describes those language, literacy, numeracy and employment skills that are essential to performance.</w:t>
      </w:r>
    </w:p>
    <w:p w:rsidR="00000000" w:rsidRPr="000B4959" w:rsidP="00ED05D8">
      <w:pPr>
        <w:pStyle w:val="BodyText"/>
      </w:pPr>
      <w:r w:rsidRPr="000B4959">
        <w:t>Foundation skills essential to performance are explicit in the performance criteria of this unit of competency.</w:t>
      </w:r>
    </w:p>
    <w:p w:rsidR="00000000" w:rsidRPr="000B4959" w:rsidP="000B4959">
      <w:pPr>
        <w:pStyle w:val="Heading1"/>
      </w:pPr>
      <w:bookmarkStart w:id="8" w:name="O_910049"/>
      <w:bookmarkEnd w:id="8"/>
      <w:r w:rsidRPr="000B4959">
        <w:t>Range of Co</w:t>
      </w:r>
      <w:r w:rsidRPr="000B4959">
        <w:t>nditions</w:t>
      </w:r>
    </w:p>
    <w:tbl>
      <w:tblPr>
        <w:tblW w:w="0" w:type="auto"/>
        <w:tblCellMar>
          <w:left w:w="62" w:type="dxa"/>
          <w:right w:w="62" w:type="dxa"/>
        </w:tblCellMar>
        <w:tblLook w:val="0000"/>
      </w:tblPr>
      <w:tblGrid>
        <w:gridCol w:w="2163"/>
        <w:gridCol w:w="7033"/>
      </w:tblGrid>
      <w:tr w:rsidTr="00ED05D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t>This field allows for different work environments and conditions that may affect performance. Essential operating conditions that may be present (depending on the work situation, needs of the candidate, accessibility of the item, and local industr</w:t>
            </w:r>
            <w:r w:rsidRPr="000B4959">
              <w:t>y and regional contexts) are included.</w:t>
            </w:r>
          </w:p>
        </w:tc>
      </w:tr>
      <w:tr w:rsidTr="00ED05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0B4959" w:rsidP="000B4959">
            <w:pPr>
              <w:pStyle w:val="BodyText"/>
            </w:pPr>
            <w:r w:rsidRPr="000B4959">
              <w:t xml:space="preserve">The latest version of all legislation, regulations, industry codes of practice and Australian/international standards, or the version specified by the local </w:t>
            </w:r>
            <w:r w:rsidRPr="000B4959">
              <w:t>regulatory authority, must be used, and include one or more of the following:</w:t>
            </w:r>
          </w:p>
          <w:p w:rsidR="00000000" w:rsidRPr="000B4959" w:rsidP="000B4959">
            <w:pPr>
              <w:pStyle w:val="ListBullet"/>
            </w:pPr>
            <w:r w:rsidRPr="000B4959">
              <w:t>legislative requirements, including work health and safety (WHS)</w:t>
            </w:r>
          </w:p>
          <w:p w:rsidR="00000000" w:rsidRPr="000B4959" w:rsidP="000B4959">
            <w:pPr>
              <w:pStyle w:val="ListBullet"/>
            </w:pPr>
            <w:r w:rsidRPr="000B4959">
              <w:t>industry codes of practice and guidelines</w:t>
            </w:r>
          </w:p>
          <w:p w:rsidR="00000000" w:rsidRPr="000B4959" w:rsidP="000B4959">
            <w:pPr>
              <w:pStyle w:val="ListBullet"/>
            </w:pPr>
            <w:r w:rsidRPr="000B4959">
              <w:t xml:space="preserve">environmental regulations and guidelines </w:t>
            </w:r>
          </w:p>
          <w:p w:rsidR="00000000" w:rsidRPr="000B4959" w:rsidP="000B4959">
            <w:pPr>
              <w:pStyle w:val="ListBullet"/>
            </w:pPr>
            <w:r w:rsidRPr="000B4959">
              <w:t>Australian and other standar</w:t>
            </w:r>
            <w:r w:rsidRPr="000B4959">
              <w:t>ds</w:t>
            </w:r>
          </w:p>
          <w:p w:rsidR="00000000" w:rsidRPr="000B4959" w:rsidP="000B4959">
            <w:pPr>
              <w:pStyle w:val="ListBullet"/>
            </w:pPr>
            <w:r w:rsidRPr="000B4959">
              <w:t xml:space="preserve">licence and certification requirements </w:t>
            </w:r>
          </w:p>
          <w:p w:rsidR="00000000" w:rsidRPr="000B4959" w:rsidP="000B4959">
            <w:pPr>
              <w:pStyle w:val="BodyText"/>
            </w:pPr>
          </w:p>
          <w:p w:rsidR="00000000" w:rsidRPr="000B4959" w:rsidP="000B4959">
            <w:pPr>
              <w:pStyle w:val="BodyText"/>
            </w:pPr>
            <w:r w:rsidRPr="000B4959">
              <w:t>All operations to which this unit applies are subject to stringent health, safety and environment (HSE) requirements, which may be imposed through state/territory or federal legislation, and these must not be com</w:t>
            </w:r>
            <w:r w:rsidRPr="000B4959">
              <w:t>promised at any time. Where there is an apparent conflict between performance criteria and HSE requirements, the HSE requirements take precedence.</w:t>
            </w:r>
          </w:p>
          <w:p w:rsidR="00000000" w:rsidP="000B4959">
            <w:pPr>
              <w:pStyle w:val="BodyText"/>
              <w:rPr>
                <w:lang w:val="en-NZ"/>
              </w:rPr>
            </w:pPr>
          </w:p>
        </w:tc>
      </w:tr>
      <w:tr w:rsidTr="00ED05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B4959" w:rsidP="000B4959">
            <w:pPr>
              <w:pStyle w:val="BodyText"/>
            </w:pPr>
            <w:r w:rsidRPr="000B4959">
              <w:t>All operations must be performed in accordance with relevant procedures.</w:t>
            </w:r>
          </w:p>
          <w:p w:rsidR="00000000" w:rsidRPr="000B4959" w:rsidP="000B4959">
            <w:pPr>
              <w:pStyle w:val="BodyText"/>
            </w:pPr>
          </w:p>
          <w:p w:rsidR="00000000" w:rsidRPr="000B4959" w:rsidP="000B4959">
            <w:pPr>
              <w:pStyle w:val="BodyText"/>
            </w:pPr>
            <w:r w:rsidRPr="000B4959">
              <w:t>Procedures are written, verbal, visual, computer-based or in some other form, include one or more of the following:</w:t>
            </w:r>
          </w:p>
          <w:p w:rsidR="00000000" w:rsidRPr="000B4959" w:rsidP="000B4959">
            <w:pPr>
              <w:pStyle w:val="ListBullet"/>
            </w:pPr>
            <w:r w:rsidRPr="000B4959">
              <w:t>emergency procedures</w:t>
            </w:r>
          </w:p>
          <w:p w:rsidR="00000000" w:rsidRPr="000B4959" w:rsidP="000B4959">
            <w:pPr>
              <w:pStyle w:val="ListBullet"/>
            </w:pPr>
            <w:r w:rsidRPr="000B4959">
              <w:t>work instructions</w:t>
            </w:r>
          </w:p>
          <w:p w:rsidR="00000000" w:rsidRPr="000B4959" w:rsidP="000B4959">
            <w:pPr>
              <w:pStyle w:val="ListBullet"/>
            </w:pPr>
            <w:r w:rsidRPr="000B4959">
              <w:t>SOPs</w:t>
            </w:r>
          </w:p>
          <w:p w:rsidR="00000000" w:rsidRPr="000B4959" w:rsidP="000B4959">
            <w:pPr>
              <w:pStyle w:val="ListBullet"/>
            </w:pPr>
            <w:r w:rsidRPr="000B4959">
              <w:t>safe work method statements (SWMS)</w:t>
            </w:r>
          </w:p>
          <w:p w:rsidR="00000000" w:rsidRPr="000B4959" w:rsidP="000B4959">
            <w:pPr>
              <w:pStyle w:val="ListBullet"/>
            </w:pPr>
            <w:r w:rsidRPr="000B4959">
              <w:t>formulas/recipes</w:t>
            </w:r>
          </w:p>
          <w:p w:rsidR="00000000" w:rsidRPr="000B4959" w:rsidP="000B4959">
            <w:pPr>
              <w:pStyle w:val="ListBullet"/>
            </w:pPr>
            <w:r w:rsidRPr="000B4959">
              <w:t>batch sheets</w:t>
            </w:r>
          </w:p>
          <w:p w:rsidR="00000000" w:rsidRPr="000B4959" w:rsidP="000B4959">
            <w:pPr>
              <w:pStyle w:val="ListBullet"/>
            </w:pPr>
            <w:r w:rsidRPr="000B4959">
              <w:t>temporary instructions</w:t>
            </w:r>
          </w:p>
          <w:p w:rsidR="00000000" w:rsidRPr="000B4959" w:rsidP="000B4959">
            <w:pPr>
              <w:pStyle w:val="ListBullet"/>
            </w:pPr>
            <w:r w:rsidRPr="000B4959">
              <w:t>any sim</w:t>
            </w:r>
            <w:r w:rsidRPr="000B4959">
              <w:t>ilar instructions provided for the smooth running of the plant</w:t>
            </w:r>
          </w:p>
          <w:p w:rsidR="00000000" w:rsidP="000B4959">
            <w:pPr>
              <w:pStyle w:val="BodyText"/>
              <w:rPr>
                <w:lang w:val="en-NZ"/>
              </w:rPr>
            </w:pPr>
          </w:p>
        </w:tc>
      </w:tr>
      <w:tr w:rsidTr="00ED05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B4959" w:rsidP="000B4959">
            <w:pPr>
              <w:pStyle w:val="BodyText"/>
            </w:pPr>
            <w:r w:rsidRPr="000B4959">
              <w:t>Hazards include one or more of the following:</w:t>
            </w:r>
          </w:p>
          <w:p w:rsidR="00000000" w:rsidRPr="000B4959" w:rsidP="000B4959">
            <w:pPr>
              <w:pStyle w:val="ListBullet"/>
            </w:pPr>
            <w:r w:rsidRPr="000B4959">
              <w:t>electricity</w:t>
            </w:r>
          </w:p>
          <w:p w:rsidR="00000000" w:rsidRPr="000B4959" w:rsidP="000B4959">
            <w:pPr>
              <w:pStyle w:val="ListBullet"/>
            </w:pPr>
            <w:r w:rsidRPr="000B4959">
              <w:t>gas</w:t>
            </w:r>
          </w:p>
          <w:p w:rsidR="00000000" w:rsidRPr="000B4959" w:rsidP="000B4959">
            <w:pPr>
              <w:pStyle w:val="ListBullet"/>
            </w:pPr>
            <w:r w:rsidRPr="000B4959">
              <w:t xml:space="preserve">gases and liquids under pressure </w:t>
            </w:r>
          </w:p>
          <w:p w:rsidR="00000000" w:rsidRPr="000B4959" w:rsidP="000B4959">
            <w:pPr>
              <w:pStyle w:val="ListBullet"/>
            </w:pPr>
            <w:r w:rsidRPr="000B4959">
              <w:t>structural hazards</w:t>
            </w:r>
          </w:p>
          <w:p w:rsidR="00000000" w:rsidRPr="000B4959" w:rsidP="000B4959">
            <w:pPr>
              <w:pStyle w:val="ListBullet"/>
            </w:pPr>
            <w:r w:rsidRPr="000B4959">
              <w:t>industrial (machinery, equipment and product)</w:t>
            </w:r>
          </w:p>
          <w:p w:rsidR="00000000" w:rsidRPr="000B4959" w:rsidP="000B4959">
            <w:pPr>
              <w:pStyle w:val="ListBullet"/>
            </w:pPr>
            <w:r w:rsidRPr="000B4959">
              <w:t>equipment or product mass</w:t>
            </w:r>
          </w:p>
          <w:p w:rsidR="00000000" w:rsidRPr="000B4959" w:rsidP="000B4959">
            <w:pPr>
              <w:pStyle w:val="ListBullet"/>
            </w:pPr>
            <w:r w:rsidRPr="000B4959">
              <w:t>noise, rotational equipment or vibration</w:t>
            </w:r>
          </w:p>
          <w:p w:rsidR="00000000" w:rsidRPr="000B4959" w:rsidP="000B4959">
            <w:pPr>
              <w:pStyle w:val="ListBullet"/>
            </w:pPr>
            <w:r w:rsidRPr="000B4959">
              <w:t>plant services (steam, condensate and cooling water)</w:t>
            </w:r>
          </w:p>
          <w:p w:rsidR="00000000" w:rsidRPr="000B4959" w:rsidP="000B4959">
            <w:pPr>
              <w:pStyle w:val="ListBullet"/>
            </w:pPr>
            <w:r w:rsidRPr="000B4959">
              <w:t xml:space="preserve">limited head spaces or overhangs </w:t>
            </w:r>
          </w:p>
          <w:p w:rsidR="00000000" w:rsidRPr="000B4959" w:rsidP="000B4959">
            <w:pPr>
              <w:pStyle w:val="ListBullet"/>
            </w:pPr>
            <w:r w:rsidRPr="000B4959">
              <w:t>working at heights, in restricted or confined spaces, or in environments subjected to heat, dusts or v</w:t>
            </w:r>
            <w:r w:rsidRPr="000B4959">
              <w:t>apours</w:t>
            </w:r>
          </w:p>
          <w:p w:rsidR="00000000" w:rsidRPr="000B4959" w:rsidP="000B4959">
            <w:pPr>
              <w:pStyle w:val="ListBullet"/>
            </w:pPr>
            <w:r w:rsidRPr="000B4959">
              <w:t>flammability and explosivity</w:t>
            </w:r>
          </w:p>
          <w:p w:rsidR="00000000" w:rsidRPr="000B4959" w:rsidP="000B4959">
            <w:pPr>
              <w:pStyle w:val="ListBullet"/>
            </w:pPr>
            <w:r w:rsidRPr="000B4959">
              <w:t>hazardous products and materials</w:t>
            </w:r>
          </w:p>
          <w:p w:rsidR="00000000" w:rsidRPr="000B4959" w:rsidP="000B4959">
            <w:pPr>
              <w:pStyle w:val="ListBullet"/>
            </w:pPr>
            <w:r w:rsidRPr="000B4959">
              <w:t>unauthorised personnel</w:t>
            </w:r>
          </w:p>
          <w:p w:rsidR="00000000" w:rsidRPr="000B4959" w:rsidP="000B4959">
            <w:pPr>
              <w:pStyle w:val="ListBullet"/>
            </w:pPr>
            <w:r w:rsidRPr="000B4959">
              <w:t>sharp edges, protrusions or obstructions</w:t>
            </w:r>
          </w:p>
          <w:p w:rsidR="00000000" w:rsidRPr="000B4959" w:rsidP="000B4959">
            <w:pPr>
              <w:pStyle w:val="ListBullet"/>
            </w:pPr>
            <w:r w:rsidRPr="000B4959">
              <w:t>slippery surfaces, spills or leaks</w:t>
            </w:r>
          </w:p>
          <w:p w:rsidR="00000000" w:rsidRPr="000B4959" w:rsidP="000B4959">
            <w:pPr>
              <w:pStyle w:val="ListBullet"/>
            </w:pPr>
            <w:r w:rsidRPr="000B4959">
              <w:t>extreme weather</w:t>
            </w:r>
          </w:p>
          <w:p w:rsidR="00000000" w:rsidRPr="000B4959" w:rsidP="000B4959">
            <w:pPr>
              <w:pStyle w:val="ListBullet"/>
            </w:pPr>
            <w:r w:rsidRPr="000B4959">
              <w:t>other hazards that might arise</w:t>
            </w:r>
          </w:p>
          <w:p w:rsidR="00000000" w:rsidP="000B4959">
            <w:pPr>
              <w:pStyle w:val="BodyText"/>
              <w:rPr>
                <w:lang w:val="en-NZ"/>
              </w:rPr>
            </w:pPr>
          </w:p>
        </w:tc>
      </w:tr>
      <w:tr w:rsidTr="00ED05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959">
            <w:pPr>
              <w:pStyle w:val="BodyText"/>
              <w:rPr>
                <w:lang w:val="en-NZ"/>
              </w:rPr>
            </w:pPr>
            <w:r w:rsidRPr="000B4959">
              <w:rPr>
                <w:rStyle w:val="SpecialBold"/>
              </w:rPr>
              <w:t>Monitoring equipment</w:t>
            </w:r>
          </w:p>
        </w:tc>
        <w:tc>
          <w:tcPr>
            <w:tcW w:w="0" w:type="auto"/>
            <w:tcBorders>
              <w:top w:val="nil"/>
              <w:left w:val="nil"/>
              <w:bottom w:val="nil"/>
              <w:right w:val="nil"/>
            </w:tcBorders>
            <w:tcMar>
              <w:top w:w="0" w:type="dxa"/>
              <w:left w:w="62" w:type="dxa"/>
              <w:bottom w:w="0" w:type="dxa"/>
              <w:right w:w="62" w:type="dxa"/>
            </w:tcMar>
          </w:tcPr>
          <w:p w:rsidR="00000000" w:rsidRPr="000B4959" w:rsidP="000B4959">
            <w:pPr>
              <w:pStyle w:val="BodyText"/>
            </w:pPr>
            <w:r w:rsidRPr="000B4959">
              <w:t>Monitoring equipment includes one or more of the following:</w:t>
            </w:r>
          </w:p>
          <w:p w:rsidR="00000000" w:rsidRPr="000B4959" w:rsidP="000B4959">
            <w:pPr>
              <w:pStyle w:val="ListBullet"/>
            </w:pPr>
            <w:r w:rsidRPr="000B4959">
              <w:t>built-in systems (software and site displays)</w:t>
            </w:r>
          </w:p>
          <w:p w:rsidR="00000000" w:rsidRPr="000B4959" w:rsidP="000B4959">
            <w:pPr>
              <w:pStyle w:val="ListBullet"/>
            </w:pPr>
            <w:r w:rsidRPr="000B4959">
              <w:t>portable meters or devices</w:t>
            </w:r>
          </w:p>
          <w:p w:rsidR="00000000" w:rsidRPr="000B4959" w:rsidP="000B4959">
            <w:pPr>
              <w:pStyle w:val="ListBullet"/>
            </w:pPr>
            <w:r w:rsidRPr="000B4959">
              <w:t>vibration monitors</w:t>
            </w:r>
          </w:p>
          <w:p w:rsidR="00000000" w:rsidRPr="000B4959" w:rsidP="000B4959">
            <w:pPr>
              <w:pStyle w:val="ListBullet"/>
            </w:pPr>
            <w:r w:rsidRPr="000B4959">
              <w:t>infra-red and ultra-violet, and non-destructive testing</w:t>
            </w:r>
          </w:p>
        </w:tc>
      </w:tr>
    </w:tbl>
    <w:p w:rsidR="00000000" w:rsidRPr="000B4959" w:rsidP="000B4959">
      <w:pPr>
        <w:pStyle w:val="BodyText"/>
      </w:pPr>
    </w:p>
    <w:p w:rsidR="00000000" w:rsidRPr="000B4959" w:rsidP="000B4959">
      <w:pPr>
        <w:pStyle w:val="AllowPageBreak"/>
      </w:pPr>
    </w:p>
    <w:p w:rsidR="00000000" w:rsidRPr="000B4959" w:rsidP="000B4959">
      <w:pPr>
        <w:pStyle w:val="Heading1"/>
      </w:pPr>
      <w:bookmarkStart w:id="9" w:name="O_910048"/>
      <w:bookmarkEnd w:id="9"/>
      <w:r w:rsidRPr="000B4959">
        <w:t>Unit Mapping Information</w:t>
      </w:r>
    </w:p>
    <w:p w:rsidR="00000000" w:rsidRPr="000B4959" w:rsidP="00ED05D8">
      <w:pPr>
        <w:pStyle w:val="BodyText"/>
      </w:pPr>
      <w:r w:rsidRPr="000B4959">
        <w:t>Release 1. Supersedes and is equivalent to PMASUP345A Monitor vibration</w:t>
      </w:r>
    </w:p>
    <w:p w:rsidR="00000000" w:rsidRPr="000B4959" w:rsidP="000B4959">
      <w:pPr>
        <w:pStyle w:val="Heading1"/>
      </w:pPr>
      <w:bookmarkStart w:id="10" w:name="O_910041"/>
      <w:bookmarkEnd w:id="10"/>
      <w:r w:rsidRPr="000B4959">
        <w:t>Links</w:t>
      </w:r>
    </w:p>
    <w:p w:rsidR="00000000" w:rsidRPr="000B4959" w:rsidP="00ED05D8">
      <w:pPr>
        <w:pStyle w:val="BodyText"/>
      </w:pPr>
      <w:r w:rsidRPr="000B495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F4107">
        <w:rPr>
          <w:rStyle w:val="Hyperlink"/>
        </w:rPr>
        <w:t>https://vetnet.gov.au/Pages/TrainingDocs.aspx?q=9fc2cf53-e570-4e9f-ad6a-b228ffdb6875</w:t>
      </w:r>
      <w:r>
        <w:fldChar w:fldCharType="end"/>
      </w:r>
    </w:p>
    <w:p w:rsidR="00000000" w:rsidRPr="000B4959" w:rsidP="00ED05D8">
      <w:pPr>
        <w:pStyle w:val="BodyText"/>
        <w:sectPr w:rsidSect="000B4959">
          <w:headerReference w:type="default" r:id="rId10"/>
          <w:footerReference w:type="default" r:id="rId11"/>
          <w:pgSz w:w="11908" w:h="16833"/>
          <w:pgMar w:top="1702" w:right="1418" w:bottom="1702" w:left="1418" w:header="992" w:footer="992" w:gutter="0"/>
          <w:cols w:space="720"/>
          <w:noEndnote/>
          <w:docGrid w:linePitch="299"/>
        </w:sectPr>
      </w:pPr>
    </w:p>
    <w:p w:rsidR="00000000" w:rsidRPr="000B4959" w:rsidP="000B4959">
      <w:pPr>
        <w:pStyle w:val="SuperHeading"/>
      </w:pPr>
      <w:r w:rsidRPr="000B4959">
        <w:t>Assessment Requirements for PMASUP345 Monitor vibration</w:t>
      </w:r>
    </w:p>
    <w:p w:rsidR="00000000" w:rsidRPr="000B4959" w:rsidP="000B4959">
      <w:pPr>
        <w:pStyle w:val="Heading1"/>
      </w:pPr>
      <w:bookmarkStart w:id="11" w:name="O_910043"/>
      <w:bookmarkEnd w:id="11"/>
      <w:r w:rsidRPr="000B4959">
        <w:t>Modification History</w:t>
      </w:r>
    </w:p>
    <w:p w:rsidR="00000000" w:rsidRPr="000B4959" w:rsidP="00ED05D8">
      <w:pPr>
        <w:pStyle w:val="BodyText"/>
      </w:pPr>
      <w:r w:rsidRPr="000B4959">
        <w:t>Release 1. Supersedes and is equivalent to PMASUP345A Monitor vibration</w:t>
      </w:r>
    </w:p>
    <w:p w:rsidR="00000000" w:rsidRPr="000B4959" w:rsidP="000B4959">
      <w:pPr>
        <w:pStyle w:val="Heading1"/>
      </w:pPr>
      <w:bookmarkStart w:id="12" w:name="O_910046"/>
      <w:bookmarkEnd w:id="12"/>
      <w:r w:rsidRPr="000B4959">
        <w:t>Performance Evidence</w:t>
      </w:r>
    </w:p>
    <w:p w:rsidR="00000000" w:rsidRPr="000B4959" w:rsidP="00ED05D8">
      <w:pPr>
        <w:pStyle w:val="BodyText"/>
      </w:pPr>
      <w:r w:rsidRPr="000B4959">
        <w:t>Evidenc</w:t>
      </w:r>
      <w:r w:rsidRPr="000B4959">
        <w:t>e required to demonstrate competence in this unit must be relevant to and satisfy the requirements of the elements and performance criteria, and include the ability to:</w:t>
      </w:r>
    </w:p>
    <w:p w:rsidR="00000000" w:rsidRPr="000B4959" w:rsidP="000B4959">
      <w:pPr>
        <w:pStyle w:val="ListBullet"/>
      </w:pPr>
      <w:r w:rsidRPr="000B4959">
        <w:t>recognise early warning signs of equipment/processes needing attention or with potenti</w:t>
      </w:r>
      <w:r w:rsidRPr="000B4959">
        <w:t xml:space="preserve">al problems </w:t>
      </w:r>
    </w:p>
    <w:p w:rsidR="00000000" w:rsidRPr="000B4959" w:rsidP="000B4959">
      <w:pPr>
        <w:pStyle w:val="ListBullet"/>
      </w:pPr>
      <w:r w:rsidRPr="000B4959">
        <w:t>select and apply appropriate condition monitoring procedures and equipment</w:t>
      </w:r>
    </w:p>
    <w:p w:rsidR="00000000" w:rsidRPr="000B4959" w:rsidP="000B4959">
      <w:pPr>
        <w:pStyle w:val="ListBullet"/>
      </w:pPr>
      <w:r w:rsidRPr="000B4959">
        <w:t xml:space="preserve">accurately record results </w:t>
      </w:r>
    </w:p>
    <w:p w:rsidR="00000000" w:rsidRPr="000B4959" w:rsidP="000B4959">
      <w:pPr>
        <w:pStyle w:val="ListBullet"/>
      </w:pPr>
      <w:r w:rsidRPr="000B4959">
        <w:t>prepare and submit deviation reports</w:t>
      </w:r>
    </w:p>
    <w:p w:rsidR="00000000" w:rsidRPr="000B4959" w:rsidP="000B4959">
      <w:pPr>
        <w:pStyle w:val="ListBullet"/>
      </w:pPr>
      <w:r w:rsidRPr="000B4959">
        <w:t xml:space="preserve">identify hazards and risks and apply risk control procedures. </w:t>
      </w:r>
    </w:p>
    <w:p w:rsidR="00000000" w:rsidRPr="000B4959" w:rsidP="000B4959">
      <w:pPr>
        <w:pStyle w:val="AllowPageBreak"/>
      </w:pPr>
    </w:p>
    <w:p w:rsidR="00000000" w:rsidRPr="000B4959" w:rsidP="000B4959">
      <w:pPr>
        <w:pStyle w:val="Heading1"/>
      </w:pPr>
      <w:bookmarkStart w:id="13" w:name="O_910045"/>
      <w:bookmarkEnd w:id="13"/>
      <w:r w:rsidRPr="000B4959">
        <w:t>Knowledge Evidence</w:t>
      </w:r>
    </w:p>
    <w:p w:rsidR="00000000" w:rsidRPr="000B4959" w:rsidP="00ED05D8">
      <w:pPr>
        <w:pStyle w:val="BodyText"/>
      </w:pPr>
      <w:r w:rsidRPr="000B4959">
        <w:t>Evidence must be provided that demonstrates knowledge of:</w:t>
      </w:r>
    </w:p>
    <w:p w:rsidR="00000000" w:rsidRPr="000B4959" w:rsidP="000B4959">
      <w:pPr>
        <w:pStyle w:val="ListBullet"/>
      </w:pPr>
      <w:r w:rsidRPr="000B4959">
        <w:t>principles and methods of condition monitoring and how they apply in different contexts/situations</w:t>
      </w:r>
    </w:p>
    <w:p w:rsidR="00000000" w:rsidRPr="000B4959" w:rsidP="000B4959">
      <w:pPr>
        <w:pStyle w:val="ListBullet"/>
      </w:pPr>
      <w:r w:rsidRPr="000B4959">
        <w:t>organisation procedures, including those covering</w:t>
      </w:r>
    </w:p>
    <w:p w:rsidR="00000000" w:rsidRPr="000B4959" w:rsidP="000B4959">
      <w:pPr>
        <w:pStyle w:val="ListBullet2"/>
      </w:pPr>
      <w:r w:rsidRPr="000B4959">
        <w:t>safety, emergency and hazard control</w:t>
      </w:r>
    </w:p>
    <w:p w:rsidR="00000000" w:rsidRPr="000B4959" w:rsidP="000B4959">
      <w:pPr>
        <w:pStyle w:val="ListBullet2"/>
      </w:pPr>
      <w:r w:rsidRPr="000B4959">
        <w:t>maintenanc</w:t>
      </w:r>
      <w:r w:rsidRPr="000B4959">
        <w:t xml:space="preserve">e </w:t>
      </w:r>
    </w:p>
    <w:p w:rsidR="00000000" w:rsidRPr="000B4959" w:rsidP="000B4959">
      <w:pPr>
        <w:pStyle w:val="ListBullet2"/>
      </w:pPr>
      <w:r w:rsidRPr="000B4959">
        <w:t>standard operating procedures (SOPs)</w:t>
      </w:r>
    </w:p>
    <w:p w:rsidR="00000000" w:rsidRPr="000B4959" w:rsidP="000B4959">
      <w:pPr>
        <w:pStyle w:val="ListBullet"/>
      </w:pPr>
      <w:r w:rsidRPr="000B4959">
        <w:t>hierarchy of control</w:t>
      </w:r>
    </w:p>
    <w:p w:rsidR="00000000" w:rsidRPr="000B4959" w:rsidP="000B4959">
      <w:pPr>
        <w:pStyle w:val="ListBullet"/>
      </w:pPr>
      <w:r w:rsidRPr="000B4959">
        <w:t>use and application of personal protective equipment (PPE)</w:t>
      </w:r>
    </w:p>
    <w:p w:rsidR="00000000" w:rsidRPr="000B4959" w:rsidP="000B4959">
      <w:pPr>
        <w:pStyle w:val="ListBullet"/>
      </w:pPr>
      <w:r w:rsidRPr="000B4959">
        <w:t>safe work practices and procedures.</w:t>
      </w:r>
    </w:p>
    <w:p w:rsidR="00000000" w:rsidRPr="000B4959" w:rsidP="000B4959">
      <w:pPr>
        <w:pStyle w:val="AllowPageBreak"/>
      </w:pPr>
    </w:p>
    <w:p w:rsidR="00000000" w:rsidRPr="000B4959" w:rsidP="000B4959">
      <w:pPr>
        <w:pStyle w:val="Heading1"/>
      </w:pPr>
      <w:bookmarkStart w:id="14" w:name="O_910044"/>
      <w:bookmarkEnd w:id="14"/>
      <w:r w:rsidRPr="000B4959">
        <w:t>Assessment Conditions</w:t>
      </w:r>
    </w:p>
    <w:p w:rsidR="00000000" w:rsidRPr="000B4959" w:rsidP="000B4959">
      <w:pPr>
        <w:pStyle w:val="ListBullet"/>
      </w:pPr>
      <w:r w:rsidRPr="000B4959">
        <w:t>The unit should be assessed holistically and the</w:t>
      </w:r>
      <w:r w:rsidRPr="000B4959">
        <w:t xml:space="preserve"> judgement of competence based on a holistic assessment of the evidence.</w:t>
      </w:r>
    </w:p>
    <w:p w:rsidR="00000000" w:rsidRPr="000B4959" w:rsidP="000B4959">
      <w:pPr>
        <w:pStyle w:val="ListBullet"/>
      </w:pPr>
      <w:r w:rsidRPr="000B4959">
        <w:t>The collection of performance evidence:</w:t>
      </w:r>
    </w:p>
    <w:p w:rsidR="00000000" w:rsidRPr="000B4959" w:rsidP="000B4959">
      <w:pPr>
        <w:pStyle w:val="ListBullet2"/>
      </w:pPr>
      <w:r w:rsidRPr="000B4959">
        <w:t xml:space="preserve">should occur over a range of situations which include typical disruptions to normal, smooth operations </w:t>
      </w:r>
    </w:p>
    <w:p w:rsidR="00000000" w:rsidRPr="000B4959" w:rsidP="000B4959">
      <w:pPr>
        <w:pStyle w:val="ListBullet2"/>
      </w:pPr>
      <w:r w:rsidRPr="000B4959">
        <w:t>will typically include a supervisor/th</w:t>
      </w:r>
      <w:r w:rsidRPr="000B4959">
        <w:t>ird-party report focusing on consistent performance and problem recognition and solving. A supervisor/third-party report must be prepared by someone who has a direct, relevant, current relationship with the person being assessed and who is in a position to</w:t>
      </w:r>
      <w:r w:rsidRPr="000B4959">
        <w:t xml:space="preserve"> form a judgement on workplace performance relevant to the unit of competency </w:t>
      </w:r>
    </w:p>
    <w:p w:rsidR="00000000" w:rsidRPr="000B4959" w:rsidP="000B4959">
      <w:pPr>
        <w:pStyle w:val="ListBullet2"/>
      </w:pPr>
      <w:r w:rsidRPr="000B4959">
        <w:t>must include at least two (2) monitoring activities, the use of appropriate tools, equipment and safety gear requiring demonstration of preparation, operation, completion and re</w:t>
      </w:r>
      <w:r w:rsidRPr="000B4959">
        <w:t>sponding to problems</w:t>
      </w:r>
    </w:p>
    <w:p w:rsidR="00000000" w:rsidRPr="000B4959" w:rsidP="000B4959">
      <w:pPr>
        <w:pStyle w:val="ListBullet2"/>
      </w:pPr>
      <w:r w:rsidRPr="000B4959">
        <w:t>may use industry-based simulation for all or part of the unit particularly where safety, lack of opportunity or significant cost is an issue.</w:t>
      </w:r>
    </w:p>
    <w:p w:rsidR="00000000" w:rsidRPr="000B4959" w:rsidP="000B4959">
      <w:pPr>
        <w:pStyle w:val="ListBullet"/>
      </w:pPr>
      <w:r w:rsidRPr="000B4959">
        <w:t xml:space="preserve">Assessment should occur in operational workplace situations. Where this is not possible, or </w:t>
      </w:r>
      <w:r w:rsidRPr="000B4959">
        <w:t>where personal safety or environmental damage are limiting factors, assessment must occur in a sufficiently rigorous simulated environment reflecting realistic operational workplace conditions. This must cover all aspects of workplace performance, includin</w:t>
      </w:r>
      <w:r w:rsidRPr="000B4959">
        <w:t xml:space="preserve">g environment, task skills, task management skills, contingency </w:t>
      </w:r>
      <w:r w:rsidRPr="000B4959">
        <w:t xml:space="preserve">management skills and job role environment skills. </w:t>
      </w:r>
    </w:p>
    <w:p w:rsidR="00000000" w:rsidRPr="000B4959" w:rsidP="000B4959">
      <w:pPr>
        <w:pStyle w:val="ListBullet"/>
      </w:pPr>
      <w:r w:rsidRPr="000B4959">
        <w:t xml:space="preserve">Assessment in a simulated environment should use evidence collected from one or more of: </w:t>
      </w:r>
    </w:p>
    <w:p w:rsidR="00000000" w:rsidRPr="000B4959" w:rsidP="000B4959">
      <w:pPr>
        <w:pStyle w:val="ListBullet2"/>
      </w:pPr>
      <w:r w:rsidRPr="000B4959">
        <w:t>walk-throughs</w:t>
      </w:r>
    </w:p>
    <w:p w:rsidR="00000000" w:rsidRPr="000B4959" w:rsidP="000B4959">
      <w:pPr>
        <w:pStyle w:val="ListBullet2"/>
      </w:pPr>
      <w:r w:rsidRPr="000B4959">
        <w:t xml:space="preserve">pilot plant operation </w:t>
      </w:r>
    </w:p>
    <w:p w:rsidR="00000000" w:rsidRPr="000B4959" w:rsidP="000B4959">
      <w:pPr>
        <w:pStyle w:val="ListBullet2"/>
      </w:pPr>
      <w:r w:rsidRPr="000B4959">
        <w:t>demonstra</w:t>
      </w:r>
      <w:r w:rsidRPr="000B4959">
        <w:t xml:space="preserve">tion of skills </w:t>
      </w:r>
    </w:p>
    <w:p w:rsidR="00000000" w:rsidRPr="000B4959" w:rsidP="000B4959">
      <w:pPr>
        <w:pStyle w:val="ListBullet2"/>
      </w:pPr>
      <w:r w:rsidRPr="000B4959">
        <w:t xml:space="preserve">industry-based case studies/scenarios </w:t>
      </w:r>
    </w:p>
    <w:p w:rsidR="00000000" w:rsidRPr="000B4959" w:rsidP="000B4959">
      <w:pPr>
        <w:pStyle w:val="ListBullet2"/>
      </w:pPr>
      <w:r w:rsidRPr="000B4959">
        <w:t>‘what ifs’.</w:t>
      </w:r>
    </w:p>
    <w:p w:rsidR="00000000" w:rsidRPr="000B4959" w:rsidP="000B4959">
      <w:pPr>
        <w:pStyle w:val="ListBullet"/>
      </w:pPr>
      <w:r w:rsidRPr="000B4959">
        <w:t>Knowledge evidence may be collected concurrently with performance evidence (provided a record is kept) or through an independent process, such as workbooks, written assessments or intervie</w:t>
      </w:r>
      <w:r w:rsidRPr="000B4959">
        <w:t>ws (provided a record is kept).</w:t>
      </w:r>
    </w:p>
    <w:p w:rsidR="00000000" w:rsidRPr="000B4959" w:rsidP="000B4959">
      <w:pPr>
        <w:pStyle w:val="ListBullet"/>
      </w:pPr>
      <w:r w:rsidRPr="000B4959">
        <w:t>Assessment processes and techniques must be appropriate to the language, literacy and numeracy requirements of the work being performed and the needs of the candidate.</w:t>
      </w:r>
    </w:p>
    <w:p w:rsidR="00000000" w:rsidRPr="000B4959" w:rsidP="000B4959">
      <w:pPr>
        <w:pStyle w:val="ListBullet"/>
      </w:pPr>
      <w:r w:rsidRPr="000B4959">
        <w:t>Conditions for assessment must include access to all too</w:t>
      </w:r>
      <w:r w:rsidRPr="000B4959">
        <w:t>ls, equipment, materials and documentation required, including relevant workplace procedures, product and manufacturing specifications associated with this unit.</w:t>
      </w:r>
    </w:p>
    <w:p w:rsidR="00000000" w:rsidRPr="000B4959" w:rsidP="000B4959">
      <w:pPr>
        <w:pStyle w:val="ListBullet"/>
      </w:pPr>
      <w:r w:rsidRPr="000B4959">
        <w:t>The regulatory framework will be reflected in workplace policies and procedures and is not req</w:t>
      </w:r>
      <w:r w:rsidRPr="000B4959">
        <w:t>uired to be independently assessed.</w:t>
      </w:r>
    </w:p>
    <w:p w:rsidR="00000000" w:rsidRPr="000B4959" w:rsidP="000B4959">
      <w:pPr>
        <w:pStyle w:val="ListBullet"/>
      </w:pPr>
      <w:r w:rsidRPr="000B4959">
        <w:t>Foundation skills are integral to competent performance of the unit and should not be assessed separately.</w:t>
      </w:r>
    </w:p>
    <w:p w:rsidR="00000000" w:rsidRPr="000B4959" w:rsidP="000B4959">
      <w:pPr>
        <w:pStyle w:val="ListBullet"/>
      </w:pPr>
      <w:r w:rsidRPr="000B4959">
        <w:t>Assessors must satisfy the assessor competency requirements that are in place at the time of the assessment as se</w:t>
      </w:r>
      <w:r w:rsidRPr="000B4959">
        <w:t>t by the VET regulator.</w:t>
      </w:r>
    </w:p>
    <w:p w:rsidR="00000000" w:rsidRPr="000B4959" w:rsidP="000B4959">
      <w:pPr>
        <w:pStyle w:val="ListBullet"/>
      </w:pPr>
      <w:r w:rsidRPr="000B4959">
        <w:t>In addition, the assessor or anyone acting in subject matter expert role in assessment must demonstrate both technical competency and currency. If the assessor cannot demonstrate technical competency and currency they must assess wi</w:t>
      </w:r>
      <w:r w:rsidRPr="000B4959">
        <w:t xml:space="preserve">th a subject matter expert who does meet these requirements. </w:t>
      </w:r>
    </w:p>
    <w:p w:rsidR="00000000" w:rsidRPr="000B4959" w:rsidP="000B4959">
      <w:pPr>
        <w:pStyle w:val="ListBullet"/>
      </w:pPr>
      <w:r w:rsidRPr="000B4959">
        <w:t>Technical competence can be demonstrated through one or more of:</w:t>
      </w:r>
    </w:p>
    <w:p w:rsidR="00000000" w:rsidRPr="000B4959" w:rsidP="000B4959">
      <w:pPr>
        <w:pStyle w:val="ListBullet2"/>
      </w:pPr>
      <w:r w:rsidRPr="000B4959">
        <w:t xml:space="preserve">relevant VET or other qualification/Statement of Attainment </w:t>
      </w:r>
    </w:p>
    <w:p w:rsidR="00000000" w:rsidRPr="000B4959" w:rsidP="000B4959">
      <w:pPr>
        <w:pStyle w:val="ListBullet2"/>
      </w:pPr>
      <w:r w:rsidRPr="000B4959">
        <w:t xml:space="preserve">appropriate workplace experience undertaking the type of work being assessed under routine and non-routine conditions </w:t>
      </w:r>
    </w:p>
    <w:p w:rsidR="00000000" w:rsidRPr="000B4959" w:rsidP="000B4959">
      <w:pPr>
        <w:pStyle w:val="ListBullet2"/>
      </w:pPr>
      <w:r w:rsidRPr="000B4959">
        <w:t>appropriate workplace experience supervising/evaluating the type of work being assessed under routine and non-routine conditions</w:t>
      </w:r>
    </w:p>
    <w:p w:rsidR="00000000" w:rsidRPr="000B4959" w:rsidP="000B4959">
      <w:pPr>
        <w:pStyle w:val="ListBullet"/>
      </w:pPr>
      <w:r w:rsidRPr="000B4959">
        <w:t>Currenc</w:t>
      </w:r>
      <w:r w:rsidRPr="000B4959">
        <w:t>y can be demonstrated through one or more of:</w:t>
      </w:r>
    </w:p>
    <w:p w:rsidR="00000000" w:rsidRPr="000B4959" w:rsidP="000B4959">
      <w:pPr>
        <w:pStyle w:val="ListBullet2"/>
      </w:pPr>
      <w:r w:rsidRPr="000B4959">
        <w:t xml:space="preserve">being currently employed undertaking the type of work being assessed </w:t>
      </w:r>
    </w:p>
    <w:p w:rsidR="00000000" w:rsidRPr="000B4959" w:rsidP="000B4959">
      <w:pPr>
        <w:pStyle w:val="ListBullet2"/>
      </w:pPr>
      <w:r w:rsidRPr="000B4959">
        <w:t>being employed by the organisation undertaking the type of work being assessed and having maintained currency in accordance with that organ</w:t>
      </w:r>
      <w:r w:rsidRPr="000B4959">
        <w:t xml:space="preserve">isation’s policies and procedures </w:t>
      </w:r>
    </w:p>
    <w:p w:rsidR="00000000" w:rsidRPr="000B4959" w:rsidP="000B4959">
      <w:pPr>
        <w:pStyle w:val="ListBullet2"/>
      </w:pPr>
      <w:r w:rsidRPr="000B4959">
        <w:t xml:space="preserve">having consulted/had contact with an organisation undertaking the type of work being assessed within the last twelve months, the consultation/contact being related to assessment </w:t>
      </w:r>
    </w:p>
    <w:p w:rsidR="00000000" w:rsidRPr="000B4959" w:rsidP="000B4959">
      <w:pPr>
        <w:pStyle w:val="ListBullet2"/>
      </w:pPr>
      <w:r w:rsidRPr="000B4959">
        <w:t>conducting on-the-job training/assessments</w:t>
      </w:r>
      <w:r w:rsidRPr="000B4959">
        <w:t xml:space="preserve"> of the type of work being assessed </w:t>
      </w:r>
    </w:p>
    <w:p w:rsidR="00000000" w:rsidRPr="000B4959" w:rsidP="000B4959">
      <w:pPr>
        <w:pStyle w:val="ListBullet2"/>
      </w:pPr>
      <w:r w:rsidRPr="000B4959">
        <w:t>being an active member of a relevant professional body and participating in activities relevant to the assessment of this type of work.</w:t>
      </w:r>
    </w:p>
    <w:p w:rsidR="00000000" w:rsidRPr="000B4959" w:rsidP="000B4959">
      <w:pPr>
        <w:pStyle w:val="AllowPageBreak"/>
      </w:pPr>
    </w:p>
    <w:p w:rsidR="00000000" w:rsidRPr="000B4959" w:rsidP="000B4959">
      <w:pPr>
        <w:pStyle w:val="Heading1"/>
      </w:pPr>
      <w:bookmarkStart w:id="15" w:name="O_910042"/>
      <w:bookmarkEnd w:id="15"/>
      <w:r w:rsidRPr="000B4959">
        <w:t>Links</w:t>
      </w:r>
    </w:p>
    <w:p w:rsidR="00000000" w:rsidRPr="000B4959" w:rsidP="00ED05D8">
      <w:pPr>
        <w:pStyle w:val="BodyText"/>
      </w:pPr>
      <w:r w:rsidRPr="000B4959">
        <w:t>Companion Volume implementation guides are found in VETNet -</w:t>
      </w:r>
      <w:r w:rsidRPr="000B4959">
        <w:t xml:space="preserve"> </w:t>
      </w:r>
      <w:r>
        <w:fldChar w:fldCharType="begin"/>
      </w:r>
      <w:r>
        <w:instrText xml:space="preserve"> HYPERLINK "https://vetnet.gov.au/Pages/TrainingDocs.aspx?q=9fc2cf53-e570-4e9f-ad6a-b228ffdb6875" </w:instrText>
      </w:r>
      <w:r>
        <w:fldChar w:fldCharType="separate"/>
      </w:r>
      <w:r w:rsidRPr="003F4107">
        <w:rPr>
          <w:rStyle w:val="Hyperlink"/>
        </w:rPr>
        <w:t>https://vetnet.gov.au/Pages/TrainingDocs.aspx?q=9fc2cf53-e570-4e9f-ad6a-b228ffdb6875</w:t>
      </w:r>
      <w:r>
        <w:fldChar w:fldCharType="end"/>
      </w:r>
    </w:p>
    <w:p w:rsidR="00000000" w:rsidRPr="000B4959" w:rsidP="000B4959"/>
    <w:sectPr w:rsidSect="000B49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59" w:rsidRPr="00ED05D8" w:rsidP="00ED05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D8" w:rsidP="000B49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05D8" w:rsidP="000B49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D05D8" w:rsidP="000B49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59" w:rsidP="000B4959">
    <w:pPr>
      <w:pStyle w:val="Footer"/>
      <w:framePr w:wrap="around"/>
    </w:pPr>
    <w:r>
      <w:fldChar w:fldCharType="begin"/>
    </w:r>
    <w:r>
      <w:instrText xml:space="preserve"> DOCPROPERTY  Subject  \* MERGEFORMAT </w:instrText>
    </w:r>
    <w:r>
      <w:fldChar w:fldCharType="separate"/>
    </w:r>
    <w:r w:rsidR="00ED05D8">
      <w:t>Approved</w:t>
    </w:r>
    <w:r w:rsidR="00ED05D8">
      <w:fldChar w:fldCharType="end"/>
    </w:r>
    <w:r>
      <w:tab/>
      <w:t xml:space="preserve">Page </w:t>
    </w:r>
    <w:r>
      <w:fldChar w:fldCharType="begin"/>
    </w:r>
    <w:r>
      <w:instrText xml:space="preserve"> PAGE  \* Arabic  \* MERGEFORMAT </w:instrText>
    </w:r>
    <w:r>
      <w:fldChar w:fldCharType="separate"/>
    </w:r>
    <w:r w:rsidR="00ED05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05D8">
      <w:rPr>
        <w:noProof/>
      </w:rPr>
      <w:t>5</w:t>
    </w:r>
    <w:r>
      <w:rPr>
        <w:noProof/>
      </w:rPr>
      <w:fldChar w:fldCharType="end"/>
    </w:r>
  </w:p>
  <w:p w:rsidR="000B4959" w:rsidP="000B4959">
    <w:pPr>
      <w:pStyle w:val="Footer"/>
      <w:framePr w:wrap="around"/>
    </w:pPr>
    <w:r>
      <w:t xml:space="preserve">© Commonwealth of Australia, </w:t>
    </w:r>
    <w:r>
      <w:fldChar w:fldCharType="begin"/>
    </w:r>
    <w:r>
      <w:instrText xml:space="preserve"> DATE  \@ "yyyy"  \* MERGEFORMAT </w:instrText>
    </w:r>
    <w:r>
      <w:fldChar w:fldCharType="separate"/>
    </w:r>
    <w:r w:rsidR="00ED05D8">
      <w:rPr>
        <w:noProof/>
      </w:rPr>
      <w:t>2025</w:t>
    </w:r>
    <w:r>
      <w:fldChar w:fldCharType="end"/>
    </w:r>
    <w:r>
      <w:tab/>
    </w:r>
    <w:r>
      <w:fldChar w:fldCharType="begin"/>
    </w:r>
    <w:r>
      <w:instrText xml:space="preserve"> DOCPROPERTY  Author  \* MERGEFORMAT </w:instrText>
    </w:r>
    <w:r>
      <w:fldChar w:fldCharType="separate"/>
    </w:r>
    <w:r w:rsidR="00ED05D8">
      <w:t>Manufacturing Industry Skills Alliance</w:t>
    </w:r>
    <w:r w:rsidR="00ED05D8">
      <w:fldChar w:fldCharType="end"/>
    </w:r>
  </w:p>
  <w:p w:rsidR="000B4959" w:rsidP="000B49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4959" w:rsidRPr="00ED05D8" w:rsidP="00ED05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D8" w:rsidRPr="002D2AF8" w:rsidP="000B4959">
    <w:pPr>
      <w:pStyle w:val="Header"/>
      <w:framePr w:wrap="around"/>
    </w:pPr>
    <w:r>
      <w:fldChar w:fldCharType="begin"/>
    </w:r>
    <w:r>
      <w:instrText xml:space="preserve"> TITLE   \* MERGEFORMAT </w:instrText>
    </w:r>
    <w:r>
      <w:fldChar w:fldCharType="separate"/>
    </w:r>
    <w:r>
      <w:t>PMASUP345 Monitor vibration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05D8" w:rsidP="000B49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59" w:rsidRPr="002D2AF8" w:rsidP="000B4959">
    <w:pPr>
      <w:pStyle w:val="Header"/>
      <w:framePr w:wrap="around"/>
    </w:pPr>
    <w:r>
      <w:fldChar w:fldCharType="begin"/>
    </w:r>
    <w:r>
      <w:instrText xml:space="preserve"> TITLE   \* MERGEFORMAT </w:instrText>
    </w:r>
    <w:r>
      <w:fldChar w:fldCharType="separate"/>
    </w:r>
    <w:r w:rsidR="00ED05D8">
      <w:t>PMASUP345 Monitor vibration</w:t>
    </w:r>
    <w:r w:rsidR="00ED05D8">
      <w:fldChar w:fldCharType="end"/>
    </w:r>
    <w:r>
      <w:tab/>
      <w:t xml:space="preserve">Date this document was generated: </w:t>
    </w:r>
    <w:r>
      <w:fldChar w:fldCharType="begin"/>
    </w:r>
    <w:r>
      <w:instrText xml:space="preserve"> CREATEDATE  \@ "d MMMM yyyy"  \* MERGEFORMAT </w:instrText>
    </w:r>
    <w:r>
      <w:fldChar w:fldCharType="separate"/>
    </w:r>
    <w:r w:rsidR="00ED05D8">
      <w:rPr>
        <w:noProof/>
      </w:rPr>
      <w:t>2 March 2025</w:t>
    </w:r>
    <w:r>
      <w:fldChar w:fldCharType="end"/>
    </w:r>
  </w:p>
  <w:p w:rsidR="000B4959" w:rsidP="000B49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D4A2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9EE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BAC9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9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959"/>
    <w:pPr>
      <w:spacing w:before="360" w:after="60"/>
      <w:outlineLvl w:val="0"/>
    </w:pPr>
    <w:rPr>
      <w:sz w:val="32"/>
    </w:rPr>
  </w:style>
  <w:style w:type="paragraph" w:styleId="Heading2">
    <w:name w:val="heading 2"/>
    <w:basedOn w:val="HeadingBase"/>
    <w:next w:val="BodyText"/>
    <w:link w:val="Heading2Char"/>
    <w:qFormat/>
    <w:rsid w:val="000B4959"/>
    <w:pPr>
      <w:keepLines/>
      <w:spacing w:before="240" w:after="120"/>
      <w:outlineLvl w:val="1"/>
    </w:pPr>
    <w:rPr>
      <w:sz w:val="28"/>
      <w:szCs w:val="40"/>
    </w:rPr>
  </w:style>
  <w:style w:type="paragraph" w:styleId="Heading3">
    <w:name w:val="heading 3"/>
    <w:basedOn w:val="HeadingBase"/>
    <w:next w:val="BodyText"/>
    <w:link w:val="Heading3Char"/>
    <w:qFormat/>
    <w:rsid w:val="000B4959"/>
    <w:pPr>
      <w:spacing w:before="180" w:after="120"/>
      <w:outlineLvl w:val="2"/>
    </w:pPr>
    <w:rPr>
      <w:spacing w:val="-10"/>
      <w:kern w:val="32"/>
    </w:rPr>
  </w:style>
  <w:style w:type="paragraph" w:styleId="Heading4">
    <w:name w:val="heading 4"/>
    <w:basedOn w:val="HeadingBase"/>
    <w:next w:val="BodyText"/>
    <w:link w:val="Heading4Char"/>
    <w:qFormat/>
    <w:rsid w:val="000B4959"/>
    <w:pPr>
      <w:spacing w:before="160" w:after="120"/>
      <w:outlineLvl w:val="3"/>
    </w:pPr>
    <w:rPr>
      <w:sz w:val="22"/>
    </w:rPr>
  </w:style>
  <w:style w:type="paragraph" w:styleId="Heading5">
    <w:name w:val="heading 5"/>
    <w:basedOn w:val="HeadingBase"/>
    <w:next w:val="Normal"/>
    <w:link w:val="Heading5Char"/>
    <w:qFormat/>
    <w:rsid w:val="000B4959"/>
    <w:pPr>
      <w:spacing w:before="80"/>
      <w:outlineLvl w:val="4"/>
    </w:pPr>
    <w:rPr>
      <w:color w:val="918585"/>
      <w:sz w:val="20"/>
    </w:rPr>
  </w:style>
  <w:style w:type="paragraph" w:styleId="Heading6">
    <w:name w:val="heading 6"/>
    <w:basedOn w:val="HeadingBase"/>
    <w:next w:val="Normal"/>
    <w:link w:val="Heading6Char"/>
    <w:qFormat/>
    <w:rsid w:val="000B4959"/>
    <w:pPr>
      <w:spacing w:before="60"/>
      <w:outlineLvl w:val="5"/>
    </w:pPr>
    <w:rPr>
      <w:color w:val="918585"/>
      <w:sz w:val="20"/>
    </w:rPr>
  </w:style>
  <w:style w:type="paragraph" w:styleId="Heading7">
    <w:name w:val="heading 7"/>
    <w:basedOn w:val="Normal"/>
    <w:next w:val="Normal"/>
    <w:link w:val="Heading7Char"/>
    <w:qFormat/>
    <w:rsid w:val="000B4959"/>
    <w:pPr>
      <w:ind w:left="720"/>
      <w:outlineLvl w:val="6"/>
    </w:pPr>
    <w:rPr>
      <w:i/>
    </w:rPr>
  </w:style>
  <w:style w:type="paragraph" w:styleId="Heading8">
    <w:name w:val="heading 8"/>
    <w:basedOn w:val="Normal"/>
    <w:next w:val="Normal"/>
    <w:link w:val="Heading8Char"/>
    <w:qFormat/>
    <w:rsid w:val="000B4959"/>
    <w:pPr>
      <w:ind w:left="720"/>
      <w:outlineLvl w:val="7"/>
    </w:pPr>
    <w:rPr>
      <w:i/>
    </w:rPr>
  </w:style>
  <w:style w:type="paragraph" w:styleId="Heading9">
    <w:name w:val="heading 9"/>
    <w:basedOn w:val="Normal"/>
    <w:next w:val="Normal"/>
    <w:link w:val="Heading9Char"/>
    <w:qFormat/>
    <w:rsid w:val="000B4959"/>
    <w:pPr>
      <w:ind w:left="720"/>
      <w:outlineLvl w:val="8"/>
    </w:pPr>
    <w:rPr>
      <w:i/>
    </w:rPr>
  </w:style>
  <w:style w:type="character" w:default="1" w:styleId="DefaultParagraphFont">
    <w:name w:val="Default Paragraph Font"/>
    <w:uiPriority w:val="1"/>
    <w:unhideWhenUsed/>
    <w:rsid w:val="000B4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959"/>
  </w:style>
  <w:style w:type="character" w:customStyle="1" w:styleId="Heading1Char">
    <w:name w:val="Heading 1 Char"/>
    <w:basedOn w:val="DefaultParagraphFont"/>
    <w:link w:val="Heading1"/>
    <w:rsid w:val="000B4959"/>
    <w:rPr>
      <w:rFonts w:ascii="Times New Roman" w:eastAsia="Times New Roman" w:hAnsi="Times New Roman" w:cs="Times New Roman"/>
      <w:b/>
      <w:sz w:val="32"/>
      <w:szCs w:val="20"/>
      <w:lang w:eastAsia="en-US"/>
    </w:rPr>
  </w:style>
  <w:style w:type="paragraph" w:styleId="BodyText">
    <w:name w:val="Body Text"/>
    <w:basedOn w:val="Normal"/>
    <w:link w:val="BodyTextChar"/>
    <w:rsid w:val="000B49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4959"/>
    <w:rPr>
      <w:rFonts w:ascii="Times New Roman" w:eastAsia="Times New Roman" w:hAnsi="Times New Roman" w:cs="Times New Roman"/>
      <w:sz w:val="24"/>
      <w:lang w:eastAsia="en-US"/>
    </w:rPr>
  </w:style>
  <w:style w:type="paragraph" w:styleId="ListBullet">
    <w:name w:val="List Bullet"/>
    <w:basedOn w:val="List"/>
    <w:rsid w:val="000B4959"/>
    <w:pPr>
      <w:numPr>
        <w:numId w:val="12"/>
      </w:numPr>
      <w:tabs>
        <w:tab w:val="clear" w:pos="340"/>
      </w:tabs>
      <w:spacing w:before="40" w:after="40"/>
    </w:pPr>
  </w:style>
  <w:style w:type="character" w:customStyle="1" w:styleId="SpecialBold">
    <w:name w:val="Special Bold"/>
    <w:basedOn w:val="DefaultParagraphFont"/>
    <w:rsid w:val="000B4959"/>
    <w:rPr>
      <w:b/>
      <w:spacing w:val="0"/>
    </w:rPr>
  </w:style>
  <w:style w:type="paragraph" w:styleId="ListBullet2">
    <w:name w:val="List Bullet 2"/>
    <w:basedOn w:val="List2"/>
    <w:rsid w:val="000B4959"/>
    <w:pPr>
      <w:numPr>
        <w:numId w:val="13"/>
      </w:numPr>
      <w:tabs>
        <w:tab w:val="clear" w:pos="680"/>
      </w:tabs>
    </w:pPr>
  </w:style>
  <w:style w:type="paragraph" w:customStyle="1" w:styleId="SuperHeading">
    <w:name w:val="SuperHeading"/>
    <w:basedOn w:val="Normal"/>
    <w:rsid w:val="000B4959"/>
    <w:pPr>
      <w:spacing w:before="240" w:after="120"/>
      <w:outlineLvl w:val="0"/>
    </w:pPr>
    <w:rPr>
      <w:rFonts w:ascii="Times New Roman" w:hAnsi="Times New Roman"/>
      <w:b/>
      <w:sz w:val="32"/>
    </w:rPr>
  </w:style>
  <w:style w:type="paragraph" w:customStyle="1" w:styleId="AllowPageBreak">
    <w:name w:val="AllowPageBreak"/>
    <w:rsid w:val="000B49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49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9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9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9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9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9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959"/>
    <w:rPr>
      <w:rFonts w:ascii="Courier New" w:eastAsia="Times New Roman" w:hAnsi="Courier New" w:cs="Times New Roman"/>
      <w:i/>
      <w:szCs w:val="20"/>
      <w:lang w:eastAsia="en-US"/>
    </w:rPr>
  </w:style>
  <w:style w:type="paragraph" w:customStyle="1" w:styleId="HeadingBase">
    <w:name w:val="Heading Base"/>
    <w:rsid w:val="000B4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959"/>
    <w:pPr>
      <w:tabs>
        <w:tab w:val="right" w:leader="dot" w:pos="9072"/>
      </w:tabs>
      <w:ind w:left="567"/>
    </w:pPr>
    <w:rPr>
      <w:szCs w:val="22"/>
    </w:rPr>
  </w:style>
  <w:style w:type="paragraph" w:customStyle="1" w:styleId="TOCBase">
    <w:name w:val="TOC Base"/>
    <w:rsid w:val="000B4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959"/>
    <w:pPr>
      <w:tabs>
        <w:tab w:val="right" w:leader="dot" w:pos="9072"/>
      </w:tabs>
      <w:spacing w:before="40" w:after="40"/>
      <w:ind w:left="284"/>
    </w:pPr>
    <w:rPr>
      <w:rFonts w:ascii="Times New Roman" w:hAnsi="Times New Roman"/>
    </w:rPr>
  </w:style>
  <w:style w:type="paragraph" w:styleId="TOC1">
    <w:name w:val="toc 1"/>
    <w:basedOn w:val="TOCBase"/>
    <w:next w:val="Normal"/>
    <w:rsid w:val="000B49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4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959"/>
    <w:rPr>
      <w:rFonts w:ascii="Times New Roman" w:eastAsia="Times New Roman" w:hAnsi="Times New Roman" w:cs="Times New Roman"/>
      <w:sz w:val="16"/>
      <w:lang w:eastAsia="en-US"/>
    </w:rPr>
  </w:style>
  <w:style w:type="paragraph" w:styleId="Title">
    <w:name w:val="Title"/>
    <w:basedOn w:val="HeadingBase"/>
    <w:link w:val="TitleChar"/>
    <w:qFormat/>
    <w:rsid w:val="000B4959"/>
    <w:pPr>
      <w:spacing w:before="5040"/>
      <w:jc w:val="center"/>
    </w:pPr>
    <w:rPr>
      <w:sz w:val="48"/>
      <w:szCs w:val="72"/>
      <w:lang w:val="en-US"/>
    </w:rPr>
  </w:style>
  <w:style w:type="character" w:customStyle="1" w:styleId="TitleChar">
    <w:name w:val="Title Char"/>
    <w:basedOn w:val="DefaultParagraphFont"/>
    <w:link w:val="Title"/>
    <w:rsid w:val="000B4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959"/>
    <w:pPr>
      <w:tabs>
        <w:tab w:val="left" w:pos="3600"/>
        <w:tab w:val="left" w:pos="3958"/>
      </w:tabs>
    </w:pPr>
  </w:style>
  <w:style w:type="paragraph" w:styleId="List">
    <w:name w:val="List"/>
    <w:basedOn w:val="BodyText"/>
    <w:next w:val="BodyText"/>
    <w:rsid w:val="000B4959"/>
    <w:pPr>
      <w:tabs>
        <w:tab w:val="left" w:pos="340"/>
      </w:tabs>
      <w:spacing w:before="60" w:after="60"/>
      <w:ind w:left="340" w:hanging="340"/>
    </w:pPr>
  </w:style>
  <w:style w:type="paragraph" w:customStyle="1" w:styleId="Note">
    <w:name w:val="Note"/>
    <w:basedOn w:val="BodyText"/>
    <w:rsid w:val="000B4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959"/>
    <w:pPr>
      <w:framePr w:wrap="auto" w:hAnchor="text" w:y="6049"/>
    </w:pPr>
    <w:rPr>
      <w:color w:val="000000"/>
      <w:sz w:val="40"/>
    </w:rPr>
  </w:style>
  <w:style w:type="paragraph" w:customStyle="1" w:styleId="TOCTitle">
    <w:name w:val="TOCTitle"/>
    <w:basedOn w:val="Heading1"/>
    <w:rsid w:val="000B4959"/>
    <w:pPr>
      <w:spacing w:after="240"/>
      <w:jc w:val="center"/>
      <w:outlineLvl w:val="9"/>
    </w:pPr>
    <w:rPr>
      <w:caps/>
    </w:rPr>
  </w:style>
  <w:style w:type="paragraph" w:customStyle="1" w:styleId="Version">
    <w:name w:val="Version"/>
    <w:rsid w:val="000B49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959"/>
    <w:pPr>
      <w:keepNext w:val="0"/>
      <w:tabs>
        <w:tab w:val="right" w:pos="4176"/>
      </w:tabs>
      <w:ind w:left="198" w:hanging="198"/>
    </w:pPr>
    <w:rPr>
      <w:rFonts w:ascii="Garamond" w:hAnsi="Garamond"/>
    </w:rPr>
  </w:style>
  <w:style w:type="paragraph" w:styleId="IndexHeading">
    <w:name w:val="index heading"/>
    <w:basedOn w:val="Normal"/>
    <w:next w:val="Index1"/>
    <w:semiHidden/>
    <w:rsid w:val="000B4959"/>
    <w:pPr>
      <w:spacing w:before="120" w:after="120"/>
    </w:pPr>
    <w:rPr>
      <w:rFonts w:ascii="Arial" w:hAnsi="Arial"/>
      <w:b/>
      <w:color w:val="918585"/>
      <w:sz w:val="24"/>
    </w:rPr>
  </w:style>
  <w:style w:type="paragraph" w:styleId="Header">
    <w:name w:val="header"/>
    <w:basedOn w:val="Normal"/>
    <w:link w:val="HeaderChar"/>
    <w:rsid w:val="000B4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959"/>
    <w:rPr>
      <w:rFonts w:ascii="Times New Roman" w:eastAsia="Times New Roman" w:hAnsi="Times New Roman" w:cs="Times New Roman"/>
      <w:sz w:val="16"/>
      <w:szCs w:val="20"/>
      <w:lang w:val="en-GB" w:eastAsia="en-US"/>
    </w:rPr>
  </w:style>
  <w:style w:type="paragraph" w:customStyle="1" w:styleId="Chapter">
    <w:name w:val="Chapter"/>
    <w:basedOn w:val="Normal"/>
    <w:rsid w:val="000B4959"/>
    <w:pPr>
      <w:spacing w:before="240"/>
    </w:pPr>
    <w:rPr>
      <w:rFonts w:ascii="Times New Roman" w:hAnsi="Times New Roman"/>
      <w:smallCaps/>
      <w:spacing w:val="80"/>
      <w:sz w:val="28"/>
    </w:rPr>
  </w:style>
  <w:style w:type="paragraph" w:customStyle="1" w:styleId="InChapter">
    <w:name w:val="InChapter"/>
    <w:basedOn w:val="Heading3"/>
    <w:rsid w:val="000B4959"/>
    <w:pPr>
      <w:spacing w:after="240"/>
      <w:outlineLvl w:val="9"/>
    </w:pPr>
    <w:rPr>
      <w:noProof/>
    </w:rPr>
  </w:style>
  <w:style w:type="paragraph" w:styleId="Index2">
    <w:name w:val="index 2"/>
    <w:basedOn w:val="Normal"/>
    <w:next w:val="Normal"/>
    <w:semiHidden/>
    <w:rsid w:val="000B4959"/>
    <w:pPr>
      <w:tabs>
        <w:tab w:val="right" w:pos="4176"/>
      </w:tabs>
      <w:ind w:left="568" w:hanging="284"/>
    </w:pPr>
    <w:rPr>
      <w:rFonts w:ascii="Garamond" w:hAnsi="Garamond"/>
    </w:rPr>
  </w:style>
  <w:style w:type="paragraph" w:customStyle="1" w:styleId="Byline">
    <w:name w:val="Byline"/>
    <w:rsid w:val="000B4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959"/>
    <w:pPr>
      <w:tabs>
        <w:tab w:val="clear" w:pos="3600"/>
        <w:tab w:val="clear" w:pos="3958"/>
      </w:tabs>
      <w:jc w:val="right"/>
    </w:pPr>
  </w:style>
  <w:style w:type="character" w:styleId="Emphasis">
    <w:name w:val="Emphasis"/>
    <w:basedOn w:val="DefaultParagraphFont"/>
    <w:qFormat/>
    <w:rsid w:val="000B4959"/>
    <w:rPr>
      <w:i/>
    </w:rPr>
  </w:style>
  <w:style w:type="paragraph" w:styleId="Caption">
    <w:name w:val="caption"/>
    <w:basedOn w:val="BodyText"/>
    <w:next w:val="Normal"/>
    <w:qFormat/>
    <w:rsid w:val="000B4959"/>
    <w:pPr>
      <w:framePr w:w="2268" w:hSpace="181" w:vSpace="181" w:wrap="around" w:vAnchor="text" w:hAnchor="page" w:x="1135" w:y="285" w:anchorLock="1"/>
    </w:pPr>
    <w:rPr>
      <w:i/>
    </w:rPr>
  </w:style>
  <w:style w:type="paragraph" w:customStyle="1" w:styleId="MiniTOCTitle">
    <w:name w:val="MiniTOCTitle"/>
    <w:basedOn w:val="Heading4"/>
    <w:rsid w:val="000B4959"/>
    <w:pPr>
      <w:spacing w:before="240"/>
      <w:outlineLvl w:val="9"/>
    </w:pPr>
    <w:rPr>
      <w:noProof/>
      <w:sz w:val="24"/>
    </w:rPr>
  </w:style>
  <w:style w:type="paragraph" w:customStyle="1" w:styleId="MiniTOCItem">
    <w:name w:val="MiniTOCItem"/>
    <w:basedOn w:val="ListBullet"/>
    <w:rsid w:val="000B4959"/>
    <w:pPr>
      <w:numPr>
        <w:numId w:val="0"/>
      </w:numPr>
      <w:tabs>
        <w:tab w:val="right" w:leader="dot" w:pos="6521"/>
      </w:tabs>
      <w:spacing w:before="0" w:after="0"/>
    </w:pPr>
  </w:style>
  <w:style w:type="paragraph" w:customStyle="1" w:styleId="TOFTitle">
    <w:name w:val="TOFTitle"/>
    <w:basedOn w:val="TOCTitle"/>
    <w:rsid w:val="000B4959"/>
  </w:style>
  <w:style w:type="paragraph" w:styleId="TableofFigures">
    <w:name w:val="table of figures"/>
    <w:basedOn w:val="Normal"/>
    <w:next w:val="Normal"/>
    <w:semiHidden/>
    <w:rsid w:val="000B4959"/>
    <w:pPr>
      <w:tabs>
        <w:tab w:val="right" w:leader="dot" w:pos="9072"/>
      </w:tabs>
      <w:ind w:left="970" w:hanging="403"/>
    </w:pPr>
    <w:rPr>
      <w:rFonts w:ascii="Times New Roman" w:hAnsi="Times New Roman"/>
      <w:b/>
    </w:rPr>
  </w:style>
  <w:style w:type="paragraph" w:styleId="ListNumber">
    <w:name w:val="List Number"/>
    <w:basedOn w:val="List"/>
    <w:rsid w:val="000B4959"/>
    <w:pPr>
      <w:numPr>
        <w:numId w:val="15"/>
      </w:numPr>
      <w:tabs>
        <w:tab w:val="clear" w:pos="340"/>
      </w:tabs>
    </w:pPr>
  </w:style>
  <w:style w:type="character" w:customStyle="1" w:styleId="WingdingSymbols">
    <w:name w:val="Wingding Symbols"/>
    <w:rsid w:val="000B4959"/>
    <w:rPr>
      <w:rFonts w:ascii="Wingdings" w:hAnsi="Wingdings"/>
    </w:rPr>
  </w:style>
  <w:style w:type="paragraph" w:customStyle="1" w:styleId="TableHeading">
    <w:name w:val="Table Heading"/>
    <w:basedOn w:val="HeadingBase"/>
    <w:rsid w:val="000B4959"/>
    <w:pPr>
      <w:keepLines/>
      <w:pBdr>
        <w:bottom w:val="single" w:sz="6" w:space="1" w:color="918585"/>
      </w:pBdr>
      <w:spacing w:before="240"/>
    </w:pPr>
  </w:style>
  <w:style w:type="character" w:customStyle="1" w:styleId="HotSpot">
    <w:name w:val="HotSpot"/>
    <w:rsid w:val="000B4959"/>
    <w:rPr>
      <w:color w:val="0033CC"/>
      <w:u w:val="none"/>
    </w:rPr>
  </w:style>
  <w:style w:type="paragraph" w:customStyle="1" w:styleId="BodyTextRight">
    <w:name w:val="Body Text Right"/>
    <w:basedOn w:val="BodyText"/>
    <w:rsid w:val="000B4959"/>
    <w:pPr>
      <w:spacing w:before="0" w:after="0"/>
      <w:jc w:val="right"/>
    </w:pPr>
  </w:style>
  <w:style w:type="paragraph" w:styleId="Index3">
    <w:name w:val="index 3"/>
    <w:basedOn w:val="ListNumber2"/>
    <w:next w:val="Normal"/>
    <w:semiHidden/>
    <w:rsid w:val="000B4959"/>
    <w:pPr>
      <w:numPr>
        <w:numId w:val="0"/>
      </w:numPr>
      <w:tabs>
        <w:tab w:val="right" w:leader="dot" w:pos="4176"/>
      </w:tabs>
    </w:pPr>
  </w:style>
  <w:style w:type="paragraph" w:styleId="ListNumber2">
    <w:name w:val="List Number 2"/>
    <w:basedOn w:val="List2"/>
    <w:rsid w:val="000B4959"/>
    <w:pPr>
      <w:numPr>
        <w:numId w:val="10"/>
      </w:numPr>
      <w:tabs>
        <w:tab w:val="clear" w:pos="1060"/>
      </w:tabs>
    </w:pPr>
  </w:style>
  <w:style w:type="paragraph" w:customStyle="1" w:styleId="MarginNote">
    <w:name w:val="Margin Note"/>
    <w:basedOn w:val="BodyText"/>
    <w:rsid w:val="000B4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9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959"/>
    <w:rPr>
      <w:sz w:val="32"/>
    </w:rPr>
  </w:style>
  <w:style w:type="paragraph" w:customStyle="1" w:styleId="HeadingProcedure">
    <w:name w:val="Heading Procedure"/>
    <w:basedOn w:val="HeadingBase"/>
    <w:next w:val="Normal"/>
    <w:rsid w:val="000B4959"/>
    <w:pPr>
      <w:tabs>
        <w:tab w:val="left" w:pos="0"/>
      </w:tabs>
      <w:spacing w:before="120" w:after="60"/>
    </w:pPr>
    <w:rPr>
      <w:i/>
      <w:color w:val="918585"/>
      <w:sz w:val="22"/>
    </w:rPr>
  </w:style>
  <w:style w:type="paragraph" w:customStyle="1" w:styleId="TableBodyText">
    <w:name w:val="Table Body Text"/>
    <w:basedOn w:val="BodyText"/>
    <w:rsid w:val="000B4959"/>
    <w:pPr>
      <w:spacing w:before="60" w:after="60"/>
    </w:pPr>
  </w:style>
  <w:style w:type="paragraph" w:styleId="ListContinue">
    <w:name w:val="List Continue"/>
    <w:basedOn w:val="List"/>
    <w:rsid w:val="000B4959"/>
    <w:pPr>
      <w:ind w:firstLine="0"/>
    </w:pPr>
  </w:style>
  <w:style w:type="paragraph" w:customStyle="1" w:styleId="ListNote">
    <w:name w:val="List Note"/>
    <w:basedOn w:val="List"/>
    <w:rsid w:val="000B4959"/>
    <w:pPr>
      <w:pBdr>
        <w:top w:val="single" w:sz="6" w:space="2" w:color="918585"/>
        <w:bottom w:val="single" w:sz="6" w:space="2" w:color="918585"/>
      </w:pBdr>
      <w:tabs>
        <w:tab w:val="left" w:pos="1021"/>
      </w:tabs>
      <w:ind w:firstLine="0"/>
    </w:pPr>
  </w:style>
  <w:style w:type="paragraph" w:customStyle="1" w:styleId="Warning">
    <w:name w:val="Warning"/>
    <w:basedOn w:val="BodyText"/>
    <w:rsid w:val="000B4959"/>
    <w:pPr>
      <w:shd w:val="clear" w:color="auto" w:fill="D9D9D9"/>
      <w:tabs>
        <w:tab w:val="left" w:pos="992"/>
      </w:tabs>
      <w:ind w:left="119" w:right="119"/>
    </w:pPr>
    <w:rPr>
      <w:sz w:val="20"/>
    </w:rPr>
  </w:style>
  <w:style w:type="paragraph" w:customStyle="1" w:styleId="MarginIcons">
    <w:name w:val="Margin Icons"/>
    <w:basedOn w:val="BodyText"/>
    <w:rsid w:val="000B49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959"/>
    <w:rPr>
      <w:rFonts w:ascii="Courier New" w:hAnsi="Courier New"/>
    </w:rPr>
  </w:style>
  <w:style w:type="paragraph" w:customStyle="1" w:styleId="NoteBullet">
    <w:name w:val="Note Bullet"/>
    <w:basedOn w:val="Note"/>
    <w:rsid w:val="000B4959"/>
    <w:pPr>
      <w:tabs>
        <w:tab w:val="clear" w:pos="680"/>
      </w:tabs>
      <w:spacing w:before="60" w:after="60"/>
    </w:pPr>
  </w:style>
  <w:style w:type="paragraph" w:customStyle="1" w:styleId="SubHeading2">
    <w:name w:val="SubHeading2"/>
    <w:basedOn w:val="HeadingBase"/>
    <w:rsid w:val="000B4959"/>
    <w:pPr>
      <w:spacing w:before="240" w:after="60"/>
    </w:pPr>
    <w:rPr>
      <w:sz w:val="20"/>
    </w:rPr>
  </w:style>
  <w:style w:type="paragraph" w:customStyle="1" w:styleId="SubHeading1">
    <w:name w:val="SubHeading1"/>
    <w:basedOn w:val="HeadingBase"/>
    <w:rsid w:val="000B4959"/>
    <w:pPr>
      <w:spacing w:before="240" w:after="60"/>
    </w:pPr>
    <w:rPr>
      <w:color w:val="918585"/>
      <w:sz w:val="22"/>
    </w:rPr>
  </w:style>
  <w:style w:type="paragraph" w:customStyle="1" w:styleId="SideHeading">
    <w:name w:val="Side Heading"/>
    <w:basedOn w:val="HeadingBase"/>
    <w:rsid w:val="000B4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959"/>
    <w:pPr>
      <w:tabs>
        <w:tab w:val="num" w:pos="360"/>
      </w:tabs>
    </w:pPr>
  </w:style>
  <w:style w:type="paragraph" w:styleId="PlainText">
    <w:name w:val="Plain Text"/>
    <w:basedOn w:val="Normal"/>
    <w:link w:val="PlainTextChar"/>
    <w:rsid w:val="000B4959"/>
    <w:rPr>
      <w:sz w:val="20"/>
    </w:rPr>
  </w:style>
  <w:style w:type="character" w:customStyle="1" w:styleId="PlainTextChar">
    <w:name w:val="Plain Text Char"/>
    <w:basedOn w:val="DefaultParagraphFont"/>
    <w:link w:val="PlainText"/>
    <w:rsid w:val="000B4959"/>
    <w:rPr>
      <w:rFonts w:ascii="Courier New" w:eastAsia="Times New Roman" w:hAnsi="Courier New" w:cs="Times New Roman"/>
      <w:sz w:val="20"/>
      <w:szCs w:val="20"/>
      <w:lang w:eastAsia="en-US"/>
    </w:rPr>
  </w:style>
  <w:style w:type="character" w:customStyle="1" w:styleId="MenuOption">
    <w:name w:val="Menu Option"/>
    <w:basedOn w:val="DefaultParagraphFont"/>
    <w:rsid w:val="000B4959"/>
    <w:rPr>
      <w:b/>
      <w:smallCaps/>
    </w:rPr>
  </w:style>
  <w:style w:type="paragraph" w:customStyle="1" w:styleId="TableListNumber">
    <w:name w:val="Table List Number"/>
    <w:basedOn w:val="ListNumber"/>
    <w:rsid w:val="000B4959"/>
    <w:pPr>
      <w:numPr>
        <w:numId w:val="0"/>
      </w:numPr>
    </w:pPr>
  </w:style>
  <w:style w:type="paragraph" w:styleId="TOC4">
    <w:name w:val="toc 4"/>
    <w:basedOn w:val="TOCBase"/>
    <w:next w:val="Normal"/>
    <w:semiHidden/>
    <w:rsid w:val="000B4959"/>
    <w:pPr>
      <w:tabs>
        <w:tab w:val="right" w:leader="dot" w:pos="9071"/>
      </w:tabs>
      <w:ind w:left="1701"/>
    </w:pPr>
  </w:style>
  <w:style w:type="paragraph" w:customStyle="1" w:styleId="ListAlpha">
    <w:name w:val="List Alpha"/>
    <w:basedOn w:val="List"/>
    <w:rsid w:val="000B4959"/>
    <w:pPr>
      <w:numPr>
        <w:numId w:val="9"/>
      </w:numPr>
    </w:pPr>
  </w:style>
  <w:style w:type="paragraph" w:customStyle="1" w:styleId="ListAlpha2">
    <w:name w:val="List Alpha 2"/>
    <w:basedOn w:val="List2"/>
    <w:rsid w:val="000B4959"/>
    <w:pPr>
      <w:numPr>
        <w:numId w:val="8"/>
      </w:numPr>
    </w:pPr>
  </w:style>
  <w:style w:type="paragraph" w:styleId="List2">
    <w:name w:val="List 2"/>
    <w:basedOn w:val="BodyText"/>
    <w:rsid w:val="000B4959"/>
    <w:pPr>
      <w:tabs>
        <w:tab w:val="left" w:pos="680"/>
      </w:tabs>
      <w:spacing w:before="60" w:after="60"/>
      <w:ind w:left="680" w:hanging="340"/>
    </w:pPr>
  </w:style>
  <w:style w:type="paragraph" w:styleId="List3">
    <w:name w:val="List 3"/>
    <w:basedOn w:val="BodyText"/>
    <w:rsid w:val="000B4959"/>
    <w:pPr>
      <w:tabs>
        <w:tab w:val="left" w:pos="1021"/>
      </w:tabs>
      <w:spacing w:before="60" w:after="60"/>
      <w:ind w:left="1020" w:hanging="340"/>
    </w:pPr>
  </w:style>
  <w:style w:type="paragraph" w:styleId="List4">
    <w:name w:val="List 4"/>
    <w:basedOn w:val="BodyText"/>
    <w:rsid w:val="000B4959"/>
    <w:pPr>
      <w:tabs>
        <w:tab w:val="left" w:pos="1361"/>
      </w:tabs>
      <w:spacing w:before="60" w:after="60"/>
      <w:ind w:left="1361" w:hanging="340"/>
    </w:pPr>
  </w:style>
  <w:style w:type="paragraph" w:styleId="List5">
    <w:name w:val="List 5"/>
    <w:basedOn w:val="BodyText"/>
    <w:rsid w:val="000B4959"/>
    <w:pPr>
      <w:tabs>
        <w:tab w:val="left" w:pos="1701"/>
      </w:tabs>
      <w:spacing w:before="60" w:after="60"/>
      <w:ind w:left="1701" w:hanging="340"/>
    </w:pPr>
  </w:style>
  <w:style w:type="paragraph" w:styleId="ListBullet3">
    <w:name w:val="List Bullet 3"/>
    <w:basedOn w:val="List3"/>
    <w:rsid w:val="000B4959"/>
    <w:pPr>
      <w:numPr>
        <w:numId w:val="14"/>
      </w:numPr>
      <w:tabs>
        <w:tab w:val="clear" w:pos="1021"/>
      </w:tabs>
      <w:ind w:left="1037" w:hanging="357"/>
    </w:pPr>
  </w:style>
  <w:style w:type="paragraph" w:styleId="ListBullet4">
    <w:name w:val="List Bullet 4"/>
    <w:basedOn w:val="List4"/>
    <w:rsid w:val="000B4959"/>
    <w:pPr>
      <w:numPr>
        <w:numId w:val="3"/>
      </w:numPr>
      <w:tabs>
        <w:tab w:val="clear" w:pos="1361"/>
      </w:tabs>
    </w:pPr>
  </w:style>
  <w:style w:type="paragraph" w:styleId="ListBullet5">
    <w:name w:val="List Bullet 5"/>
    <w:basedOn w:val="List5"/>
    <w:rsid w:val="000B4959"/>
    <w:pPr>
      <w:numPr>
        <w:numId w:val="4"/>
      </w:numPr>
    </w:pPr>
  </w:style>
  <w:style w:type="paragraph" w:styleId="ListContinue2">
    <w:name w:val="List Continue 2"/>
    <w:basedOn w:val="List2"/>
    <w:rsid w:val="000B4959"/>
    <w:pPr>
      <w:ind w:firstLine="0"/>
    </w:pPr>
  </w:style>
  <w:style w:type="paragraph" w:styleId="ListContinue3">
    <w:name w:val="List Continue 3"/>
    <w:basedOn w:val="List3"/>
    <w:rsid w:val="000B4959"/>
    <w:pPr>
      <w:ind w:left="1021" w:firstLine="0"/>
    </w:pPr>
  </w:style>
  <w:style w:type="paragraph" w:styleId="ListContinue4">
    <w:name w:val="List Continue 4"/>
    <w:basedOn w:val="List4"/>
    <w:rsid w:val="000B4959"/>
    <w:pPr>
      <w:ind w:firstLine="0"/>
    </w:pPr>
  </w:style>
  <w:style w:type="paragraph" w:styleId="ListContinue5">
    <w:name w:val="List Continue 5"/>
    <w:basedOn w:val="List5"/>
    <w:rsid w:val="000B4959"/>
    <w:pPr>
      <w:ind w:firstLine="0"/>
    </w:pPr>
  </w:style>
  <w:style w:type="paragraph" w:styleId="ListNumber3">
    <w:name w:val="List Number 3"/>
    <w:basedOn w:val="List3"/>
    <w:rsid w:val="000B4959"/>
    <w:pPr>
      <w:numPr>
        <w:numId w:val="5"/>
      </w:numPr>
    </w:pPr>
  </w:style>
  <w:style w:type="paragraph" w:styleId="ListNumber4">
    <w:name w:val="List Number 4"/>
    <w:basedOn w:val="List4"/>
    <w:rsid w:val="000B4959"/>
    <w:pPr>
      <w:numPr>
        <w:numId w:val="6"/>
      </w:numPr>
    </w:pPr>
  </w:style>
  <w:style w:type="paragraph" w:styleId="ListNumber5">
    <w:name w:val="List Number 5"/>
    <w:basedOn w:val="List5"/>
    <w:rsid w:val="000B4959"/>
    <w:pPr>
      <w:numPr>
        <w:numId w:val="7"/>
      </w:numPr>
    </w:pPr>
  </w:style>
  <w:style w:type="paragraph" w:styleId="BlockText">
    <w:name w:val="Block Text"/>
    <w:basedOn w:val="Normal"/>
    <w:rsid w:val="000B4959"/>
    <w:pPr>
      <w:spacing w:after="120"/>
      <w:ind w:left="1440" w:right="1440"/>
    </w:pPr>
  </w:style>
  <w:style w:type="character" w:customStyle="1" w:styleId="Subscript">
    <w:name w:val="Subscript"/>
    <w:basedOn w:val="DefaultParagraphFont"/>
    <w:rsid w:val="000B4959"/>
    <w:rPr>
      <w:sz w:val="16"/>
      <w:vertAlign w:val="subscript"/>
    </w:rPr>
  </w:style>
  <w:style w:type="character" w:customStyle="1" w:styleId="Superscript">
    <w:name w:val="Superscript"/>
    <w:basedOn w:val="DefaultParagraphFont"/>
    <w:rsid w:val="000B4959"/>
    <w:rPr>
      <w:sz w:val="16"/>
      <w:vertAlign w:val="superscript"/>
    </w:rPr>
  </w:style>
  <w:style w:type="character" w:customStyle="1" w:styleId="Symbols">
    <w:name w:val="Symbols"/>
    <w:basedOn w:val="DefaultParagraphFont"/>
    <w:rsid w:val="000B4959"/>
    <w:rPr>
      <w:rFonts w:ascii="Symbol" w:hAnsi="Symbol"/>
    </w:rPr>
  </w:style>
  <w:style w:type="character" w:customStyle="1" w:styleId="MenuOptions">
    <w:name w:val="Menu Options"/>
    <w:basedOn w:val="DefaultParagraphFont"/>
    <w:rsid w:val="000B4959"/>
    <w:rPr>
      <w:rFonts w:ascii="Arial Narrow" w:hAnsi="Arial Narrow"/>
      <w:smallCaps/>
    </w:rPr>
  </w:style>
  <w:style w:type="character" w:customStyle="1" w:styleId="Buttons">
    <w:name w:val="Buttons"/>
    <w:basedOn w:val="DefaultParagraphFont"/>
    <w:rsid w:val="000B4959"/>
    <w:rPr>
      <w:b/>
    </w:rPr>
  </w:style>
  <w:style w:type="character" w:customStyle="1" w:styleId="Underlined">
    <w:name w:val="Underlined"/>
    <w:basedOn w:val="DefaultParagraphFont"/>
    <w:rsid w:val="000B4959"/>
    <w:rPr>
      <w:u w:val="single"/>
    </w:rPr>
  </w:style>
  <w:style w:type="paragraph" w:customStyle="1" w:styleId="TableBodyTextRight">
    <w:name w:val="Table Body Text Right"/>
    <w:basedOn w:val="TableBodyText"/>
    <w:rsid w:val="000B4959"/>
    <w:pPr>
      <w:widowControl w:val="0"/>
      <w:autoSpaceDE w:val="0"/>
      <w:autoSpaceDN w:val="0"/>
      <w:adjustRightInd w:val="0"/>
      <w:jc w:val="right"/>
    </w:pPr>
    <w:rPr>
      <w:rFonts w:cs="Arial"/>
      <w:szCs w:val="18"/>
    </w:rPr>
  </w:style>
  <w:style w:type="paragraph" w:customStyle="1" w:styleId="CopyrightText">
    <w:name w:val="Copyright Text"/>
    <w:basedOn w:val="BodyText"/>
    <w:rsid w:val="000B4959"/>
    <w:rPr>
      <w:sz w:val="18"/>
    </w:rPr>
  </w:style>
  <w:style w:type="paragraph" w:customStyle="1" w:styleId="BodySmallRight">
    <w:name w:val="Body Small Right"/>
    <w:basedOn w:val="BodyTextRight"/>
    <w:rsid w:val="000B4959"/>
    <w:rPr>
      <w:sz w:val="18"/>
      <w:szCs w:val="18"/>
    </w:rPr>
  </w:style>
  <w:style w:type="paragraph" w:customStyle="1" w:styleId="MarginEdition">
    <w:name w:val="Margin Edition"/>
    <w:basedOn w:val="MarginNote"/>
    <w:rsid w:val="000B4959"/>
    <w:pPr>
      <w:spacing w:before="0" w:after="0"/>
    </w:pPr>
    <w:rPr>
      <w:rFonts w:ascii="Times New Roman" w:hAnsi="Times New Roman"/>
      <w:color w:val="999999"/>
    </w:rPr>
  </w:style>
  <w:style w:type="paragraph" w:customStyle="1" w:styleId="Spacer">
    <w:name w:val="Spacer"/>
    <w:basedOn w:val="Normal"/>
    <w:rsid w:val="000B4959"/>
    <w:rPr>
      <w:sz w:val="2"/>
      <w:szCs w:val="2"/>
    </w:rPr>
  </w:style>
  <w:style w:type="character" w:customStyle="1" w:styleId="Small">
    <w:name w:val="Small"/>
    <w:basedOn w:val="DefaultParagraphFont"/>
    <w:rsid w:val="000B4959"/>
    <w:rPr>
      <w:sz w:val="16"/>
    </w:rPr>
  </w:style>
  <w:style w:type="paragraph" w:customStyle="1" w:styleId="WideTable">
    <w:name w:val="Wide Table"/>
    <w:basedOn w:val="Normal"/>
    <w:rsid w:val="000B4959"/>
    <w:pPr>
      <w:ind w:left="-1418"/>
    </w:pPr>
    <w:rPr>
      <w:sz w:val="2"/>
      <w:szCs w:val="2"/>
    </w:rPr>
  </w:style>
  <w:style w:type="character" w:styleId="PageNumber">
    <w:name w:val="page number"/>
    <w:basedOn w:val="DefaultParagraphFont"/>
    <w:rsid w:val="000B4959"/>
  </w:style>
  <w:style w:type="paragraph" w:styleId="Quote">
    <w:name w:val="Quote"/>
    <w:basedOn w:val="Heading1"/>
    <w:link w:val="QuoteChar"/>
    <w:qFormat/>
    <w:rsid w:val="000B4959"/>
    <w:rPr>
      <w:b w:val="0"/>
      <w:sz w:val="72"/>
      <w:szCs w:val="72"/>
      <w:lang w:val="en-NZ"/>
    </w:rPr>
  </w:style>
  <w:style w:type="character" w:customStyle="1" w:styleId="QuoteChar">
    <w:name w:val="Quote Char"/>
    <w:basedOn w:val="DefaultParagraphFont"/>
    <w:link w:val="Quote"/>
    <w:rsid w:val="000B4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959"/>
    <w:pPr>
      <w:pageBreakBefore/>
    </w:pPr>
  </w:style>
  <w:style w:type="paragraph" w:customStyle="1" w:styleId="Border">
    <w:name w:val="Border"/>
    <w:basedOn w:val="Normal"/>
    <w:qFormat/>
    <w:rsid w:val="000B49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959"/>
    <w:rPr>
      <w:b/>
      <w:bCs/>
      <w:i/>
      <w:iCs/>
      <w:color w:val="auto"/>
    </w:rPr>
  </w:style>
  <w:style w:type="paragraph" w:styleId="IntenseQuote">
    <w:name w:val="Intense Quote"/>
    <w:basedOn w:val="Normal"/>
    <w:next w:val="Normal"/>
    <w:link w:val="IntenseQuoteChar"/>
    <w:uiPriority w:val="30"/>
    <w:qFormat/>
    <w:rsid w:val="000B49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9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959"/>
    <w:rPr>
      <w:smallCaps/>
      <w:color w:val="auto"/>
      <w:u w:val="single"/>
    </w:rPr>
  </w:style>
  <w:style w:type="character" w:styleId="IntenseReference">
    <w:name w:val="Intense Reference"/>
    <w:basedOn w:val="DefaultParagraphFont"/>
    <w:uiPriority w:val="32"/>
    <w:qFormat/>
    <w:rsid w:val="000B4959"/>
    <w:rPr>
      <w:b/>
      <w:bCs/>
      <w:smallCaps/>
      <w:color w:val="auto"/>
      <w:spacing w:val="5"/>
      <w:u w:val="single"/>
    </w:rPr>
  </w:style>
  <w:style w:type="paragraph" w:customStyle="1" w:styleId="2ColumnHeading">
    <w:name w:val="2Column Heading"/>
    <w:basedOn w:val="BodyText"/>
    <w:qFormat/>
    <w:rsid w:val="000B4959"/>
    <w:pPr>
      <w:spacing w:after="60"/>
      <w:ind w:left="-2268"/>
    </w:pPr>
    <w:rPr>
      <w:b/>
    </w:rPr>
  </w:style>
  <w:style w:type="paragraph" w:customStyle="1" w:styleId="Heading1TOC">
    <w:name w:val="Heading1 TOC"/>
    <w:basedOn w:val="Normal"/>
    <w:qFormat/>
    <w:rsid w:val="000B4959"/>
    <w:pPr>
      <w:spacing w:before="240" w:after="120"/>
    </w:pPr>
    <w:rPr>
      <w:rFonts w:ascii="Times New Roman" w:hAnsi="Times New Roman"/>
      <w:b/>
      <w:sz w:val="32"/>
    </w:rPr>
  </w:style>
  <w:style w:type="paragraph" w:customStyle="1" w:styleId="Heading2TOC">
    <w:name w:val="Heading2 TOC"/>
    <w:basedOn w:val="Normal"/>
    <w:qFormat/>
    <w:rsid w:val="000B4959"/>
    <w:pPr>
      <w:spacing w:before="240" w:after="60"/>
    </w:pPr>
    <w:rPr>
      <w:rFonts w:ascii="Times New Roman" w:hAnsi="Times New Roman"/>
      <w:b/>
      <w:sz w:val="28"/>
    </w:rPr>
  </w:style>
  <w:style w:type="character" w:customStyle="1" w:styleId="Underline">
    <w:name w:val="Underline"/>
    <w:basedOn w:val="DefaultParagraphFont"/>
    <w:qFormat/>
    <w:rsid w:val="000B4959"/>
    <w:rPr>
      <w:u w:val="single"/>
    </w:rPr>
  </w:style>
  <w:style w:type="character" w:customStyle="1" w:styleId="BoldandItalics">
    <w:name w:val="Bold and Italics"/>
    <w:qFormat/>
    <w:rsid w:val="000B4959"/>
    <w:rPr>
      <w:b/>
      <w:i/>
      <w:u w:val="none"/>
    </w:rPr>
  </w:style>
  <w:style w:type="paragraph" w:styleId="BalloonText">
    <w:name w:val="Balloon Text"/>
    <w:basedOn w:val="Normal"/>
    <w:link w:val="BalloonTextChar"/>
    <w:rsid w:val="000B4959"/>
    <w:rPr>
      <w:rFonts w:ascii="Tahoma" w:hAnsi="Tahoma" w:cs="Tahoma"/>
      <w:sz w:val="16"/>
      <w:szCs w:val="16"/>
    </w:rPr>
  </w:style>
  <w:style w:type="character" w:customStyle="1" w:styleId="BalloonTextChar">
    <w:name w:val="Balloon Text Char"/>
    <w:basedOn w:val="DefaultParagraphFont"/>
    <w:link w:val="BalloonText"/>
    <w:rsid w:val="000B49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9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49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959"/>
    <w:rPr>
      <w:b/>
      <w:color w:val="660033"/>
      <w:spacing w:val="0"/>
    </w:rPr>
  </w:style>
  <w:style w:type="paragraph" w:customStyle="1" w:styleId="Nameditemlist">
    <w:name w:val="Named item list"/>
    <w:basedOn w:val="BodyText"/>
    <w:qFormat/>
    <w:rsid w:val="000B4959"/>
    <w:pPr>
      <w:tabs>
        <w:tab w:val="left" w:pos="2835"/>
      </w:tabs>
      <w:ind w:left="2835" w:hanging="2835"/>
    </w:pPr>
  </w:style>
  <w:style w:type="paragraph" w:customStyle="1" w:styleId="BodyTextnopadding">
    <w:name w:val="Body Text no padding"/>
    <w:basedOn w:val="BodyText"/>
    <w:qFormat/>
    <w:rsid w:val="000B4959"/>
    <w:pPr>
      <w:spacing w:before="0" w:after="0"/>
    </w:pPr>
  </w:style>
  <w:style w:type="paragraph" w:customStyle="1" w:styleId="BodyTextBold">
    <w:name w:val="Body Text Bold"/>
    <w:basedOn w:val="BodyText"/>
    <w:qFormat/>
    <w:rsid w:val="000B4959"/>
    <w:rPr>
      <w:b/>
    </w:rPr>
  </w:style>
  <w:style w:type="character" w:styleId="Hyperlink">
    <w:name w:val="Hyperlink"/>
    <w:basedOn w:val="DefaultParagraphFont"/>
    <w:uiPriority w:val="99"/>
    <w:unhideWhenUsed/>
    <w:rsid w:val="00ED05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1394</Words>
  <Characters>8956</Characters>
  <Application>Microsoft Office Word</Application>
  <DocSecurity>0</DocSecurity>
  <Lines>263</Lines>
  <Paragraphs>169</Paragraphs>
  <ScaleCrop>false</ScaleCrop>
  <Company>Author-it Software Corporation Ltd.</Company>
  <LinksUpToDate>false</LinksUpToDate>
  <CharactersWithSpaces>10181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PMASUP345 Monitor vibration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2025-03-01T13:02:00Z</dcterms:created>
  <dcterms:modified xsi:type="dcterms:W3CDTF">2025-03-01T13:02:00Z</dcterms:modified>
</cp:coreProperties>
</file>