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392" w:rsidP="00115392">
      <w:pPr>
        <w:pStyle w:val="Title"/>
      </w:pPr>
      <w:r>
        <w:fldChar w:fldCharType="begin"/>
      </w:r>
      <w:r>
        <w:instrText xml:space="preserve"> TITLE   \* MERGEFORMAT </w:instrText>
      </w:r>
      <w:r>
        <w:fldChar w:fldCharType="separate"/>
      </w:r>
      <w:r>
        <w:t>PMASUP342 Monitor and maintain electrical systems</w:t>
      </w:r>
      <w:r>
        <w:fldChar w:fldCharType="end"/>
      </w:r>
    </w:p>
    <w:p w:rsidR="00115392" w:rsidP="00115392">
      <w:pPr>
        <w:pStyle w:val="Version"/>
        <w:sectPr w:rsidSect="009F43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4368" w:rsidP="009F4368">
      <w:pPr>
        <w:pStyle w:val="SuperHeading"/>
      </w:pPr>
      <w:r w:rsidRPr="009F4368">
        <w:t>PMASUP342 Monitor and maintain electrical systems</w:t>
      </w:r>
    </w:p>
    <w:p w:rsidR="00000000" w:rsidRPr="009F4368" w:rsidP="009F4368">
      <w:pPr>
        <w:pStyle w:val="Heading1"/>
      </w:pPr>
      <w:bookmarkStart w:id="1" w:name="O_909722"/>
      <w:bookmarkEnd w:id="1"/>
      <w:r w:rsidRPr="009F4368">
        <w:t>Modification History</w:t>
      </w:r>
    </w:p>
    <w:p w:rsidR="00000000" w:rsidRPr="009F4368" w:rsidP="00115392">
      <w:pPr>
        <w:pStyle w:val="BodyText"/>
      </w:pPr>
      <w:r w:rsidRPr="009F4368">
        <w:t>Release 1. Supersedes and is equivalent to PMASUP342B Monitor and maintain electrical systems</w:t>
      </w:r>
    </w:p>
    <w:p w:rsidR="00000000" w:rsidRPr="009F4368" w:rsidP="009F4368">
      <w:pPr>
        <w:pStyle w:val="Heading1"/>
      </w:pPr>
      <w:bookmarkStart w:id="2" w:name="O_909730"/>
      <w:bookmarkEnd w:id="2"/>
      <w:r w:rsidRPr="009F4368">
        <w:t>Application</w:t>
      </w:r>
    </w:p>
    <w:p w:rsidR="00000000" w:rsidRPr="009F4368" w:rsidP="00115392">
      <w:pPr>
        <w:pStyle w:val="BodyText"/>
      </w:pPr>
      <w:r w:rsidRPr="009F4368">
        <w:t>This unit of competency covers the skills and knowledge required to monitor and maintain electrical syst</w:t>
      </w:r>
      <w:r w:rsidRPr="009F4368">
        <w:t xml:space="preserve">ems and equipment on systems used to carry products. </w:t>
      </w:r>
    </w:p>
    <w:p w:rsidR="00000000" w:rsidRPr="009F4368" w:rsidP="00115392">
      <w:pPr>
        <w:pStyle w:val="BodyText"/>
      </w:pPr>
      <w:r w:rsidRPr="009F4368">
        <w:t>This unit of competency applies to operations technicians and those in similar roles who are required to test, repair and recommission electrical systems and equipment; issue permits to allow work to b</w:t>
      </w:r>
      <w:r w:rsidRPr="009F4368">
        <w:t xml:space="preserve">e undertaken; verify equipment and system operation; troubleshoot problems; and prepare reports related to the equipment/systems. </w:t>
      </w:r>
    </w:p>
    <w:p w:rsidR="00000000" w:rsidRPr="009F4368" w:rsidP="00115392">
      <w:pPr>
        <w:pStyle w:val="BodyText"/>
      </w:pPr>
      <w:r w:rsidRPr="009F4368">
        <w:t>This unit of competency applies to a wide range of electrical equipment and systems. Examples include voltage regulators, al</w:t>
      </w:r>
      <w:r w:rsidRPr="009F4368">
        <w:t>ternators, generators and motors, battery banks, air conditioning systems, lighting, emergency shutdown systems (ESD), low voltage power systems, communications systems, single wire earth return (SWER) line systems, solar power systems, fire systems and co</w:t>
      </w:r>
      <w:r w:rsidRPr="009F4368">
        <w:t xml:space="preserve">ntrol panels. </w:t>
      </w:r>
    </w:p>
    <w:p w:rsidR="00000000" w:rsidRPr="009F4368" w:rsidP="00115392">
      <w:pPr>
        <w:pStyle w:val="BodyText"/>
      </w:pPr>
      <w:r w:rsidRPr="009F4368">
        <w:t>This unit of competency applies to an individual working alone or as part of a team or group and working in liaison with other shift team members and the control room operator, as appropriate.</w:t>
      </w:r>
    </w:p>
    <w:p w:rsidR="00000000" w:rsidRPr="009F4368" w:rsidP="00115392">
      <w:pPr>
        <w:pStyle w:val="BodyText"/>
      </w:pPr>
      <w:r w:rsidRPr="009F4368">
        <w:t>Some jurisdictions may require the holder of t</w:t>
      </w:r>
      <w:r w:rsidRPr="009F4368">
        <w:t>his unit to be licensed or certified and users should check with the relevant authorities.</w:t>
      </w:r>
    </w:p>
    <w:p w:rsidR="00000000" w:rsidRPr="009F4368" w:rsidP="009F4368">
      <w:pPr>
        <w:pStyle w:val="Heading1"/>
      </w:pPr>
      <w:bookmarkStart w:id="3" w:name="O_909729"/>
      <w:bookmarkEnd w:id="3"/>
      <w:r w:rsidRPr="009F4368">
        <w:t>Pre-requisite Unit</w:t>
      </w:r>
    </w:p>
    <w:tbl>
      <w:tblPr>
        <w:tblW w:w="0" w:type="auto"/>
        <w:tblCellMar>
          <w:left w:w="62" w:type="dxa"/>
          <w:right w:w="62" w:type="dxa"/>
        </w:tblCellMar>
        <w:tblLook w:val="0000"/>
      </w:tblPr>
      <w:tblGrid>
        <w:gridCol w:w="2163"/>
        <w:gridCol w:w="7033"/>
      </w:tblGrid>
      <w:tr w:rsidTr="001153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MSMPER300</w:t>
            </w:r>
          </w:p>
        </w:tc>
        <w:tc>
          <w:tcPr>
            <w:tcW w:w="0" w:type="auto"/>
            <w:tcBorders>
              <w:top w:val="nil"/>
              <w:left w:val="nil"/>
              <w:bottom w:val="nil"/>
              <w:right w:val="nil"/>
            </w:tcBorders>
            <w:tcMar>
              <w:top w:w="0" w:type="dxa"/>
              <w:left w:w="62" w:type="dxa"/>
              <w:bottom w:w="0" w:type="dxa"/>
              <w:right w:w="62" w:type="dxa"/>
            </w:tcMar>
          </w:tcPr>
          <w:p w:rsidR="00000000" w:rsidRPr="009F4368" w:rsidP="009F4368">
            <w:pPr>
              <w:pStyle w:val="BodyText"/>
            </w:pPr>
            <w:r w:rsidRPr="009F4368">
              <w:t>Issue work permits</w:t>
            </w:r>
          </w:p>
        </w:tc>
      </w:tr>
    </w:tbl>
    <w:p w:rsidR="00000000" w:rsidRPr="009F4368" w:rsidP="009F4368">
      <w:pPr>
        <w:pStyle w:val="BodyText"/>
      </w:pPr>
    </w:p>
    <w:p w:rsidR="00000000" w:rsidRPr="009F4368" w:rsidP="009F4368">
      <w:pPr>
        <w:pStyle w:val="AllowPageBreak"/>
      </w:pPr>
    </w:p>
    <w:p w:rsidR="00000000" w:rsidRPr="009F4368" w:rsidP="009F4368">
      <w:pPr>
        <w:pStyle w:val="Heading1"/>
      </w:pPr>
      <w:bookmarkStart w:id="4" w:name="O_909728"/>
      <w:bookmarkEnd w:id="4"/>
      <w:r w:rsidRPr="009F4368">
        <w:t>Competency Field</w:t>
      </w:r>
    </w:p>
    <w:p w:rsidR="00000000" w:rsidRPr="009F4368" w:rsidP="00115392">
      <w:pPr>
        <w:pStyle w:val="BodyText"/>
      </w:pPr>
      <w:r w:rsidRPr="009F4368">
        <w:t>Support</w:t>
      </w:r>
    </w:p>
    <w:p w:rsidR="00000000" w:rsidRPr="009F4368" w:rsidP="009F4368">
      <w:pPr>
        <w:pStyle w:val="Heading1"/>
      </w:pPr>
      <w:bookmarkStart w:id="5" w:name="O_909727"/>
      <w:bookmarkEnd w:id="5"/>
      <w:r w:rsidRPr="009F4368">
        <w:t>Unit Sector</w:t>
      </w:r>
    </w:p>
    <w:p w:rsidR="00000000" w:rsidRPr="009F4368" w:rsidP="009F4368">
      <w:pPr>
        <w:pStyle w:val="Heading1"/>
      </w:pPr>
      <w:bookmarkStart w:id="6" w:name="O_909726"/>
      <w:bookmarkEnd w:id="6"/>
      <w:r w:rsidRPr="009F436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F436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Performance criteria describe the performance needed to demonstrate achievement of the element.</w:t>
            </w:r>
          </w:p>
        </w:tc>
      </w:tr>
      <w:tr w:rsidTr="009F4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4368" w:rsidP="009F4368">
            <w:pPr>
              <w:pStyle w:val="BodyText"/>
            </w:pPr>
            <w:r w:rsidRPr="009F4368">
              <w:t>1</w:t>
            </w:r>
          </w:p>
        </w:tc>
        <w:tc>
          <w:tcPr>
            <w:tcW w:w="1962" w:type="dxa"/>
            <w:vMerge w:val="restart"/>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rPr>
                <w:rStyle w:val="SpecialBold"/>
              </w:rPr>
              <w:t>Monitor equipment operation</w:t>
            </w:r>
          </w:p>
        </w:tc>
        <w:tc>
          <w:tcPr>
            <w:tcW w:w="77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1.1</w:t>
            </w:r>
          </w:p>
        </w:tc>
        <w:tc>
          <w:tcPr>
            <w:tcW w:w="561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Monitor equipment operation according to electr</w:t>
            </w:r>
            <w:r w:rsidRPr="009F4368">
              <w:t>ical equipment operating principles and parameters</w:t>
            </w:r>
          </w:p>
        </w:tc>
      </w:tr>
      <w:tr w:rsidTr="009F4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1.2</w:t>
            </w:r>
          </w:p>
        </w:tc>
        <w:tc>
          <w:tcPr>
            <w:tcW w:w="561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Access and interpret relevant technical drawings and schematics to determine system faults</w:t>
            </w:r>
          </w:p>
        </w:tc>
      </w:tr>
      <w:tr w:rsidTr="009F4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1.3</w:t>
            </w:r>
          </w:p>
        </w:tc>
        <w:tc>
          <w:tcPr>
            <w:tcW w:w="561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Issue permit to work to allow work to be undertaken</w:t>
            </w:r>
          </w:p>
        </w:tc>
      </w:tr>
      <w:tr w:rsidTr="009F4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1.4</w:t>
            </w:r>
          </w:p>
        </w:tc>
        <w:tc>
          <w:tcPr>
            <w:tcW w:w="561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Verify equipment operation/performance through test procedures to ensure correct operation and seek confirmation of identified problems from other sources</w:t>
            </w:r>
          </w:p>
        </w:tc>
      </w:tr>
      <w:tr w:rsidTr="009F4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1.5</w:t>
            </w:r>
          </w:p>
        </w:tc>
        <w:tc>
          <w:tcPr>
            <w:tcW w:w="561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Correct operational variations through calibration and adjustment</w:t>
            </w:r>
          </w:p>
        </w:tc>
      </w:tr>
      <w:tr w:rsidTr="009F4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1.6</w:t>
            </w:r>
          </w:p>
        </w:tc>
        <w:tc>
          <w:tcPr>
            <w:tcW w:w="561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Document opera</w:t>
            </w:r>
            <w:r w:rsidRPr="009F4368">
              <w:t>tional variations</w:t>
            </w:r>
          </w:p>
        </w:tc>
      </w:tr>
      <w:tr w:rsidTr="009F43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F4368">
            <w:pPr>
              <w:pStyle w:val="BodyText"/>
              <w:rPr>
                <w:lang w:val="en-NZ"/>
              </w:rPr>
            </w:pPr>
          </w:p>
        </w:tc>
      </w:tr>
      <w:tr w:rsidTr="009F4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4368" w:rsidP="009F4368">
            <w:pPr>
              <w:pStyle w:val="BodyText"/>
            </w:pPr>
            <w:r w:rsidRPr="009F4368">
              <w:t>2</w:t>
            </w:r>
          </w:p>
        </w:tc>
        <w:tc>
          <w:tcPr>
            <w:tcW w:w="1962" w:type="dxa"/>
            <w:vMerge w:val="restart"/>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rPr>
                <w:rStyle w:val="SpecialBold"/>
              </w:rPr>
              <w:t>Test/repair equipment</w:t>
            </w:r>
          </w:p>
        </w:tc>
        <w:tc>
          <w:tcPr>
            <w:tcW w:w="77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2.1</w:t>
            </w:r>
          </w:p>
        </w:tc>
        <w:tc>
          <w:tcPr>
            <w:tcW w:w="561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Verify equipment is operating correctly and document test results ensuring that statutory electrical testing requirements have been completed</w:t>
            </w:r>
          </w:p>
        </w:tc>
      </w:tr>
      <w:tr w:rsidTr="009F4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2.2</w:t>
            </w:r>
          </w:p>
        </w:tc>
        <w:tc>
          <w:tcPr>
            <w:tcW w:w="561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Apply appropriate troubleshooting techniques to determine the cause of detected operational faults</w:t>
            </w:r>
          </w:p>
        </w:tc>
      </w:tr>
      <w:tr w:rsidTr="009F4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2.3</w:t>
            </w:r>
          </w:p>
        </w:tc>
        <w:tc>
          <w:tcPr>
            <w:tcW w:w="561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Rectify operational faults through the application of relevant maintenance procedures</w:t>
            </w:r>
          </w:p>
        </w:tc>
      </w:tr>
      <w:tr w:rsidTr="009F4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2.4</w:t>
            </w:r>
          </w:p>
        </w:tc>
        <w:tc>
          <w:tcPr>
            <w:tcW w:w="561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Isolate, remove and dispose of faulty equipment, and inst</w:t>
            </w:r>
            <w:r w:rsidRPr="009F4368">
              <w:t>all new equipment</w:t>
            </w:r>
          </w:p>
        </w:tc>
      </w:tr>
      <w:tr w:rsidTr="009F4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2.5</w:t>
            </w:r>
          </w:p>
        </w:tc>
        <w:tc>
          <w:tcPr>
            <w:tcW w:w="561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Verify installed equipment to ensure it meets required operational parameters and conditions</w:t>
            </w:r>
          </w:p>
        </w:tc>
      </w:tr>
      <w:tr w:rsidTr="009F4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2.6</w:t>
            </w:r>
          </w:p>
        </w:tc>
        <w:tc>
          <w:tcPr>
            <w:tcW w:w="561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Record all repairs/installations to provide historical records of the condition of system equipment</w:t>
            </w:r>
          </w:p>
        </w:tc>
      </w:tr>
      <w:tr w:rsidTr="009F43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F4368">
            <w:pPr>
              <w:pStyle w:val="BodyText"/>
              <w:rPr>
                <w:lang w:val="en-NZ"/>
              </w:rPr>
            </w:pPr>
          </w:p>
        </w:tc>
      </w:tr>
      <w:tr w:rsidTr="009F4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4368" w:rsidP="009F4368">
            <w:pPr>
              <w:pStyle w:val="BodyText"/>
            </w:pPr>
            <w:r w:rsidRPr="009F4368">
              <w:t>3</w:t>
            </w:r>
          </w:p>
        </w:tc>
        <w:tc>
          <w:tcPr>
            <w:tcW w:w="1962" w:type="dxa"/>
            <w:vMerge w:val="restart"/>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rPr>
                <w:rStyle w:val="SpecialBold"/>
              </w:rPr>
              <w:t xml:space="preserve">Recommission systems and </w:t>
            </w:r>
            <w:r w:rsidRPr="009F4368">
              <w:rPr>
                <w:rStyle w:val="SpecialBold"/>
              </w:rPr>
              <w:t>equipment</w:t>
            </w:r>
          </w:p>
        </w:tc>
        <w:tc>
          <w:tcPr>
            <w:tcW w:w="77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3.1</w:t>
            </w:r>
          </w:p>
        </w:tc>
        <w:tc>
          <w:tcPr>
            <w:tcW w:w="561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 xml:space="preserve">Recommission repaired/installed equipment to online operation in the correct sequence at the required </w:t>
            </w:r>
            <w:r w:rsidRPr="009F4368">
              <w:t>operational parameters</w:t>
            </w:r>
          </w:p>
        </w:tc>
      </w:tr>
      <w:tr w:rsidTr="009F4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3.2</w:t>
            </w:r>
          </w:p>
        </w:tc>
        <w:tc>
          <w:tcPr>
            <w:tcW w:w="561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Monitor or activate systems to ensure they are operating both safely and effectively</w:t>
            </w:r>
          </w:p>
        </w:tc>
      </w:tr>
      <w:tr w:rsidTr="009F4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3.3</w:t>
            </w:r>
          </w:p>
        </w:tc>
        <w:tc>
          <w:tcPr>
            <w:tcW w:w="561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Close out permit to work and restore site/system to normal operation</w:t>
            </w:r>
          </w:p>
        </w:tc>
      </w:tr>
      <w:tr w:rsidTr="009F43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F4368">
            <w:pPr>
              <w:pStyle w:val="BodyText"/>
              <w:rPr>
                <w:lang w:val="en-NZ"/>
              </w:rPr>
            </w:pPr>
          </w:p>
        </w:tc>
      </w:tr>
      <w:tr w:rsidTr="009F4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4368" w:rsidP="009F4368">
            <w:pPr>
              <w:pStyle w:val="BodyText"/>
            </w:pPr>
            <w:r w:rsidRPr="009F4368">
              <w:t>4</w:t>
            </w:r>
          </w:p>
        </w:tc>
        <w:tc>
          <w:tcPr>
            <w:tcW w:w="1962" w:type="dxa"/>
            <w:vMerge w:val="restart"/>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rPr>
                <w:rStyle w:val="SpecialBold"/>
              </w:rPr>
              <w:t>Compile and analyse reports</w:t>
            </w:r>
          </w:p>
        </w:tc>
        <w:tc>
          <w:tcPr>
            <w:tcW w:w="77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4.1</w:t>
            </w:r>
          </w:p>
        </w:tc>
        <w:tc>
          <w:tcPr>
            <w:tcW w:w="561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Collect information concerning deviations/repaired equipment, and put into accepted reporting format</w:t>
            </w:r>
          </w:p>
        </w:tc>
      </w:tr>
      <w:tr w:rsidTr="009F4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4.2</w:t>
            </w:r>
          </w:p>
        </w:tc>
        <w:tc>
          <w:tcPr>
            <w:tcW w:w="561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Compile reports ensuring they provide an accurate and ongoing record of deviations in pipeline processes and a current record of pipeline and equipment trends</w:t>
            </w:r>
          </w:p>
        </w:tc>
      </w:tr>
      <w:tr w:rsidTr="009F4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4.3</w:t>
            </w:r>
          </w:p>
        </w:tc>
        <w:tc>
          <w:tcPr>
            <w:tcW w:w="5610" w:type="dxa"/>
            <w:tcBorders>
              <w:top w:val="nil"/>
              <w:left w:val="nil"/>
              <w:bottom w:val="nil"/>
              <w:right w:val="nil"/>
            </w:tcBorders>
            <w:tcMar>
              <w:top w:w="0" w:type="dxa"/>
              <w:left w:w="62" w:type="dxa"/>
              <w:bottom w:w="0" w:type="dxa"/>
              <w:right w:w="62" w:type="dxa"/>
            </w:tcMar>
          </w:tcPr>
          <w:p w:rsidR="00000000" w:rsidRPr="009F4368" w:rsidP="009F4368">
            <w:pPr>
              <w:pStyle w:val="BodyText"/>
            </w:pPr>
            <w:r w:rsidRPr="009F4368">
              <w:t>Utilise information or reports for short and long-term planning in deviation control</w:t>
            </w:r>
          </w:p>
        </w:tc>
      </w:tr>
    </w:tbl>
    <w:p w:rsidR="00000000" w:rsidRPr="009F4368" w:rsidP="009F4368">
      <w:pPr>
        <w:pStyle w:val="BodyText"/>
      </w:pPr>
    </w:p>
    <w:p w:rsidR="00000000" w:rsidRPr="009F4368" w:rsidP="009F4368">
      <w:pPr>
        <w:pStyle w:val="AllowPageBreak"/>
      </w:pPr>
    </w:p>
    <w:p w:rsidR="00000000" w:rsidRPr="009F4368" w:rsidP="009F4368">
      <w:pPr>
        <w:pStyle w:val="Heading1"/>
      </w:pPr>
      <w:bookmarkStart w:id="7" w:name="O_909725"/>
      <w:bookmarkEnd w:id="7"/>
      <w:r w:rsidRPr="009F4368">
        <w:t>Foundation Skills</w:t>
      </w:r>
    </w:p>
    <w:p w:rsidR="00000000" w:rsidRPr="009F4368" w:rsidP="00115392">
      <w:pPr>
        <w:pStyle w:val="BodyText"/>
      </w:pPr>
      <w:r w:rsidRPr="009F4368">
        <w:t>This section describes those language, literacy, numeracy and employment skills that are essential to performance.</w:t>
      </w:r>
    </w:p>
    <w:p w:rsidR="00000000" w:rsidRPr="009F4368" w:rsidP="00115392">
      <w:pPr>
        <w:pStyle w:val="BodyText"/>
      </w:pPr>
      <w:r w:rsidRPr="009F4368">
        <w:t>Foundation skills essential to performance are explicit in the performance criteria of this unit of compet</w:t>
      </w:r>
      <w:r w:rsidRPr="009F4368">
        <w:t>ency.</w:t>
      </w:r>
    </w:p>
    <w:p w:rsidR="00000000" w:rsidRPr="009F4368" w:rsidP="009F4368">
      <w:pPr>
        <w:pStyle w:val="Heading1"/>
      </w:pPr>
      <w:bookmarkStart w:id="8" w:name="O_909724"/>
      <w:bookmarkEnd w:id="8"/>
      <w:r w:rsidRPr="009F4368">
        <w:t>Range of Conditions</w:t>
      </w:r>
    </w:p>
    <w:tbl>
      <w:tblPr>
        <w:tblW w:w="0" w:type="auto"/>
        <w:tblCellMar>
          <w:left w:w="62" w:type="dxa"/>
          <w:right w:w="62" w:type="dxa"/>
        </w:tblCellMar>
        <w:tblLook w:val="0000"/>
      </w:tblPr>
      <w:tblGrid>
        <w:gridCol w:w="2163"/>
        <w:gridCol w:w="7033"/>
      </w:tblGrid>
      <w:tr w:rsidTr="0011539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t>This field allows for different work environments and conditions that may affect performance. Essential operating conditions that may be present (depending on the work situation, needs of the candidate, accessibil</w:t>
            </w:r>
            <w:r w:rsidRPr="009F4368">
              <w:t>ity of the item, and local industry and regional contexts) are included.</w:t>
            </w:r>
          </w:p>
        </w:tc>
      </w:tr>
      <w:tr w:rsidTr="001153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9F4368" w:rsidP="009F4368">
            <w:pPr>
              <w:pStyle w:val="BodyText"/>
            </w:pPr>
            <w:r w:rsidRPr="009F4368">
              <w:t xml:space="preserve">The latest version of all legislation, regulations, industry codes of practice and Australian/international standards, or the version specified </w:t>
            </w:r>
            <w:r w:rsidRPr="009F4368">
              <w:t>by the local regulatory authority, must be used, and include one or more of the following:</w:t>
            </w:r>
          </w:p>
          <w:p w:rsidR="00000000" w:rsidRPr="009F4368" w:rsidP="009F4368">
            <w:pPr>
              <w:pStyle w:val="ListBullet"/>
            </w:pPr>
            <w:r w:rsidRPr="009F4368">
              <w:t>legislative requirements, including work health and safety (WHS)</w:t>
            </w:r>
          </w:p>
          <w:p w:rsidR="00000000" w:rsidRPr="009F4368" w:rsidP="009F4368">
            <w:pPr>
              <w:pStyle w:val="ListBullet"/>
            </w:pPr>
            <w:r w:rsidRPr="009F4368">
              <w:t>industry codes of practice and guidelines</w:t>
            </w:r>
          </w:p>
          <w:p w:rsidR="00000000" w:rsidRPr="009F4368" w:rsidP="009F4368">
            <w:pPr>
              <w:pStyle w:val="ListBullet"/>
            </w:pPr>
            <w:r w:rsidRPr="009F4368">
              <w:t xml:space="preserve">environmental regulations and guidelines </w:t>
            </w:r>
          </w:p>
          <w:p w:rsidR="00000000" w:rsidRPr="009F4368" w:rsidP="009F4368">
            <w:pPr>
              <w:pStyle w:val="ListBullet"/>
            </w:pPr>
            <w:r w:rsidRPr="009F4368">
              <w:t xml:space="preserve">Australian and </w:t>
            </w:r>
            <w:r w:rsidRPr="009F4368">
              <w:t>other standards which may include:</w:t>
            </w:r>
          </w:p>
          <w:p w:rsidR="00000000" w:rsidRPr="009F4368" w:rsidP="009F4368">
            <w:pPr>
              <w:pStyle w:val="ListBullet2"/>
            </w:pPr>
            <w:r w:rsidRPr="009F4368">
              <w:rPr>
                <w:rStyle w:val="Emphasis"/>
              </w:rPr>
              <w:t xml:space="preserve">AS 2885 (Set) Pipelines - Gas and liquid petroleum </w:t>
            </w:r>
          </w:p>
          <w:p w:rsidR="00000000" w:rsidRPr="009F4368" w:rsidP="009F4368">
            <w:pPr>
              <w:pStyle w:val="ListBullet2"/>
            </w:pPr>
            <w:r w:rsidRPr="009F4368">
              <w:rPr>
                <w:rStyle w:val="Emphasis"/>
              </w:rPr>
              <w:t xml:space="preserve">AS/NZS 60079 (Set) Explosive atmospheres </w:t>
            </w:r>
          </w:p>
          <w:p w:rsidR="00000000" w:rsidRPr="009F4368" w:rsidP="009F4368">
            <w:pPr>
              <w:pStyle w:val="ListBullet2"/>
            </w:pPr>
            <w:r w:rsidRPr="009F4368">
              <w:rPr>
                <w:rStyle w:val="Emphasis"/>
              </w:rPr>
              <w:t xml:space="preserve">AS/NZS 1768:2007 Lightning protection </w:t>
            </w:r>
          </w:p>
          <w:p w:rsidR="00000000" w:rsidRPr="009F4368" w:rsidP="009F4368">
            <w:pPr>
              <w:pStyle w:val="ListBullet2"/>
            </w:pPr>
            <w:r w:rsidRPr="009F4368">
              <w:rPr>
                <w:rStyle w:val="Emphasis"/>
              </w:rPr>
              <w:t xml:space="preserve">AS/NZS 1596:2014 Storage and handling of LP Gas </w:t>
            </w:r>
          </w:p>
          <w:p w:rsidR="00000000" w:rsidRPr="009F4368" w:rsidP="009F4368">
            <w:pPr>
              <w:pStyle w:val="ListBullet2"/>
            </w:pPr>
            <w:r w:rsidRPr="009F4368">
              <w:rPr>
                <w:rStyle w:val="Emphasis"/>
              </w:rPr>
              <w:t xml:space="preserve">AS 2832.1:2015 Cathodic protection of metals - Pipes and cables </w:t>
            </w:r>
          </w:p>
          <w:p w:rsidR="00000000" w:rsidRPr="009F4368" w:rsidP="009F4368">
            <w:pPr>
              <w:pStyle w:val="ListBullet2"/>
            </w:pPr>
            <w:r w:rsidRPr="009F4368">
              <w:rPr>
                <w:rStyle w:val="Emphasis"/>
              </w:rPr>
              <w:t>AS/NZS 3000:2007 Electrical installations (known as the Australian/New Zealand Wiring Rules)</w:t>
            </w:r>
          </w:p>
          <w:p w:rsidR="00000000" w:rsidRPr="009F4368" w:rsidP="009F4368">
            <w:pPr>
              <w:pStyle w:val="ListBullet2"/>
            </w:pPr>
            <w:r w:rsidRPr="009F4368">
              <w:rPr>
                <w:rStyle w:val="Emphasis"/>
              </w:rPr>
              <w:t>AS 2239-2003 Galvanic (sacrificial) anodes for cathodic protection</w:t>
            </w:r>
          </w:p>
          <w:p w:rsidR="00000000" w:rsidRPr="009F4368" w:rsidP="009F4368">
            <w:pPr>
              <w:pStyle w:val="ListBullet"/>
            </w:pPr>
            <w:r w:rsidRPr="009F4368">
              <w:t xml:space="preserve">utility codes and standards </w:t>
            </w:r>
          </w:p>
          <w:p w:rsidR="00000000" w:rsidRPr="009F4368" w:rsidP="009F4368">
            <w:pPr>
              <w:pStyle w:val="BodyText"/>
            </w:pPr>
            <w:r w:rsidRPr="009F4368">
              <w:rPr>
                <w:rStyle w:val="Symbols"/>
              </w:rPr>
              <w:t></w:t>
            </w:r>
            <w:r w:rsidRPr="009F4368">
              <w:rPr>
                <w:rStyle w:val="Symbols"/>
              </w:rPr>
              <w:tab/>
            </w:r>
            <w:r w:rsidRPr="009F4368">
              <w:t xml:space="preserve">licence and certification requirements </w:t>
            </w:r>
          </w:p>
          <w:p w:rsidR="00000000" w:rsidRPr="009F4368" w:rsidP="009F4368">
            <w:pPr>
              <w:pStyle w:val="BodyText"/>
            </w:pPr>
          </w:p>
          <w:p w:rsidR="00000000" w:rsidRPr="009F4368" w:rsidP="009F4368">
            <w:pPr>
              <w:pStyle w:val="BodyText"/>
            </w:pPr>
            <w:r w:rsidRPr="009F4368">
              <w:t>All operations to which this unit applies are subject to stringent health, safety and environment (HSE) requirements, which may be imposed through state/territory or federal legislation, and these must not be compr</w:t>
            </w:r>
            <w:r w:rsidRPr="009F4368">
              <w:t>omised at any time. Where there is an apparent conflict between performance criteria and HSE requirements, the HSE requirements take precedence.</w:t>
            </w:r>
          </w:p>
          <w:p w:rsidR="00000000" w:rsidP="009F4368">
            <w:pPr>
              <w:pStyle w:val="BodyText"/>
              <w:rPr>
                <w:lang w:val="en-NZ"/>
              </w:rPr>
            </w:pPr>
          </w:p>
        </w:tc>
      </w:tr>
      <w:tr w:rsidTr="001153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F4368" w:rsidP="009F4368">
            <w:pPr>
              <w:pStyle w:val="BodyText"/>
            </w:pPr>
            <w:r w:rsidRPr="009F4368">
              <w:t>All operations must be performed in accordance with relevant procedures.</w:t>
            </w:r>
          </w:p>
          <w:p w:rsidR="00000000" w:rsidRPr="009F4368" w:rsidP="009F4368">
            <w:pPr>
              <w:pStyle w:val="BodyText"/>
            </w:pPr>
          </w:p>
          <w:p w:rsidR="00000000" w:rsidRPr="009F4368" w:rsidP="009F4368">
            <w:pPr>
              <w:pStyle w:val="BodyText"/>
            </w:pPr>
            <w:r w:rsidRPr="009F4368">
              <w:t>Procedure</w:t>
            </w:r>
            <w:r w:rsidRPr="009F4368">
              <w:t>s are written, verbal, visual, computer-based or in some other form, include one or more of the following:</w:t>
            </w:r>
          </w:p>
          <w:p w:rsidR="00000000" w:rsidRPr="009F4368" w:rsidP="009F4368">
            <w:pPr>
              <w:pStyle w:val="ListBullet"/>
            </w:pPr>
            <w:r w:rsidRPr="009F4368">
              <w:t>emergency procedures</w:t>
            </w:r>
          </w:p>
          <w:p w:rsidR="00000000" w:rsidRPr="009F4368" w:rsidP="009F4368">
            <w:pPr>
              <w:pStyle w:val="ListBullet"/>
            </w:pPr>
            <w:r w:rsidRPr="009F4368">
              <w:t>work instructions</w:t>
            </w:r>
          </w:p>
          <w:p w:rsidR="00000000" w:rsidRPr="009F4368" w:rsidP="009F4368">
            <w:pPr>
              <w:pStyle w:val="ListBullet"/>
            </w:pPr>
            <w:r w:rsidRPr="009F4368">
              <w:t>standard operating procedures (SOPs)</w:t>
            </w:r>
          </w:p>
          <w:p w:rsidR="00000000" w:rsidRPr="009F4368" w:rsidP="009F4368">
            <w:pPr>
              <w:pStyle w:val="ListBullet"/>
            </w:pPr>
            <w:r w:rsidRPr="009F4368">
              <w:t>safe work method statements (SWMS)</w:t>
            </w:r>
          </w:p>
          <w:p w:rsidR="00000000" w:rsidRPr="009F4368" w:rsidP="009F4368">
            <w:pPr>
              <w:pStyle w:val="ListBullet"/>
            </w:pPr>
            <w:r w:rsidRPr="009F4368">
              <w:t>formulas/recipes</w:t>
            </w:r>
          </w:p>
          <w:p w:rsidR="00000000" w:rsidRPr="009F4368" w:rsidP="009F4368">
            <w:pPr>
              <w:pStyle w:val="ListBullet"/>
            </w:pPr>
            <w:r w:rsidRPr="009F4368">
              <w:t>batch sheets</w:t>
            </w:r>
          </w:p>
          <w:p w:rsidR="00000000" w:rsidRPr="009F4368" w:rsidP="009F4368">
            <w:pPr>
              <w:pStyle w:val="ListBullet"/>
            </w:pPr>
            <w:r w:rsidRPr="009F4368">
              <w:t>tempora</w:t>
            </w:r>
            <w:r w:rsidRPr="009F4368">
              <w:t>ry instructions</w:t>
            </w:r>
          </w:p>
          <w:p w:rsidR="00000000" w:rsidRPr="009F4368" w:rsidP="009F4368">
            <w:pPr>
              <w:pStyle w:val="ListBullet"/>
            </w:pPr>
            <w:r w:rsidRPr="009F4368">
              <w:t xml:space="preserve">any similar instructions provided for the smooth running of the plant </w:t>
            </w:r>
          </w:p>
          <w:p w:rsidR="00000000" w:rsidP="009F4368">
            <w:pPr>
              <w:pStyle w:val="BodyText"/>
              <w:rPr>
                <w:lang w:val="en-NZ"/>
              </w:rPr>
            </w:pPr>
          </w:p>
        </w:tc>
      </w:tr>
      <w:tr w:rsidTr="001153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4368">
            <w:pPr>
              <w:pStyle w:val="BodyText"/>
              <w:rPr>
                <w:lang w:val="en-NZ"/>
              </w:rPr>
            </w:pPr>
            <w:r w:rsidRPr="009F4368">
              <w:rPr>
                <w:rStyle w:val="SpecialBold"/>
              </w:rPr>
              <w:t>Test equipment</w:t>
            </w:r>
          </w:p>
        </w:tc>
        <w:tc>
          <w:tcPr>
            <w:tcW w:w="0" w:type="auto"/>
            <w:tcBorders>
              <w:top w:val="nil"/>
              <w:left w:val="nil"/>
              <w:bottom w:val="nil"/>
              <w:right w:val="nil"/>
            </w:tcBorders>
            <w:tcMar>
              <w:top w:w="0" w:type="dxa"/>
              <w:left w:w="62" w:type="dxa"/>
              <w:bottom w:w="0" w:type="dxa"/>
              <w:right w:w="62" w:type="dxa"/>
            </w:tcMar>
          </w:tcPr>
          <w:p w:rsidR="00000000" w:rsidRPr="009F4368" w:rsidP="009F4368">
            <w:pPr>
              <w:pStyle w:val="BodyText"/>
            </w:pPr>
            <w:r w:rsidRPr="009F4368">
              <w:t>Test equipment will be selected as required from one or more of the following:</w:t>
            </w:r>
          </w:p>
          <w:p w:rsidR="00000000" w:rsidRPr="009F4368" w:rsidP="009F4368">
            <w:pPr>
              <w:pStyle w:val="ListBullet"/>
            </w:pPr>
            <w:r w:rsidRPr="009F4368">
              <w:t>multimeter</w:t>
            </w:r>
          </w:p>
          <w:p w:rsidR="00000000" w:rsidRPr="009F4368" w:rsidP="009F4368">
            <w:pPr>
              <w:pStyle w:val="ListBullet"/>
            </w:pPr>
            <w:r w:rsidRPr="009F4368">
              <w:t>chart recorders</w:t>
            </w:r>
          </w:p>
          <w:p w:rsidR="00000000" w:rsidRPr="009F4368" w:rsidP="009F4368">
            <w:pPr>
              <w:pStyle w:val="ListBullet"/>
            </w:pPr>
            <w:r w:rsidRPr="009F4368">
              <w:t>data logging equipment</w:t>
            </w:r>
          </w:p>
          <w:p w:rsidR="00000000" w:rsidRPr="009F4368" w:rsidP="009F4368">
            <w:pPr>
              <w:pStyle w:val="ListBullet"/>
            </w:pPr>
            <w:r w:rsidRPr="009F4368">
              <w:t>amp and volt meters</w:t>
            </w:r>
          </w:p>
          <w:p w:rsidR="00000000" w:rsidRPr="009F4368" w:rsidP="009F4368">
            <w:pPr>
              <w:pStyle w:val="ListBullet"/>
            </w:pPr>
            <w:r w:rsidRPr="009F4368">
              <w:t>watt meters</w:t>
            </w:r>
          </w:p>
          <w:p w:rsidR="00000000" w:rsidRPr="009F4368" w:rsidP="009F4368">
            <w:pPr>
              <w:pStyle w:val="ListBullet"/>
            </w:pPr>
            <w:r w:rsidRPr="009F4368">
              <w:t>high voltage testing equipment</w:t>
            </w:r>
          </w:p>
          <w:p w:rsidR="00000000" w:rsidRPr="009F4368" w:rsidP="009F4368">
            <w:pPr>
              <w:pStyle w:val="ListBullet"/>
            </w:pPr>
            <w:r w:rsidRPr="009F4368">
              <w:t>earth leakage test equipment</w:t>
            </w:r>
          </w:p>
          <w:p w:rsidR="00000000" w:rsidRPr="009F4368" w:rsidP="009F4368">
            <w:pPr>
              <w:pStyle w:val="ListBullet"/>
            </w:pPr>
            <w:r w:rsidRPr="009F4368">
              <w:t>electrical inspection tags</w:t>
            </w:r>
          </w:p>
          <w:p w:rsidR="00000000" w:rsidRPr="009F4368" w:rsidP="009F4368">
            <w:pPr>
              <w:pStyle w:val="BodyText"/>
            </w:pPr>
          </w:p>
        </w:tc>
      </w:tr>
    </w:tbl>
    <w:p w:rsidR="00000000" w:rsidRPr="009F4368" w:rsidP="009F4368">
      <w:pPr>
        <w:pStyle w:val="BodyText"/>
      </w:pPr>
    </w:p>
    <w:p w:rsidR="00000000" w:rsidRPr="009F4368" w:rsidP="009F4368">
      <w:pPr>
        <w:pStyle w:val="AllowPageBreak"/>
      </w:pPr>
    </w:p>
    <w:p w:rsidR="00000000" w:rsidRPr="009F4368" w:rsidP="009F4368">
      <w:pPr>
        <w:pStyle w:val="Heading1"/>
      </w:pPr>
      <w:bookmarkStart w:id="9" w:name="O_909723"/>
      <w:bookmarkEnd w:id="9"/>
      <w:r w:rsidRPr="009F4368">
        <w:t>Unit Mapping Information</w:t>
      </w:r>
    </w:p>
    <w:p w:rsidR="00000000" w:rsidRPr="009F4368" w:rsidP="00115392">
      <w:pPr>
        <w:pStyle w:val="BodyText"/>
      </w:pPr>
      <w:r w:rsidRPr="009F4368">
        <w:t>Release 1. Supersedes and is equivalent to PMASUP342B Monitor and maintain electrical systems</w:t>
      </w:r>
    </w:p>
    <w:p w:rsidR="00000000" w:rsidRPr="009F4368" w:rsidP="009F4368">
      <w:pPr>
        <w:pStyle w:val="Heading1"/>
      </w:pPr>
      <w:bookmarkStart w:id="10" w:name="O_909716"/>
      <w:bookmarkEnd w:id="10"/>
      <w:r w:rsidRPr="009F4368">
        <w:t>Links</w:t>
      </w:r>
    </w:p>
    <w:p w:rsidR="00000000" w:rsidRPr="009F4368" w:rsidP="00115392">
      <w:pPr>
        <w:pStyle w:val="BodyText"/>
      </w:pPr>
      <w:r w:rsidRPr="009F436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164636">
        <w:rPr>
          <w:rStyle w:val="Hyperlink"/>
        </w:rPr>
        <w:t>https://vetnet.gov.au/Pages/TrainingDocs.aspx?q=9fc2cf53-e570-4e9f-ad6a-b228ffdb6875</w:t>
      </w:r>
      <w:r>
        <w:fldChar w:fldCharType="end"/>
      </w:r>
    </w:p>
    <w:p w:rsidR="00000000" w:rsidRPr="009F4368" w:rsidP="009F4368"/>
    <w:sectPr w:rsidSect="009F43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3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368" w:rsidRPr="00115392" w:rsidP="001153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3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92" w:rsidP="009F43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5392" w:rsidP="009F43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5392" w:rsidP="009F43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3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4368" w:rsidRPr="00115392" w:rsidP="001153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3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92" w:rsidRPr="002D2AF8" w:rsidP="009F4368">
    <w:pPr>
      <w:pStyle w:val="Header"/>
      <w:framePr w:wrap="around"/>
    </w:pPr>
    <w:r>
      <w:fldChar w:fldCharType="begin"/>
    </w:r>
    <w:r>
      <w:instrText xml:space="preserve"> TITLE   \* MERGEFORMAT </w:instrText>
    </w:r>
    <w:r>
      <w:fldChar w:fldCharType="separate"/>
    </w:r>
    <w:r>
      <w:t>PMASUP342 Monitor and maintain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115392" w:rsidP="009F43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2C26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FED6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D639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3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4368"/>
    <w:pPr>
      <w:spacing w:before="360" w:after="60"/>
      <w:outlineLvl w:val="0"/>
    </w:pPr>
    <w:rPr>
      <w:sz w:val="32"/>
    </w:rPr>
  </w:style>
  <w:style w:type="paragraph" w:styleId="Heading2">
    <w:name w:val="heading 2"/>
    <w:basedOn w:val="HeadingBase"/>
    <w:next w:val="BodyText"/>
    <w:link w:val="Heading2Char"/>
    <w:qFormat/>
    <w:rsid w:val="009F4368"/>
    <w:pPr>
      <w:keepLines/>
      <w:spacing w:before="240" w:after="120"/>
      <w:outlineLvl w:val="1"/>
    </w:pPr>
    <w:rPr>
      <w:sz w:val="28"/>
      <w:szCs w:val="40"/>
    </w:rPr>
  </w:style>
  <w:style w:type="paragraph" w:styleId="Heading3">
    <w:name w:val="heading 3"/>
    <w:basedOn w:val="HeadingBase"/>
    <w:next w:val="BodyText"/>
    <w:link w:val="Heading3Char"/>
    <w:qFormat/>
    <w:rsid w:val="009F4368"/>
    <w:pPr>
      <w:spacing w:before="180" w:after="120"/>
      <w:outlineLvl w:val="2"/>
    </w:pPr>
    <w:rPr>
      <w:spacing w:val="-10"/>
      <w:kern w:val="32"/>
    </w:rPr>
  </w:style>
  <w:style w:type="paragraph" w:styleId="Heading4">
    <w:name w:val="heading 4"/>
    <w:basedOn w:val="HeadingBase"/>
    <w:next w:val="BodyText"/>
    <w:link w:val="Heading4Char"/>
    <w:qFormat/>
    <w:rsid w:val="009F4368"/>
    <w:pPr>
      <w:spacing w:before="160" w:after="120"/>
      <w:outlineLvl w:val="3"/>
    </w:pPr>
    <w:rPr>
      <w:sz w:val="22"/>
    </w:rPr>
  </w:style>
  <w:style w:type="paragraph" w:styleId="Heading5">
    <w:name w:val="heading 5"/>
    <w:basedOn w:val="HeadingBase"/>
    <w:next w:val="Normal"/>
    <w:link w:val="Heading5Char"/>
    <w:qFormat/>
    <w:rsid w:val="009F4368"/>
    <w:pPr>
      <w:spacing w:before="80"/>
      <w:outlineLvl w:val="4"/>
    </w:pPr>
    <w:rPr>
      <w:color w:val="918585"/>
      <w:sz w:val="20"/>
    </w:rPr>
  </w:style>
  <w:style w:type="paragraph" w:styleId="Heading6">
    <w:name w:val="heading 6"/>
    <w:basedOn w:val="HeadingBase"/>
    <w:next w:val="Normal"/>
    <w:link w:val="Heading6Char"/>
    <w:qFormat/>
    <w:rsid w:val="009F4368"/>
    <w:pPr>
      <w:spacing w:before="60"/>
      <w:outlineLvl w:val="5"/>
    </w:pPr>
    <w:rPr>
      <w:color w:val="918585"/>
      <w:sz w:val="20"/>
    </w:rPr>
  </w:style>
  <w:style w:type="paragraph" w:styleId="Heading7">
    <w:name w:val="heading 7"/>
    <w:basedOn w:val="Normal"/>
    <w:next w:val="Normal"/>
    <w:link w:val="Heading7Char"/>
    <w:qFormat/>
    <w:rsid w:val="009F4368"/>
    <w:pPr>
      <w:ind w:left="720"/>
      <w:outlineLvl w:val="6"/>
    </w:pPr>
    <w:rPr>
      <w:i/>
    </w:rPr>
  </w:style>
  <w:style w:type="paragraph" w:styleId="Heading8">
    <w:name w:val="heading 8"/>
    <w:basedOn w:val="Normal"/>
    <w:next w:val="Normal"/>
    <w:link w:val="Heading8Char"/>
    <w:qFormat/>
    <w:rsid w:val="009F4368"/>
    <w:pPr>
      <w:ind w:left="720"/>
      <w:outlineLvl w:val="7"/>
    </w:pPr>
    <w:rPr>
      <w:i/>
    </w:rPr>
  </w:style>
  <w:style w:type="paragraph" w:styleId="Heading9">
    <w:name w:val="heading 9"/>
    <w:basedOn w:val="Normal"/>
    <w:next w:val="Normal"/>
    <w:link w:val="Heading9Char"/>
    <w:qFormat/>
    <w:rsid w:val="009F4368"/>
    <w:pPr>
      <w:ind w:left="720"/>
      <w:outlineLvl w:val="8"/>
    </w:pPr>
    <w:rPr>
      <w:i/>
    </w:rPr>
  </w:style>
  <w:style w:type="character" w:default="1" w:styleId="DefaultParagraphFont">
    <w:name w:val="Default Paragraph Font"/>
    <w:uiPriority w:val="1"/>
    <w:unhideWhenUsed/>
    <w:rsid w:val="009F43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4368"/>
  </w:style>
  <w:style w:type="character" w:customStyle="1" w:styleId="Heading1Char">
    <w:name w:val="Heading 1 Char"/>
    <w:basedOn w:val="DefaultParagraphFont"/>
    <w:link w:val="Heading1"/>
    <w:rsid w:val="009F4368"/>
    <w:rPr>
      <w:rFonts w:ascii="Times New Roman" w:eastAsia="Times New Roman" w:hAnsi="Times New Roman" w:cs="Times New Roman"/>
      <w:b/>
      <w:sz w:val="32"/>
      <w:szCs w:val="20"/>
      <w:lang w:eastAsia="en-US"/>
    </w:rPr>
  </w:style>
  <w:style w:type="paragraph" w:styleId="BodyText">
    <w:name w:val="Body Text"/>
    <w:basedOn w:val="Normal"/>
    <w:link w:val="BodyTextChar"/>
    <w:rsid w:val="009F43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4368"/>
    <w:rPr>
      <w:rFonts w:ascii="Times New Roman" w:eastAsia="Times New Roman" w:hAnsi="Times New Roman" w:cs="Times New Roman"/>
      <w:sz w:val="24"/>
      <w:lang w:eastAsia="en-US"/>
    </w:rPr>
  </w:style>
  <w:style w:type="paragraph" w:styleId="ListBullet">
    <w:name w:val="List Bullet"/>
    <w:basedOn w:val="List"/>
    <w:rsid w:val="009F4368"/>
    <w:pPr>
      <w:numPr>
        <w:numId w:val="12"/>
      </w:numPr>
      <w:tabs>
        <w:tab w:val="clear" w:pos="340"/>
      </w:tabs>
      <w:spacing w:before="40" w:after="40"/>
    </w:pPr>
  </w:style>
  <w:style w:type="character" w:customStyle="1" w:styleId="SpecialBold">
    <w:name w:val="Special Bold"/>
    <w:basedOn w:val="DefaultParagraphFont"/>
    <w:rsid w:val="009F4368"/>
    <w:rPr>
      <w:b/>
      <w:spacing w:val="0"/>
    </w:rPr>
  </w:style>
  <w:style w:type="paragraph" w:styleId="ListBullet2">
    <w:name w:val="List Bullet 2"/>
    <w:basedOn w:val="List2"/>
    <w:rsid w:val="009F4368"/>
    <w:pPr>
      <w:numPr>
        <w:numId w:val="13"/>
      </w:numPr>
      <w:tabs>
        <w:tab w:val="clear" w:pos="680"/>
      </w:tabs>
    </w:pPr>
  </w:style>
  <w:style w:type="character" w:styleId="Emphasis">
    <w:name w:val="Emphasis"/>
    <w:basedOn w:val="DefaultParagraphFont"/>
    <w:qFormat/>
    <w:rsid w:val="009F4368"/>
    <w:rPr>
      <w:i/>
    </w:rPr>
  </w:style>
  <w:style w:type="paragraph" w:customStyle="1" w:styleId="SuperHeading">
    <w:name w:val="SuperHeading"/>
    <w:basedOn w:val="Normal"/>
    <w:rsid w:val="009F4368"/>
    <w:pPr>
      <w:spacing w:before="240" w:after="120"/>
      <w:outlineLvl w:val="0"/>
    </w:pPr>
    <w:rPr>
      <w:rFonts w:ascii="Times New Roman" w:hAnsi="Times New Roman"/>
      <w:b/>
      <w:sz w:val="32"/>
    </w:rPr>
  </w:style>
  <w:style w:type="paragraph" w:customStyle="1" w:styleId="AllowPageBreak">
    <w:name w:val="AllowPageBreak"/>
    <w:rsid w:val="009F43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9F4368"/>
    <w:rPr>
      <w:rFonts w:ascii="Symbol" w:hAnsi="Symbol"/>
    </w:rPr>
  </w:style>
  <w:style w:type="character" w:customStyle="1" w:styleId="Heading2Char">
    <w:name w:val="Heading 2 Char"/>
    <w:basedOn w:val="DefaultParagraphFont"/>
    <w:link w:val="Heading2"/>
    <w:rsid w:val="009F43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43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43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43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43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43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43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4368"/>
    <w:rPr>
      <w:rFonts w:ascii="Courier New" w:eastAsia="Times New Roman" w:hAnsi="Courier New" w:cs="Times New Roman"/>
      <w:i/>
      <w:szCs w:val="20"/>
      <w:lang w:eastAsia="en-US"/>
    </w:rPr>
  </w:style>
  <w:style w:type="paragraph" w:customStyle="1" w:styleId="HeadingBase">
    <w:name w:val="Heading Base"/>
    <w:rsid w:val="009F43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4368"/>
    <w:pPr>
      <w:tabs>
        <w:tab w:val="right" w:leader="dot" w:pos="9072"/>
      </w:tabs>
      <w:ind w:left="567"/>
    </w:pPr>
    <w:rPr>
      <w:szCs w:val="22"/>
    </w:rPr>
  </w:style>
  <w:style w:type="paragraph" w:customStyle="1" w:styleId="TOCBase">
    <w:name w:val="TOC Base"/>
    <w:rsid w:val="009F43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4368"/>
    <w:pPr>
      <w:tabs>
        <w:tab w:val="right" w:leader="dot" w:pos="9072"/>
      </w:tabs>
      <w:spacing w:before="40" w:after="40"/>
      <w:ind w:left="284"/>
    </w:pPr>
    <w:rPr>
      <w:rFonts w:ascii="Times New Roman" w:hAnsi="Times New Roman"/>
    </w:rPr>
  </w:style>
  <w:style w:type="paragraph" w:styleId="TOC1">
    <w:name w:val="toc 1"/>
    <w:basedOn w:val="TOCBase"/>
    <w:next w:val="Normal"/>
    <w:rsid w:val="009F43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43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4368"/>
    <w:rPr>
      <w:rFonts w:ascii="Times New Roman" w:eastAsia="Times New Roman" w:hAnsi="Times New Roman" w:cs="Times New Roman"/>
      <w:sz w:val="16"/>
      <w:lang w:eastAsia="en-US"/>
    </w:rPr>
  </w:style>
  <w:style w:type="paragraph" w:styleId="Title">
    <w:name w:val="Title"/>
    <w:basedOn w:val="HeadingBase"/>
    <w:link w:val="TitleChar"/>
    <w:qFormat/>
    <w:rsid w:val="009F4368"/>
    <w:pPr>
      <w:spacing w:before="5040"/>
      <w:jc w:val="center"/>
    </w:pPr>
    <w:rPr>
      <w:sz w:val="48"/>
      <w:szCs w:val="72"/>
      <w:lang w:val="en-US"/>
    </w:rPr>
  </w:style>
  <w:style w:type="character" w:customStyle="1" w:styleId="TitleChar">
    <w:name w:val="Title Char"/>
    <w:basedOn w:val="DefaultParagraphFont"/>
    <w:link w:val="Title"/>
    <w:rsid w:val="009F43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4368"/>
    <w:pPr>
      <w:tabs>
        <w:tab w:val="left" w:pos="3600"/>
        <w:tab w:val="left" w:pos="3958"/>
      </w:tabs>
    </w:pPr>
  </w:style>
  <w:style w:type="paragraph" w:styleId="List">
    <w:name w:val="List"/>
    <w:basedOn w:val="BodyText"/>
    <w:next w:val="BodyText"/>
    <w:rsid w:val="009F4368"/>
    <w:pPr>
      <w:tabs>
        <w:tab w:val="left" w:pos="340"/>
      </w:tabs>
      <w:spacing w:before="60" w:after="60"/>
      <w:ind w:left="340" w:hanging="340"/>
    </w:pPr>
  </w:style>
  <w:style w:type="paragraph" w:customStyle="1" w:styleId="Note">
    <w:name w:val="Note"/>
    <w:basedOn w:val="BodyText"/>
    <w:rsid w:val="009F43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4368"/>
    <w:pPr>
      <w:framePr w:wrap="auto" w:hAnchor="text" w:y="6049"/>
    </w:pPr>
    <w:rPr>
      <w:color w:val="000000"/>
      <w:sz w:val="40"/>
    </w:rPr>
  </w:style>
  <w:style w:type="paragraph" w:customStyle="1" w:styleId="TOCTitle">
    <w:name w:val="TOCTitle"/>
    <w:basedOn w:val="Heading1"/>
    <w:rsid w:val="009F4368"/>
    <w:pPr>
      <w:spacing w:after="240"/>
      <w:jc w:val="center"/>
      <w:outlineLvl w:val="9"/>
    </w:pPr>
    <w:rPr>
      <w:caps/>
    </w:rPr>
  </w:style>
  <w:style w:type="paragraph" w:customStyle="1" w:styleId="Version">
    <w:name w:val="Version"/>
    <w:rsid w:val="009F43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4368"/>
    <w:pPr>
      <w:keepNext w:val="0"/>
      <w:tabs>
        <w:tab w:val="right" w:pos="4176"/>
      </w:tabs>
      <w:ind w:left="198" w:hanging="198"/>
    </w:pPr>
    <w:rPr>
      <w:rFonts w:ascii="Garamond" w:hAnsi="Garamond"/>
    </w:rPr>
  </w:style>
  <w:style w:type="paragraph" w:styleId="IndexHeading">
    <w:name w:val="index heading"/>
    <w:basedOn w:val="Normal"/>
    <w:next w:val="Index1"/>
    <w:semiHidden/>
    <w:rsid w:val="009F4368"/>
    <w:pPr>
      <w:spacing w:before="120" w:after="120"/>
    </w:pPr>
    <w:rPr>
      <w:rFonts w:ascii="Arial" w:hAnsi="Arial"/>
      <w:b/>
      <w:color w:val="918585"/>
      <w:sz w:val="24"/>
    </w:rPr>
  </w:style>
  <w:style w:type="paragraph" w:styleId="Header">
    <w:name w:val="header"/>
    <w:basedOn w:val="Normal"/>
    <w:link w:val="HeaderChar"/>
    <w:rsid w:val="009F43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4368"/>
    <w:rPr>
      <w:rFonts w:ascii="Times New Roman" w:eastAsia="Times New Roman" w:hAnsi="Times New Roman" w:cs="Times New Roman"/>
      <w:sz w:val="16"/>
      <w:szCs w:val="20"/>
      <w:lang w:val="en-GB" w:eastAsia="en-US"/>
    </w:rPr>
  </w:style>
  <w:style w:type="paragraph" w:customStyle="1" w:styleId="Chapter">
    <w:name w:val="Chapter"/>
    <w:basedOn w:val="Normal"/>
    <w:rsid w:val="009F4368"/>
    <w:pPr>
      <w:spacing w:before="240"/>
    </w:pPr>
    <w:rPr>
      <w:rFonts w:ascii="Times New Roman" w:hAnsi="Times New Roman"/>
      <w:smallCaps/>
      <w:spacing w:val="80"/>
      <w:sz w:val="28"/>
    </w:rPr>
  </w:style>
  <w:style w:type="paragraph" w:customStyle="1" w:styleId="InChapter">
    <w:name w:val="InChapter"/>
    <w:basedOn w:val="Heading3"/>
    <w:rsid w:val="009F4368"/>
    <w:pPr>
      <w:spacing w:after="240"/>
      <w:outlineLvl w:val="9"/>
    </w:pPr>
    <w:rPr>
      <w:noProof/>
    </w:rPr>
  </w:style>
  <w:style w:type="paragraph" w:styleId="Index2">
    <w:name w:val="index 2"/>
    <w:basedOn w:val="Normal"/>
    <w:next w:val="Normal"/>
    <w:semiHidden/>
    <w:rsid w:val="009F4368"/>
    <w:pPr>
      <w:tabs>
        <w:tab w:val="right" w:pos="4176"/>
      </w:tabs>
      <w:ind w:left="568" w:hanging="284"/>
    </w:pPr>
    <w:rPr>
      <w:rFonts w:ascii="Garamond" w:hAnsi="Garamond"/>
    </w:rPr>
  </w:style>
  <w:style w:type="paragraph" w:customStyle="1" w:styleId="Byline">
    <w:name w:val="Byline"/>
    <w:rsid w:val="009F43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4368"/>
    <w:pPr>
      <w:tabs>
        <w:tab w:val="clear" w:pos="3600"/>
        <w:tab w:val="clear" w:pos="3958"/>
      </w:tabs>
      <w:jc w:val="right"/>
    </w:pPr>
  </w:style>
  <w:style w:type="paragraph" w:styleId="Caption">
    <w:name w:val="caption"/>
    <w:basedOn w:val="BodyText"/>
    <w:next w:val="Normal"/>
    <w:qFormat/>
    <w:rsid w:val="009F4368"/>
    <w:pPr>
      <w:framePr w:w="2268" w:hSpace="181" w:vSpace="181" w:wrap="around" w:vAnchor="text" w:hAnchor="page" w:x="1135" w:y="285" w:anchorLock="1"/>
    </w:pPr>
    <w:rPr>
      <w:i/>
    </w:rPr>
  </w:style>
  <w:style w:type="paragraph" w:customStyle="1" w:styleId="MiniTOCTitle">
    <w:name w:val="MiniTOCTitle"/>
    <w:basedOn w:val="Heading4"/>
    <w:rsid w:val="009F4368"/>
    <w:pPr>
      <w:spacing w:before="240"/>
      <w:outlineLvl w:val="9"/>
    </w:pPr>
    <w:rPr>
      <w:noProof/>
      <w:sz w:val="24"/>
    </w:rPr>
  </w:style>
  <w:style w:type="paragraph" w:customStyle="1" w:styleId="MiniTOCItem">
    <w:name w:val="MiniTOCItem"/>
    <w:basedOn w:val="ListBullet"/>
    <w:rsid w:val="009F4368"/>
    <w:pPr>
      <w:numPr>
        <w:numId w:val="0"/>
      </w:numPr>
      <w:tabs>
        <w:tab w:val="right" w:leader="dot" w:pos="6521"/>
      </w:tabs>
      <w:spacing w:before="0" w:after="0"/>
    </w:pPr>
  </w:style>
  <w:style w:type="paragraph" w:customStyle="1" w:styleId="TOFTitle">
    <w:name w:val="TOFTitle"/>
    <w:basedOn w:val="TOCTitle"/>
    <w:rsid w:val="009F4368"/>
  </w:style>
  <w:style w:type="paragraph" w:styleId="TableofFigures">
    <w:name w:val="table of figures"/>
    <w:basedOn w:val="Normal"/>
    <w:next w:val="Normal"/>
    <w:semiHidden/>
    <w:rsid w:val="009F4368"/>
    <w:pPr>
      <w:tabs>
        <w:tab w:val="right" w:leader="dot" w:pos="9072"/>
      </w:tabs>
      <w:ind w:left="970" w:hanging="403"/>
    </w:pPr>
    <w:rPr>
      <w:rFonts w:ascii="Times New Roman" w:hAnsi="Times New Roman"/>
      <w:b/>
    </w:rPr>
  </w:style>
  <w:style w:type="paragraph" w:styleId="ListNumber">
    <w:name w:val="List Number"/>
    <w:basedOn w:val="List"/>
    <w:rsid w:val="009F4368"/>
    <w:pPr>
      <w:numPr>
        <w:numId w:val="15"/>
      </w:numPr>
      <w:tabs>
        <w:tab w:val="clear" w:pos="340"/>
      </w:tabs>
    </w:pPr>
  </w:style>
  <w:style w:type="character" w:customStyle="1" w:styleId="WingdingSymbols">
    <w:name w:val="Wingding Symbols"/>
    <w:rsid w:val="009F4368"/>
    <w:rPr>
      <w:rFonts w:ascii="Wingdings" w:hAnsi="Wingdings"/>
    </w:rPr>
  </w:style>
  <w:style w:type="paragraph" w:customStyle="1" w:styleId="TableHeading">
    <w:name w:val="Table Heading"/>
    <w:basedOn w:val="HeadingBase"/>
    <w:rsid w:val="009F4368"/>
    <w:pPr>
      <w:keepLines/>
      <w:pBdr>
        <w:bottom w:val="single" w:sz="6" w:space="1" w:color="918585"/>
      </w:pBdr>
      <w:spacing w:before="240"/>
    </w:pPr>
  </w:style>
  <w:style w:type="character" w:customStyle="1" w:styleId="HotSpot">
    <w:name w:val="HotSpot"/>
    <w:rsid w:val="009F4368"/>
    <w:rPr>
      <w:color w:val="0033CC"/>
      <w:u w:val="none"/>
    </w:rPr>
  </w:style>
  <w:style w:type="paragraph" w:customStyle="1" w:styleId="BodyTextRight">
    <w:name w:val="Body Text Right"/>
    <w:basedOn w:val="BodyText"/>
    <w:rsid w:val="009F4368"/>
    <w:pPr>
      <w:spacing w:before="0" w:after="0"/>
      <w:jc w:val="right"/>
    </w:pPr>
  </w:style>
  <w:style w:type="paragraph" w:styleId="Index3">
    <w:name w:val="index 3"/>
    <w:basedOn w:val="ListNumber2"/>
    <w:next w:val="Normal"/>
    <w:semiHidden/>
    <w:rsid w:val="009F4368"/>
    <w:pPr>
      <w:numPr>
        <w:numId w:val="0"/>
      </w:numPr>
      <w:tabs>
        <w:tab w:val="right" w:leader="dot" w:pos="4176"/>
      </w:tabs>
    </w:pPr>
  </w:style>
  <w:style w:type="paragraph" w:styleId="ListNumber2">
    <w:name w:val="List Number 2"/>
    <w:basedOn w:val="List2"/>
    <w:rsid w:val="009F4368"/>
    <w:pPr>
      <w:numPr>
        <w:numId w:val="10"/>
      </w:numPr>
      <w:tabs>
        <w:tab w:val="clear" w:pos="1060"/>
      </w:tabs>
    </w:pPr>
  </w:style>
  <w:style w:type="paragraph" w:customStyle="1" w:styleId="MarginNote">
    <w:name w:val="Margin Note"/>
    <w:basedOn w:val="BodyText"/>
    <w:rsid w:val="009F43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43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43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4368"/>
    <w:rPr>
      <w:sz w:val="32"/>
    </w:rPr>
  </w:style>
  <w:style w:type="paragraph" w:customStyle="1" w:styleId="HeadingProcedure">
    <w:name w:val="Heading Procedure"/>
    <w:basedOn w:val="HeadingBase"/>
    <w:next w:val="Normal"/>
    <w:rsid w:val="009F4368"/>
    <w:pPr>
      <w:tabs>
        <w:tab w:val="left" w:pos="0"/>
      </w:tabs>
      <w:spacing w:before="120" w:after="60"/>
    </w:pPr>
    <w:rPr>
      <w:i/>
      <w:color w:val="918585"/>
      <w:sz w:val="22"/>
    </w:rPr>
  </w:style>
  <w:style w:type="paragraph" w:customStyle="1" w:styleId="TableBodyText">
    <w:name w:val="Table Body Text"/>
    <w:basedOn w:val="BodyText"/>
    <w:rsid w:val="009F4368"/>
    <w:pPr>
      <w:spacing w:before="60" w:after="60"/>
    </w:pPr>
  </w:style>
  <w:style w:type="paragraph" w:styleId="ListContinue">
    <w:name w:val="List Continue"/>
    <w:basedOn w:val="List"/>
    <w:rsid w:val="009F4368"/>
    <w:pPr>
      <w:ind w:firstLine="0"/>
    </w:pPr>
  </w:style>
  <w:style w:type="paragraph" w:customStyle="1" w:styleId="ListNote">
    <w:name w:val="List Note"/>
    <w:basedOn w:val="List"/>
    <w:rsid w:val="009F4368"/>
    <w:pPr>
      <w:pBdr>
        <w:top w:val="single" w:sz="6" w:space="2" w:color="918585"/>
        <w:bottom w:val="single" w:sz="6" w:space="2" w:color="918585"/>
      </w:pBdr>
      <w:tabs>
        <w:tab w:val="left" w:pos="1021"/>
      </w:tabs>
      <w:ind w:firstLine="0"/>
    </w:pPr>
  </w:style>
  <w:style w:type="paragraph" w:customStyle="1" w:styleId="Warning">
    <w:name w:val="Warning"/>
    <w:basedOn w:val="BodyText"/>
    <w:rsid w:val="009F4368"/>
    <w:pPr>
      <w:shd w:val="clear" w:color="auto" w:fill="D9D9D9"/>
      <w:tabs>
        <w:tab w:val="left" w:pos="992"/>
      </w:tabs>
      <w:ind w:left="119" w:right="119"/>
    </w:pPr>
    <w:rPr>
      <w:sz w:val="20"/>
    </w:rPr>
  </w:style>
  <w:style w:type="paragraph" w:customStyle="1" w:styleId="MarginIcons">
    <w:name w:val="Margin Icons"/>
    <w:basedOn w:val="BodyText"/>
    <w:rsid w:val="009F43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4368"/>
    <w:rPr>
      <w:rFonts w:ascii="Courier New" w:hAnsi="Courier New"/>
    </w:rPr>
  </w:style>
  <w:style w:type="paragraph" w:customStyle="1" w:styleId="NoteBullet">
    <w:name w:val="Note Bullet"/>
    <w:basedOn w:val="Note"/>
    <w:rsid w:val="009F4368"/>
    <w:pPr>
      <w:tabs>
        <w:tab w:val="clear" w:pos="680"/>
      </w:tabs>
      <w:spacing w:before="60" w:after="60"/>
    </w:pPr>
  </w:style>
  <w:style w:type="paragraph" w:customStyle="1" w:styleId="SubHeading2">
    <w:name w:val="SubHeading2"/>
    <w:basedOn w:val="HeadingBase"/>
    <w:rsid w:val="009F4368"/>
    <w:pPr>
      <w:spacing w:before="240" w:after="60"/>
    </w:pPr>
    <w:rPr>
      <w:sz w:val="20"/>
    </w:rPr>
  </w:style>
  <w:style w:type="paragraph" w:customStyle="1" w:styleId="SubHeading1">
    <w:name w:val="SubHeading1"/>
    <w:basedOn w:val="HeadingBase"/>
    <w:rsid w:val="009F4368"/>
    <w:pPr>
      <w:spacing w:before="240" w:after="60"/>
    </w:pPr>
    <w:rPr>
      <w:color w:val="918585"/>
      <w:sz w:val="22"/>
    </w:rPr>
  </w:style>
  <w:style w:type="paragraph" w:customStyle="1" w:styleId="SideHeading">
    <w:name w:val="Side Heading"/>
    <w:basedOn w:val="HeadingBase"/>
    <w:rsid w:val="009F43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4368"/>
    <w:pPr>
      <w:tabs>
        <w:tab w:val="num" w:pos="360"/>
      </w:tabs>
    </w:pPr>
  </w:style>
  <w:style w:type="paragraph" w:styleId="PlainText">
    <w:name w:val="Plain Text"/>
    <w:basedOn w:val="Normal"/>
    <w:link w:val="PlainTextChar"/>
    <w:rsid w:val="009F4368"/>
    <w:rPr>
      <w:sz w:val="20"/>
    </w:rPr>
  </w:style>
  <w:style w:type="character" w:customStyle="1" w:styleId="PlainTextChar">
    <w:name w:val="Plain Text Char"/>
    <w:basedOn w:val="DefaultParagraphFont"/>
    <w:link w:val="PlainText"/>
    <w:rsid w:val="009F4368"/>
    <w:rPr>
      <w:rFonts w:ascii="Courier New" w:eastAsia="Times New Roman" w:hAnsi="Courier New" w:cs="Times New Roman"/>
      <w:sz w:val="20"/>
      <w:szCs w:val="20"/>
      <w:lang w:eastAsia="en-US"/>
    </w:rPr>
  </w:style>
  <w:style w:type="character" w:customStyle="1" w:styleId="MenuOption">
    <w:name w:val="Menu Option"/>
    <w:basedOn w:val="DefaultParagraphFont"/>
    <w:rsid w:val="009F4368"/>
    <w:rPr>
      <w:b/>
      <w:smallCaps/>
    </w:rPr>
  </w:style>
  <w:style w:type="paragraph" w:customStyle="1" w:styleId="TableListNumber">
    <w:name w:val="Table List Number"/>
    <w:basedOn w:val="ListNumber"/>
    <w:rsid w:val="009F4368"/>
    <w:pPr>
      <w:numPr>
        <w:numId w:val="0"/>
      </w:numPr>
    </w:pPr>
  </w:style>
  <w:style w:type="paragraph" w:styleId="TOC4">
    <w:name w:val="toc 4"/>
    <w:basedOn w:val="TOCBase"/>
    <w:next w:val="Normal"/>
    <w:semiHidden/>
    <w:rsid w:val="009F4368"/>
    <w:pPr>
      <w:tabs>
        <w:tab w:val="right" w:leader="dot" w:pos="9071"/>
      </w:tabs>
      <w:ind w:left="1701"/>
    </w:pPr>
  </w:style>
  <w:style w:type="paragraph" w:customStyle="1" w:styleId="ListAlpha">
    <w:name w:val="List Alpha"/>
    <w:basedOn w:val="List"/>
    <w:rsid w:val="009F4368"/>
    <w:pPr>
      <w:numPr>
        <w:numId w:val="9"/>
      </w:numPr>
    </w:pPr>
  </w:style>
  <w:style w:type="paragraph" w:customStyle="1" w:styleId="ListAlpha2">
    <w:name w:val="List Alpha 2"/>
    <w:basedOn w:val="List2"/>
    <w:rsid w:val="009F4368"/>
    <w:pPr>
      <w:numPr>
        <w:numId w:val="8"/>
      </w:numPr>
    </w:pPr>
  </w:style>
  <w:style w:type="paragraph" w:styleId="List2">
    <w:name w:val="List 2"/>
    <w:basedOn w:val="BodyText"/>
    <w:rsid w:val="009F4368"/>
    <w:pPr>
      <w:tabs>
        <w:tab w:val="left" w:pos="680"/>
      </w:tabs>
      <w:spacing w:before="60" w:after="60"/>
      <w:ind w:left="680" w:hanging="340"/>
    </w:pPr>
  </w:style>
  <w:style w:type="paragraph" w:styleId="List3">
    <w:name w:val="List 3"/>
    <w:basedOn w:val="BodyText"/>
    <w:rsid w:val="009F4368"/>
    <w:pPr>
      <w:tabs>
        <w:tab w:val="left" w:pos="1021"/>
      </w:tabs>
      <w:spacing w:before="60" w:after="60"/>
      <w:ind w:left="1020" w:hanging="340"/>
    </w:pPr>
  </w:style>
  <w:style w:type="paragraph" w:styleId="List4">
    <w:name w:val="List 4"/>
    <w:basedOn w:val="BodyText"/>
    <w:rsid w:val="009F4368"/>
    <w:pPr>
      <w:tabs>
        <w:tab w:val="left" w:pos="1361"/>
      </w:tabs>
      <w:spacing w:before="60" w:after="60"/>
      <w:ind w:left="1361" w:hanging="340"/>
    </w:pPr>
  </w:style>
  <w:style w:type="paragraph" w:styleId="List5">
    <w:name w:val="List 5"/>
    <w:basedOn w:val="BodyText"/>
    <w:rsid w:val="009F4368"/>
    <w:pPr>
      <w:tabs>
        <w:tab w:val="left" w:pos="1701"/>
      </w:tabs>
      <w:spacing w:before="60" w:after="60"/>
      <w:ind w:left="1701" w:hanging="340"/>
    </w:pPr>
  </w:style>
  <w:style w:type="paragraph" w:styleId="ListBullet3">
    <w:name w:val="List Bullet 3"/>
    <w:basedOn w:val="List3"/>
    <w:rsid w:val="009F4368"/>
    <w:pPr>
      <w:numPr>
        <w:numId w:val="14"/>
      </w:numPr>
      <w:tabs>
        <w:tab w:val="clear" w:pos="1021"/>
      </w:tabs>
      <w:ind w:left="1037" w:hanging="357"/>
    </w:pPr>
  </w:style>
  <w:style w:type="paragraph" w:styleId="ListBullet4">
    <w:name w:val="List Bullet 4"/>
    <w:basedOn w:val="List4"/>
    <w:rsid w:val="009F4368"/>
    <w:pPr>
      <w:numPr>
        <w:numId w:val="3"/>
      </w:numPr>
      <w:tabs>
        <w:tab w:val="clear" w:pos="1361"/>
      </w:tabs>
    </w:pPr>
  </w:style>
  <w:style w:type="paragraph" w:styleId="ListBullet5">
    <w:name w:val="List Bullet 5"/>
    <w:basedOn w:val="List5"/>
    <w:rsid w:val="009F4368"/>
    <w:pPr>
      <w:numPr>
        <w:numId w:val="4"/>
      </w:numPr>
    </w:pPr>
  </w:style>
  <w:style w:type="paragraph" w:styleId="ListContinue2">
    <w:name w:val="List Continue 2"/>
    <w:basedOn w:val="List2"/>
    <w:rsid w:val="009F4368"/>
    <w:pPr>
      <w:ind w:firstLine="0"/>
    </w:pPr>
  </w:style>
  <w:style w:type="paragraph" w:styleId="ListContinue3">
    <w:name w:val="List Continue 3"/>
    <w:basedOn w:val="List3"/>
    <w:rsid w:val="009F4368"/>
    <w:pPr>
      <w:ind w:left="1021" w:firstLine="0"/>
    </w:pPr>
  </w:style>
  <w:style w:type="paragraph" w:styleId="ListContinue4">
    <w:name w:val="List Continue 4"/>
    <w:basedOn w:val="List4"/>
    <w:rsid w:val="009F4368"/>
    <w:pPr>
      <w:ind w:firstLine="0"/>
    </w:pPr>
  </w:style>
  <w:style w:type="paragraph" w:styleId="ListContinue5">
    <w:name w:val="List Continue 5"/>
    <w:basedOn w:val="List5"/>
    <w:rsid w:val="009F4368"/>
    <w:pPr>
      <w:ind w:firstLine="0"/>
    </w:pPr>
  </w:style>
  <w:style w:type="paragraph" w:styleId="ListNumber3">
    <w:name w:val="List Number 3"/>
    <w:basedOn w:val="List3"/>
    <w:rsid w:val="009F4368"/>
    <w:pPr>
      <w:numPr>
        <w:numId w:val="5"/>
      </w:numPr>
    </w:pPr>
  </w:style>
  <w:style w:type="paragraph" w:styleId="ListNumber4">
    <w:name w:val="List Number 4"/>
    <w:basedOn w:val="List4"/>
    <w:rsid w:val="009F4368"/>
    <w:pPr>
      <w:numPr>
        <w:numId w:val="6"/>
      </w:numPr>
    </w:pPr>
  </w:style>
  <w:style w:type="paragraph" w:styleId="ListNumber5">
    <w:name w:val="List Number 5"/>
    <w:basedOn w:val="List5"/>
    <w:rsid w:val="009F4368"/>
    <w:pPr>
      <w:numPr>
        <w:numId w:val="7"/>
      </w:numPr>
    </w:pPr>
  </w:style>
  <w:style w:type="paragraph" w:styleId="BlockText">
    <w:name w:val="Block Text"/>
    <w:basedOn w:val="Normal"/>
    <w:rsid w:val="009F4368"/>
    <w:pPr>
      <w:spacing w:after="120"/>
      <w:ind w:left="1440" w:right="1440"/>
    </w:pPr>
  </w:style>
  <w:style w:type="character" w:customStyle="1" w:styleId="Subscript">
    <w:name w:val="Subscript"/>
    <w:basedOn w:val="DefaultParagraphFont"/>
    <w:rsid w:val="009F4368"/>
    <w:rPr>
      <w:sz w:val="16"/>
      <w:vertAlign w:val="subscript"/>
    </w:rPr>
  </w:style>
  <w:style w:type="character" w:customStyle="1" w:styleId="Superscript">
    <w:name w:val="Superscript"/>
    <w:basedOn w:val="DefaultParagraphFont"/>
    <w:rsid w:val="009F4368"/>
    <w:rPr>
      <w:sz w:val="16"/>
      <w:vertAlign w:val="superscript"/>
    </w:rPr>
  </w:style>
  <w:style w:type="character" w:customStyle="1" w:styleId="MenuOptions">
    <w:name w:val="Menu Options"/>
    <w:basedOn w:val="DefaultParagraphFont"/>
    <w:rsid w:val="009F4368"/>
    <w:rPr>
      <w:rFonts w:ascii="Arial Narrow" w:hAnsi="Arial Narrow"/>
      <w:smallCaps/>
    </w:rPr>
  </w:style>
  <w:style w:type="character" w:customStyle="1" w:styleId="Buttons">
    <w:name w:val="Buttons"/>
    <w:basedOn w:val="DefaultParagraphFont"/>
    <w:rsid w:val="009F4368"/>
    <w:rPr>
      <w:b/>
    </w:rPr>
  </w:style>
  <w:style w:type="character" w:customStyle="1" w:styleId="Underlined">
    <w:name w:val="Underlined"/>
    <w:basedOn w:val="DefaultParagraphFont"/>
    <w:rsid w:val="009F4368"/>
    <w:rPr>
      <w:u w:val="single"/>
    </w:rPr>
  </w:style>
  <w:style w:type="paragraph" w:customStyle="1" w:styleId="TableBodyTextRight">
    <w:name w:val="Table Body Text Right"/>
    <w:basedOn w:val="TableBodyText"/>
    <w:rsid w:val="009F4368"/>
    <w:pPr>
      <w:widowControl w:val="0"/>
      <w:autoSpaceDE w:val="0"/>
      <w:autoSpaceDN w:val="0"/>
      <w:adjustRightInd w:val="0"/>
      <w:jc w:val="right"/>
    </w:pPr>
    <w:rPr>
      <w:rFonts w:cs="Arial"/>
      <w:szCs w:val="18"/>
    </w:rPr>
  </w:style>
  <w:style w:type="paragraph" w:customStyle="1" w:styleId="CopyrightText">
    <w:name w:val="Copyright Text"/>
    <w:basedOn w:val="BodyText"/>
    <w:rsid w:val="009F4368"/>
    <w:rPr>
      <w:sz w:val="18"/>
    </w:rPr>
  </w:style>
  <w:style w:type="paragraph" w:customStyle="1" w:styleId="BodySmallRight">
    <w:name w:val="Body Small Right"/>
    <w:basedOn w:val="BodyTextRight"/>
    <w:rsid w:val="009F4368"/>
    <w:rPr>
      <w:sz w:val="18"/>
      <w:szCs w:val="18"/>
    </w:rPr>
  </w:style>
  <w:style w:type="paragraph" w:customStyle="1" w:styleId="MarginEdition">
    <w:name w:val="Margin Edition"/>
    <w:basedOn w:val="MarginNote"/>
    <w:rsid w:val="009F4368"/>
    <w:pPr>
      <w:spacing w:before="0" w:after="0"/>
    </w:pPr>
    <w:rPr>
      <w:rFonts w:ascii="Times New Roman" w:hAnsi="Times New Roman"/>
      <w:color w:val="999999"/>
    </w:rPr>
  </w:style>
  <w:style w:type="paragraph" w:customStyle="1" w:styleId="Spacer">
    <w:name w:val="Spacer"/>
    <w:basedOn w:val="Normal"/>
    <w:rsid w:val="009F4368"/>
    <w:rPr>
      <w:sz w:val="2"/>
      <w:szCs w:val="2"/>
    </w:rPr>
  </w:style>
  <w:style w:type="character" w:customStyle="1" w:styleId="Small">
    <w:name w:val="Small"/>
    <w:basedOn w:val="DefaultParagraphFont"/>
    <w:rsid w:val="009F4368"/>
    <w:rPr>
      <w:sz w:val="16"/>
    </w:rPr>
  </w:style>
  <w:style w:type="paragraph" w:customStyle="1" w:styleId="WideTable">
    <w:name w:val="Wide Table"/>
    <w:basedOn w:val="Normal"/>
    <w:rsid w:val="009F4368"/>
    <w:pPr>
      <w:ind w:left="-1418"/>
    </w:pPr>
    <w:rPr>
      <w:sz w:val="2"/>
      <w:szCs w:val="2"/>
    </w:rPr>
  </w:style>
  <w:style w:type="character" w:styleId="PageNumber">
    <w:name w:val="page number"/>
    <w:basedOn w:val="DefaultParagraphFont"/>
    <w:rsid w:val="009F4368"/>
  </w:style>
  <w:style w:type="paragraph" w:styleId="Quote">
    <w:name w:val="Quote"/>
    <w:basedOn w:val="Heading1"/>
    <w:link w:val="QuoteChar"/>
    <w:qFormat/>
    <w:rsid w:val="009F4368"/>
    <w:rPr>
      <w:b w:val="0"/>
      <w:sz w:val="72"/>
      <w:szCs w:val="72"/>
      <w:lang w:val="en-NZ"/>
    </w:rPr>
  </w:style>
  <w:style w:type="character" w:customStyle="1" w:styleId="QuoteChar">
    <w:name w:val="Quote Char"/>
    <w:basedOn w:val="DefaultParagraphFont"/>
    <w:link w:val="Quote"/>
    <w:rsid w:val="009F43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4368"/>
    <w:pPr>
      <w:pageBreakBefore/>
    </w:pPr>
  </w:style>
  <w:style w:type="paragraph" w:customStyle="1" w:styleId="Border">
    <w:name w:val="Border"/>
    <w:basedOn w:val="Normal"/>
    <w:qFormat/>
    <w:rsid w:val="009F43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4368"/>
    <w:rPr>
      <w:b/>
      <w:bCs/>
      <w:i/>
      <w:iCs/>
      <w:color w:val="auto"/>
    </w:rPr>
  </w:style>
  <w:style w:type="paragraph" w:styleId="IntenseQuote">
    <w:name w:val="Intense Quote"/>
    <w:basedOn w:val="Normal"/>
    <w:next w:val="Normal"/>
    <w:link w:val="IntenseQuoteChar"/>
    <w:uiPriority w:val="30"/>
    <w:qFormat/>
    <w:rsid w:val="009F43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43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4368"/>
    <w:rPr>
      <w:smallCaps/>
      <w:color w:val="auto"/>
      <w:u w:val="single"/>
    </w:rPr>
  </w:style>
  <w:style w:type="character" w:styleId="IntenseReference">
    <w:name w:val="Intense Reference"/>
    <w:basedOn w:val="DefaultParagraphFont"/>
    <w:uiPriority w:val="32"/>
    <w:qFormat/>
    <w:rsid w:val="009F4368"/>
    <w:rPr>
      <w:b/>
      <w:bCs/>
      <w:smallCaps/>
      <w:color w:val="auto"/>
      <w:spacing w:val="5"/>
      <w:u w:val="single"/>
    </w:rPr>
  </w:style>
  <w:style w:type="paragraph" w:customStyle="1" w:styleId="2ColumnHeading">
    <w:name w:val="2Column Heading"/>
    <w:basedOn w:val="BodyText"/>
    <w:qFormat/>
    <w:rsid w:val="009F4368"/>
    <w:pPr>
      <w:spacing w:after="60"/>
      <w:ind w:left="-2268"/>
    </w:pPr>
    <w:rPr>
      <w:b/>
    </w:rPr>
  </w:style>
  <w:style w:type="paragraph" w:customStyle="1" w:styleId="Heading1TOC">
    <w:name w:val="Heading1 TOC"/>
    <w:basedOn w:val="Normal"/>
    <w:qFormat/>
    <w:rsid w:val="009F4368"/>
    <w:pPr>
      <w:spacing w:before="240" w:after="120"/>
    </w:pPr>
    <w:rPr>
      <w:rFonts w:ascii="Times New Roman" w:hAnsi="Times New Roman"/>
      <w:b/>
      <w:sz w:val="32"/>
    </w:rPr>
  </w:style>
  <w:style w:type="paragraph" w:customStyle="1" w:styleId="Heading2TOC">
    <w:name w:val="Heading2 TOC"/>
    <w:basedOn w:val="Normal"/>
    <w:qFormat/>
    <w:rsid w:val="009F4368"/>
    <w:pPr>
      <w:spacing w:before="240" w:after="60"/>
    </w:pPr>
    <w:rPr>
      <w:rFonts w:ascii="Times New Roman" w:hAnsi="Times New Roman"/>
      <w:b/>
      <w:sz w:val="28"/>
    </w:rPr>
  </w:style>
  <w:style w:type="character" w:customStyle="1" w:styleId="Underline">
    <w:name w:val="Underline"/>
    <w:basedOn w:val="DefaultParagraphFont"/>
    <w:qFormat/>
    <w:rsid w:val="009F4368"/>
    <w:rPr>
      <w:u w:val="single"/>
    </w:rPr>
  </w:style>
  <w:style w:type="character" w:customStyle="1" w:styleId="BoldandItalics">
    <w:name w:val="Bold and Italics"/>
    <w:qFormat/>
    <w:rsid w:val="009F4368"/>
    <w:rPr>
      <w:b/>
      <w:i/>
      <w:u w:val="none"/>
    </w:rPr>
  </w:style>
  <w:style w:type="paragraph" w:styleId="BalloonText">
    <w:name w:val="Balloon Text"/>
    <w:basedOn w:val="Normal"/>
    <w:link w:val="BalloonTextChar"/>
    <w:rsid w:val="009F4368"/>
    <w:rPr>
      <w:rFonts w:ascii="Tahoma" w:hAnsi="Tahoma" w:cs="Tahoma"/>
      <w:sz w:val="16"/>
      <w:szCs w:val="16"/>
    </w:rPr>
  </w:style>
  <w:style w:type="character" w:customStyle="1" w:styleId="BalloonTextChar">
    <w:name w:val="Balloon Text Char"/>
    <w:basedOn w:val="DefaultParagraphFont"/>
    <w:link w:val="BalloonText"/>
    <w:rsid w:val="009F43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43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43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4368"/>
    <w:rPr>
      <w:b/>
      <w:color w:val="660033"/>
      <w:spacing w:val="0"/>
    </w:rPr>
  </w:style>
  <w:style w:type="paragraph" w:customStyle="1" w:styleId="Nameditemlist">
    <w:name w:val="Named item list"/>
    <w:basedOn w:val="BodyText"/>
    <w:qFormat/>
    <w:rsid w:val="009F4368"/>
    <w:pPr>
      <w:tabs>
        <w:tab w:val="left" w:pos="2835"/>
      </w:tabs>
      <w:ind w:left="2835" w:hanging="2835"/>
    </w:pPr>
  </w:style>
  <w:style w:type="paragraph" w:customStyle="1" w:styleId="BodyTextnopadding">
    <w:name w:val="Body Text no padding"/>
    <w:basedOn w:val="BodyText"/>
    <w:qFormat/>
    <w:rsid w:val="009F4368"/>
    <w:pPr>
      <w:spacing w:before="0" w:after="0"/>
    </w:pPr>
  </w:style>
  <w:style w:type="paragraph" w:customStyle="1" w:styleId="BodyTextBold">
    <w:name w:val="Body Text Bold"/>
    <w:basedOn w:val="BodyText"/>
    <w:qFormat/>
    <w:rsid w:val="009F4368"/>
    <w:rPr>
      <w:b/>
    </w:rPr>
  </w:style>
  <w:style w:type="character" w:styleId="Hyperlink">
    <w:name w:val="Hyperlink"/>
    <w:basedOn w:val="DefaultParagraphFont"/>
    <w:uiPriority w:val="99"/>
    <w:unhideWhenUsed/>
    <w:rsid w:val="001153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909</Words>
  <Characters>5760</Characters>
  <Application>Microsoft Office Word</Application>
  <DocSecurity>0</DocSecurity>
  <Lines>230</Lines>
  <Paragraphs>130</Paragraphs>
  <ScaleCrop>false</ScaleCrop>
  <Company>Author-it Software Corporation Ltd.</Company>
  <LinksUpToDate>false</LinksUpToDate>
  <CharactersWithSpaces>6539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PMASUP342 Monitor and maintain electrical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2022-09-21T04:48:00Z</dcterms:created>
  <dcterms:modified xsi:type="dcterms:W3CDTF">2022-09-21T04:48:00Z</dcterms:modified>
</cp:coreProperties>
</file>