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9235F" w:rsidP="00F9235F">
      <w:pPr>
        <w:pStyle w:val="Title"/>
      </w:pPr>
      <w:r>
        <w:fldChar w:fldCharType="begin"/>
      </w:r>
      <w:r>
        <w:instrText xml:space="preserve"> TITLE   \* MERGEFORMAT </w:instrText>
      </w:r>
      <w:r>
        <w:fldChar w:fldCharType="separate"/>
      </w:r>
      <w:r>
        <w:t>PMASUP341 Monitor and maintain instrument and control systems</w:t>
      </w:r>
      <w:r>
        <w:fldChar w:fldCharType="end"/>
      </w:r>
    </w:p>
    <w:p w:rsidR="00F9235F" w:rsidP="00F9235F">
      <w:pPr>
        <w:pStyle w:val="Version"/>
        <w:sectPr w:rsidSect="00E41C71">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41C71" w:rsidP="00E41C71">
      <w:pPr>
        <w:pStyle w:val="SuperHeading"/>
      </w:pPr>
      <w:r w:rsidRPr="00E41C71">
        <w:t>PMASUP341 Monitor and maintain instrument and control systems</w:t>
      </w:r>
    </w:p>
    <w:p w:rsidR="00000000" w:rsidRPr="00E41C71" w:rsidP="00E41C71">
      <w:pPr>
        <w:pStyle w:val="Heading1"/>
      </w:pPr>
      <w:bookmarkStart w:id="1" w:name="O_909703"/>
      <w:bookmarkEnd w:id="1"/>
      <w:r w:rsidRPr="00E41C71">
        <w:t>Modification History</w:t>
      </w:r>
    </w:p>
    <w:p w:rsidR="00000000" w:rsidRPr="00E41C71" w:rsidP="00F9235F">
      <w:pPr>
        <w:pStyle w:val="BodyText"/>
      </w:pPr>
      <w:r w:rsidRPr="00E41C71">
        <w:t>Release 1. Supersedes and is equivalent to PMASUP341B Monitor and maintain instrument and control systems</w:t>
      </w:r>
    </w:p>
    <w:p w:rsidR="00000000" w:rsidRPr="00E41C71" w:rsidP="00E41C71">
      <w:pPr>
        <w:pStyle w:val="Heading1"/>
      </w:pPr>
      <w:bookmarkStart w:id="2" w:name="O_909711"/>
      <w:bookmarkEnd w:id="2"/>
      <w:r w:rsidRPr="00E41C71">
        <w:t>Application</w:t>
      </w:r>
    </w:p>
    <w:p w:rsidR="00000000" w:rsidRPr="00E41C71" w:rsidP="00F9235F">
      <w:pPr>
        <w:pStyle w:val="BodyText"/>
      </w:pPr>
      <w:r w:rsidRPr="00E41C71">
        <w:t>This unit of c</w:t>
      </w:r>
      <w:r w:rsidRPr="00E41C71">
        <w:t xml:space="preserve">ompetency covers the skills and knowledge required to monitor and maintain instrument/electrical systems used for process measurement and control of a process. </w:t>
      </w:r>
    </w:p>
    <w:p w:rsidR="00000000" w:rsidRPr="00E41C71" w:rsidP="00F9235F">
      <w:pPr>
        <w:pStyle w:val="BodyText"/>
      </w:pPr>
      <w:r w:rsidRPr="00E41C71">
        <w:t>This unit of competency applies to process technicians and those in similar roles who are requ</w:t>
      </w:r>
      <w:r w:rsidRPr="00E41C71">
        <w:t>ired to test, repair, recommission instrumentation and control systems in the facility; issue permits to allow work to be undertaken; verify equipment operation; calibrate instrumentation; troubleshoot problems; and prepare reports related to the equipment</w:t>
      </w:r>
      <w:r w:rsidRPr="00E41C71">
        <w:t>/systems.</w:t>
      </w:r>
    </w:p>
    <w:p w:rsidR="00000000" w:rsidRPr="00E41C71" w:rsidP="00F9235F">
      <w:pPr>
        <w:pStyle w:val="BodyText"/>
      </w:pPr>
      <w:r w:rsidRPr="00E41C71">
        <w:t xml:space="preserve">This unit of competency applies to any control system/instrumentation forming part of a control system, including those for compressor systems, prime movers, valve systems and systems measuring/controlling flow, pressure or temperature. Control </w:t>
      </w:r>
      <w:r w:rsidRPr="00E41C71">
        <w:t>systems can be pneumatic, electrical/electronic, electro-pneumatic, computer-based, and so on.</w:t>
      </w:r>
    </w:p>
    <w:p w:rsidR="00000000" w:rsidRPr="00E41C71" w:rsidP="00F9235F">
      <w:pPr>
        <w:pStyle w:val="BodyText"/>
      </w:pPr>
      <w:r w:rsidRPr="00E41C71">
        <w:t>This unit of competency applies to an individual working alone or as part of a team or group and working in liaison with other shift team members and the contro</w:t>
      </w:r>
      <w:r w:rsidRPr="00E41C71">
        <w:t>l room operator, as appropriate.</w:t>
      </w:r>
    </w:p>
    <w:p w:rsidR="00000000" w:rsidRPr="00E41C71" w:rsidP="00F9235F">
      <w:pPr>
        <w:pStyle w:val="BodyText"/>
      </w:pPr>
      <w:r w:rsidRPr="00E41C71">
        <w:t>No licensing, legislative or certification requirements apply to this unit at the time of publication.</w:t>
      </w:r>
    </w:p>
    <w:p w:rsidR="00000000" w:rsidRPr="00E41C71" w:rsidP="00E41C71">
      <w:pPr>
        <w:pStyle w:val="Heading1"/>
      </w:pPr>
      <w:bookmarkStart w:id="3" w:name="O_909710"/>
      <w:bookmarkEnd w:id="3"/>
      <w:r w:rsidRPr="00E41C71">
        <w:t>Pre-requisite Unit</w:t>
      </w:r>
    </w:p>
    <w:tbl>
      <w:tblPr>
        <w:tblW w:w="0" w:type="auto"/>
        <w:tblCellMar>
          <w:left w:w="62" w:type="dxa"/>
          <w:right w:w="62" w:type="dxa"/>
        </w:tblCellMar>
        <w:tblLook w:val="0000"/>
      </w:tblPr>
      <w:tblGrid>
        <w:gridCol w:w="2163"/>
        <w:gridCol w:w="7033"/>
      </w:tblGrid>
      <w:tr w:rsidTr="00F9235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E41C71">
            <w:pPr>
              <w:pStyle w:val="BodyText"/>
              <w:rPr>
                <w:lang w:val="en-NZ"/>
              </w:rPr>
            </w:pPr>
            <w:r w:rsidRPr="00E41C71">
              <w:t>MSMPER300</w:t>
            </w:r>
          </w:p>
        </w:tc>
        <w:tc>
          <w:tcPr>
            <w:tcW w:w="0" w:type="auto"/>
            <w:tcBorders>
              <w:top w:val="nil"/>
              <w:left w:val="nil"/>
              <w:bottom w:val="nil"/>
              <w:right w:val="nil"/>
            </w:tcBorders>
            <w:tcMar>
              <w:top w:w="0" w:type="dxa"/>
              <w:left w:w="62" w:type="dxa"/>
              <w:bottom w:w="0" w:type="dxa"/>
              <w:right w:w="62" w:type="dxa"/>
            </w:tcMar>
          </w:tcPr>
          <w:p w:rsidR="00000000" w:rsidRPr="00E41C71" w:rsidP="00E41C71">
            <w:pPr>
              <w:pStyle w:val="BodyText"/>
            </w:pPr>
            <w:r w:rsidRPr="00E41C71">
              <w:t>Issue work permits</w:t>
            </w:r>
          </w:p>
        </w:tc>
      </w:tr>
    </w:tbl>
    <w:p w:rsidR="00000000" w:rsidRPr="00E41C71" w:rsidP="00E41C71">
      <w:pPr>
        <w:pStyle w:val="BodyText"/>
      </w:pPr>
    </w:p>
    <w:p w:rsidR="00000000" w:rsidRPr="00E41C71" w:rsidP="00E41C71">
      <w:pPr>
        <w:pStyle w:val="AllowPageBreak"/>
      </w:pPr>
    </w:p>
    <w:p w:rsidR="00000000" w:rsidRPr="00E41C71" w:rsidP="00E41C71">
      <w:pPr>
        <w:pStyle w:val="Heading1"/>
      </w:pPr>
      <w:bookmarkStart w:id="4" w:name="O_909709"/>
      <w:bookmarkEnd w:id="4"/>
      <w:r w:rsidRPr="00E41C71">
        <w:t>Competency Field</w:t>
      </w:r>
    </w:p>
    <w:p w:rsidR="00000000" w:rsidRPr="00E41C71" w:rsidP="00F9235F">
      <w:pPr>
        <w:pStyle w:val="BodyText"/>
      </w:pPr>
      <w:r w:rsidRPr="00E41C71">
        <w:t>Support</w:t>
      </w:r>
    </w:p>
    <w:p w:rsidR="00000000" w:rsidRPr="00E41C71" w:rsidP="00E41C71">
      <w:pPr>
        <w:pStyle w:val="Heading1"/>
      </w:pPr>
      <w:bookmarkStart w:id="5" w:name="O_909708"/>
      <w:bookmarkEnd w:id="5"/>
      <w:r w:rsidRPr="00E41C71">
        <w:t>Unit Sector</w:t>
      </w:r>
    </w:p>
    <w:p w:rsidR="00000000" w:rsidRPr="00E41C71" w:rsidP="00E41C71">
      <w:pPr>
        <w:pStyle w:val="Heading1"/>
      </w:pPr>
      <w:bookmarkStart w:id="6" w:name="O_909707"/>
      <w:bookmarkEnd w:id="6"/>
      <w:r w:rsidRPr="00E41C71">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E41C71">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E41C71">
            <w:pPr>
              <w:pStyle w:val="BodyText"/>
              <w:rPr>
                <w:lang w:val="en-NZ"/>
              </w:rPr>
            </w:pPr>
            <w:r w:rsidRPr="00E41C71">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E41C71">
            <w:pPr>
              <w:pStyle w:val="BodyText"/>
              <w:rPr>
                <w:lang w:val="en-NZ"/>
              </w:rPr>
            </w:pPr>
            <w:r w:rsidRPr="00E41C71">
              <w:t>Performance criteria describe the performance needed to demonstrate achievement of the element.</w:t>
            </w:r>
          </w:p>
        </w:tc>
      </w:tr>
      <w:tr w:rsidTr="00E41C7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E41C71" w:rsidP="00E41C71">
            <w:pPr>
              <w:pStyle w:val="BodyText"/>
            </w:pPr>
            <w:r w:rsidRPr="00E41C71">
              <w:t>1</w:t>
            </w:r>
          </w:p>
        </w:tc>
        <w:tc>
          <w:tcPr>
            <w:tcW w:w="1962" w:type="dxa"/>
            <w:vMerge w:val="restart"/>
            <w:tcBorders>
              <w:top w:val="nil"/>
              <w:left w:val="nil"/>
              <w:bottom w:val="nil"/>
              <w:right w:val="nil"/>
            </w:tcBorders>
            <w:tcMar>
              <w:top w:w="0" w:type="dxa"/>
              <w:left w:w="62" w:type="dxa"/>
              <w:bottom w:w="0" w:type="dxa"/>
              <w:right w:w="62" w:type="dxa"/>
            </w:tcMar>
          </w:tcPr>
          <w:p w:rsidR="00000000" w:rsidP="00E41C71">
            <w:pPr>
              <w:pStyle w:val="BodyText"/>
              <w:rPr>
                <w:lang w:val="en-NZ"/>
              </w:rPr>
            </w:pPr>
            <w:r w:rsidRPr="00E41C71">
              <w:rPr>
                <w:rStyle w:val="SpecialBold"/>
              </w:rPr>
              <w:t>Monitor equipment operation</w:t>
            </w:r>
          </w:p>
        </w:tc>
        <w:tc>
          <w:tcPr>
            <w:tcW w:w="770" w:type="dxa"/>
            <w:tcBorders>
              <w:top w:val="nil"/>
              <w:left w:val="nil"/>
              <w:bottom w:val="nil"/>
              <w:right w:val="nil"/>
            </w:tcBorders>
            <w:tcMar>
              <w:top w:w="0" w:type="dxa"/>
              <w:left w:w="62" w:type="dxa"/>
              <w:bottom w:w="0" w:type="dxa"/>
              <w:right w:w="62" w:type="dxa"/>
            </w:tcMar>
          </w:tcPr>
          <w:p w:rsidR="00000000" w:rsidP="00E41C71">
            <w:pPr>
              <w:pStyle w:val="BodyText"/>
              <w:rPr>
                <w:lang w:val="en-NZ"/>
              </w:rPr>
            </w:pPr>
            <w:r w:rsidRPr="00E41C71">
              <w:t>1.1</w:t>
            </w:r>
          </w:p>
        </w:tc>
        <w:tc>
          <w:tcPr>
            <w:tcW w:w="5610" w:type="dxa"/>
            <w:tcBorders>
              <w:top w:val="nil"/>
              <w:left w:val="nil"/>
              <w:bottom w:val="nil"/>
              <w:right w:val="nil"/>
            </w:tcBorders>
            <w:tcMar>
              <w:top w:w="0" w:type="dxa"/>
              <w:left w:w="62" w:type="dxa"/>
              <w:bottom w:w="0" w:type="dxa"/>
              <w:right w:w="62" w:type="dxa"/>
            </w:tcMar>
          </w:tcPr>
          <w:p w:rsidR="00000000" w:rsidP="00E41C71">
            <w:pPr>
              <w:pStyle w:val="BodyText"/>
              <w:rPr>
                <w:lang w:val="en-NZ"/>
              </w:rPr>
            </w:pPr>
            <w:r w:rsidRPr="00E41C71">
              <w:t>Monitor equ</w:t>
            </w:r>
            <w:r w:rsidRPr="00E41C71">
              <w:t>ipment operation according to instrument/electrical equipment operating principles and parameters</w:t>
            </w:r>
          </w:p>
        </w:tc>
      </w:tr>
      <w:tr w:rsidTr="00E41C7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41C71">
            <w:pPr>
              <w:pStyle w:val="BodyText"/>
              <w:rPr>
                <w:lang w:val="en-NZ"/>
              </w:rPr>
            </w:pPr>
            <w:r w:rsidRPr="00E41C71">
              <w:t>1.2</w:t>
            </w:r>
          </w:p>
        </w:tc>
        <w:tc>
          <w:tcPr>
            <w:tcW w:w="5610" w:type="dxa"/>
            <w:tcBorders>
              <w:top w:val="nil"/>
              <w:left w:val="nil"/>
              <w:bottom w:val="nil"/>
              <w:right w:val="nil"/>
            </w:tcBorders>
            <w:tcMar>
              <w:top w:w="0" w:type="dxa"/>
              <w:left w:w="62" w:type="dxa"/>
              <w:bottom w:w="0" w:type="dxa"/>
              <w:right w:w="62" w:type="dxa"/>
            </w:tcMar>
          </w:tcPr>
          <w:p w:rsidR="00000000" w:rsidP="00E41C71">
            <w:pPr>
              <w:pStyle w:val="BodyText"/>
              <w:rPr>
                <w:lang w:val="en-NZ"/>
              </w:rPr>
            </w:pPr>
            <w:r w:rsidRPr="00E41C71">
              <w:t>Access and interpret relevant technical drawings and schematics to determine system faults</w:t>
            </w:r>
          </w:p>
        </w:tc>
      </w:tr>
      <w:tr w:rsidTr="00E41C7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41C71">
            <w:pPr>
              <w:pStyle w:val="BodyText"/>
              <w:rPr>
                <w:lang w:val="en-NZ"/>
              </w:rPr>
            </w:pPr>
            <w:r w:rsidRPr="00E41C71">
              <w:t>1.3</w:t>
            </w:r>
          </w:p>
        </w:tc>
        <w:tc>
          <w:tcPr>
            <w:tcW w:w="5610" w:type="dxa"/>
            <w:tcBorders>
              <w:top w:val="nil"/>
              <w:left w:val="nil"/>
              <w:bottom w:val="nil"/>
              <w:right w:val="nil"/>
            </w:tcBorders>
            <w:tcMar>
              <w:top w:w="0" w:type="dxa"/>
              <w:left w:w="62" w:type="dxa"/>
              <w:bottom w:w="0" w:type="dxa"/>
              <w:right w:w="62" w:type="dxa"/>
            </w:tcMar>
          </w:tcPr>
          <w:p w:rsidR="00000000" w:rsidP="00E41C71">
            <w:pPr>
              <w:pStyle w:val="BodyText"/>
              <w:rPr>
                <w:lang w:val="en-NZ"/>
              </w:rPr>
            </w:pPr>
            <w:r w:rsidRPr="00E41C71">
              <w:t>Issue permit to work to allow work to be undertaken</w:t>
            </w:r>
          </w:p>
        </w:tc>
      </w:tr>
      <w:tr w:rsidTr="00E41C7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41C71">
            <w:pPr>
              <w:pStyle w:val="BodyText"/>
              <w:rPr>
                <w:lang w:val="en-NZ"/>
              </w:rPr>
            </w:pPr>
            <w:r w:rsidRPr="00E41C71">
              <w:t>1.4</w:t>
            </w:r>
          </w:p>
        </w:tc>
        <w:tc>
          <w:tcPr>
            <w:tcW w:w="5610" w:type="dxa"/>
            <w:tcBorders>
              <w:top w:val="nil"/>
              <w:left w:val="nil"/>
              <w:bottom w:val="nil"/>
              <w:right w:val="nil"/>
            </w:tcBorders>
            <w:tcMar>
              <w:top w:w="0" w:type="dxa"/>
              <w:left w:w="62" w:type="dxa"/>
              <w:bottom w:w="0" w:type="dxa"/>
              <w:right w:w="62" w:type="dxa"/>
            </w:tcMar>
          </w:tcPr>
          <w:p w:rsidR="00000000" w:rsidP="00E41C71">
            <w:pPr>
              <w:pStyle w:val="BodyText"/>
              <w:rPr>
                <w:lang w:val="en-NZ"/>
              </w:rPr>
            </w:pPr>
            <w:r w:rsidRPr="00E41C71">
              <w:t>Verify equipment operation/performance through test procedures to ensure correct operation and to confirm identified problems from other sources</w:t>
            </w:r>
          </w:p>
        </w:tc>
      </w:tr>
      <w:tr w:rsidTr="00E41C7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41C71">
            <w:pPr>
              <w:pStyle w:val="BodyText"/>
              <w:rPr>
                <w:lang w:val="en-NZ"/>
              </w:rPr>
            </w:pPr>
            <w:r w:rsidRPr="00E41C71">
              <w:t>1.5</w:t>
            </w:r>
          </w:p>
        </w:tc>
        <w:tc>
          <w:tcPr>
            <w:tcW w:w="5610" w:type="dxa"/>
            <w:tcBorders>
              <w:top w:val="nil"/>
              <w:left w:val="nil"/>
              <w:bottom w:val="nil"/>
              <w:right w:val="nil"/>
            </w:tcBorders>
            <w:tcMar>
              <w:top w:w="0" w:type="dxa"/>
              <w:left w:w="62" w:type="dxa"/>
              <w:bottom w:w="0" w:type="dxa"/>
              <w:right w:w="62" w:type="dxa"/>
            </w:tcMar>
          </w:tcPr>
          <w:p w:rsidR="00000000" w:rsidP="00E41C71">
            <w:pPr>
              <w:pStyle w:val="BodyText"/>
              <w:rPr>
                <w:lang w:val="en-NZ"/>
              </w:rPr>
            </w:pPr>
            <w:r w:rsidRPr="00E41C71">
              <w:t>Correct operational variations through calibration and adjustment</w:t>
            </w:r>
          </w:p>
        </w:tc>
      </w:tr>
      <w:tr w:rsidTr="00E41C7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41C71">
            <w:pPr>
              <w:pStyle w:val="BodyText"/>
              <w:rPr>
                <w:lang w:val="en-NZ"/>
              </w:rPr>
            </w:pPr>
            <w:r w:rsidRPr="00E41C71">
              <w:t>1.6</w:t>
            </w:r>
          </w:p>
        </w:tc>
        <w:tc>
          <w:tcPr>
            <w:tcW w:w="5610" w:type="dxa"/>
            <w:tcBorders>
              <w:top w:val="nil"/>
              <w:left w:val="nil"/>
              <w:bottom w:val="nil"/>
              <w:right w:val="nil"/>
            </w:tcBorders>
            <w:tcMar>
              <w:top w:w="0" w:type="dxa"/>
              <w:left w:w="62" w:type="dxa"/>
              <w:bottom w:w="0" w:type="dxa"/>
              <w:right w:w="62" w:type="dxa"/>
            </w:tcMar>
          </w:tcPr>
          <w:p w:rsidR="00000000" w:rsidP="00E41C71">
            <w:pPr>
              <w:pStyle w:val="BodyText"/>
              <w:rPr>
                <w:lang w:val="en-NZ"/>
              </w:rPr>
            </w:pPr>
            <w:r w:rsidRPr="00E41C71">
              <w:t>Document operational variations</w:t>
            </w:r>
          </w:p>
        </w:tc>
      </w:tr>
      <w:tr w:rsidTr="00E41C71">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E41C71">
            <w:pPr>
              <w:pStyle w:val="BodyText"/>
              <w:rPr>
                <w:lang w:val="en-NZ"/>
              </w:rPr>
            </w:pPr>
          </w:p>
        </w:tc>
      </w:tr>
      <w:tr w:rsidTr="00E41C7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E41C71" w:rsidP="00E41C71">
            <w:pPr>
              <w:pStyle w:val="BodyText"/>
            </w:pPr>
            <w:r w:rsidRPr="00E41C71">
              <w:t>2</w:t>
            </w:r>
          </w:p>
        </w:tc>
        <w:tc>
          <w:tcPr>
            <w:tcW w:w="1962" w:type="dxa"/>
            <w:vMerge w:val="restart"/>
            <w:tcBorders>
              <w:top w:val="nil"/>
              <w:left w:val="nil"/>
              <w:bottom w:val="nil"/>
              <w:right w:val="nil"/>
            </w:tcBorders>
            <w:tcMar>
              <w:top w:w="0" w:type="dxa"/>
              <w:left w:w="62" w:type="dxa"/>
              <w:bottom w:w="0" w:type="dxa"/>
              <w:right w:w="62" w:type="dxa"/>
            </w:tcMar>
          </w:tcPr>
          <w:p w:rsidR="00000000" w:rsidP="00E41C71">
            <w:pPr>
              <w:pStyle w:val="BodyText"/>
              <w:rPr>
                <w:lang w:val="en-NZ"/>
              </w:rPr>
            </w:pPr>
            <w:r w:rsidRPr="00E41C71">
              <w:rPr>
                <w:rStyle w:val="SpecialBold"/>
              </w:rPr>
              <w:t>Test/repair equipment</w:t>
            </w:r>
          </w:p>
        </w:tc>
        <w:tc>
          <w:tcPr>
            <w:tcW w:w="770" w:type="dxa"/>
            <w:tcBorders>
              <w:top w:val="nil"/>
              <w:left w:val="nil"/>
              <w:bottom w:val="nil"/>
              <w:right w:val="nil"/>
            </w:tcBorders>
            <w:tcMar>
              <w:top w:w="0" w:type="dxa"/>
              <w:left w:w="62" w:type="dxa"/>
              <w:bottom w:w="0" w:type="dxa"/>
              <w:right w:w="62" w:type="dxa"/>
            </w:tcMar>
          </w:tcPr>
          <w:p w:rsidR="00000000" w:rsidP="00E41C71">
            <w:pPr>
              <w:pStyle w:val="BodyText"/>
              <w:rPr>
                <w:lang w:val="en-NZ"/>
              </w:rPr>
            </w:pPr>
            <w:r w:rsidRPr="00E41C71">
              <w:t>2.1</w:t>
            </w:r>
          </w:p>
        </w:tc>
        <w:tc>
          <w:tcPr>
            <w:tcW w:w="5610" w:type="dxa"/>
            <w:tcBorders>
              <w:top w:val="nil"/>
              <w:left w:val="nil"/>
              <w:bottom w:val="nil"/>
              <w:right w:val="nil"/>
            </w:tcBorders>
            <w:tcMar>
              <w:top w:w="0" w:type="dxa"/>
              <w:left w:w="62" w:type="dxa"/>
              <w:bottom w:w="0" w:type="dxa"/>
              <w:right w:w="62" w:type="dxa"/>
            </w:tcMar>
          </w:tcPr>
          <w:p w:rsidR="00000000" w:rsidP="00E41C71">
            <w:pPr>
              <w:pStyle w:val="BodyText"/>
              <w:rPr>
                <w:lang w:val="en-NZ"/>
              </w:rPr>
            </w:pPr>
            <w:r w:rsidRPr="00E41C71">
              <w:t>Verify equipment is operating correctly and document test results</w:t>
            </w:r>
          </w:p>
        </w:tc>
      </w:tr>
      <w:tr w:rsidTr="00E41C7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41C71">
            <w:pPr>
              <w:pStyle w:val="BodyText"/>
              <w:rPr>
                <w:lang w:val="en-NZ"/>
              </w:rPr>
            </w:pPr>
            <w:r w:rsidRPr="00E41C71">
              <w:t>2.2</w:t>
            </w:r>
          </w:p>
        </w:tc>
        <w:tc>
          <w:tcPr>
            <w:tcW w:w="5610" w:type="dxa"/>
            <w:tcBorders>
              <w:top w:val="nil"/>
              <w:left w:val="nil"/>
              <w:bottom w:val="nil"/>
              <w:right w:val="nil"/>
            </w:tcBorders>
            <w:tcMar>
              <w:top w:w="0" w:type="dxa"/>
              <w:left w:w="62" w:type="dxa"/>
              <w:bottom w:w="0" w:type="dxa"/>
              <w:right w:w="62" w:type="dxa"/>
            </w:tcMar>
          </w:tcPr>
          <w:p w:rsidR="00000000" w:rsidP="00E41C71">
            <w:pPr>
              <w:pStyle w:val="BodyText"/>
              <w:rPr>
                <w:lang w:val="en-NZ"/>
              </w:rPr>
            </w:pPr>
            <w:r w:rsidRPr="00E41C71">
              <w:t>Apply appropriate troubleshooting techniques to determine the cause of operational faults</w:t>
            </w:r>
          </w:p>
        </w:tc>
      </w:tr>
      <w:tr w:rsidTr="00E41C7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41C71">
            <w:pPr>
              <w:pStyle w:val="BodyText"/>
              <w:rPr>
                <w:lang w:val="en-NZ"/>
              </w:rPr>
            </w:pPr>
            <w:r w:rsidRPr="00E41C71">
              <w:t>2.3</w:t>
            </w:r>
          </w:p>
        </w:tc>
        <w:tc>
          <w:tcPr>
            <w:tcW w:w="5610" w:type="dxa"/>
            <w:tcBorders>
              <w:top w:val="nil"/>
              <w:left w:val="nil"/>
              <w:bottom w:val="nil"/>
              <w:right w:val="nil"/>
            </w:tcBorders>
            <w:tcMar>
              <w:top w:w="0" w:type="dxa"/>
              <w:left w:w="62" w:type="dxa"/>
              <w:bottom w:w="0" w:type="dxa"/>
              <w:right w:w="62" w:type="dxa"/>
            </w:tcMar>
          </w:tcPr>
          <w:p w:rsidR="00000000" w:rsidP="00E41C71">
            <w:pPr>
              <w:pStyle w:val="BodyText"/>
              <w:rPr>
                <w:lang w:val="en-NZ"/>
              </w:rPr>
            </w:pPr>
            <w:r w:rsidRPr="00E41C71">
              <w:t>Rectify operational faults through the application of relevant maintenance procedures</w:t>
            </w:r>
          </w:p>
        </w:tc>
      </w:tr>
      <w:tr w:rsidTr="00E41C7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41C71">
            <w:pPr>
              <w:pStyle w:val="BodyText"/>
              <w:rPr>
                <w:lang w:val="en-NZ"/>
              </w:rPr>
            </w:pPr>
            <w:r w:rsidRPr="00E41C71">
              <w:t>2.4</w:t>
            </w:r>
          </w:p>
        </w:tc>
        <w:tc>
          <w:tcPr>
            <w:tcW w:w="5610" w:type="dxa"/>
            <w:tcBorders>
              <w:top w:val="nil"/>
              <w:left w:val="nil"/>
              <w:bottom w:val="nil"/>
              <w:right w:val="nil"/>
            </w:tcBorders>
            <w:tcMar>
              <w:top w:w="0" w:type="dxa"/>
              <w:left w:w="62" w:type="dxa"/>
              <w:bottom w:w="0" w:type="dxa"/>
              <w:right w:w="62" w:type="dxa"/>
            </w:tcMar>
          </w:tcPr>
          <w:p w:rsidR="00000000" w:rsidP="00E41C71">
            <w:pPr>
              <w:pStyle w:val="BodyText"/>
              <w:rPr>
                <w:lang w:val="en-NZ"/>
              </w:rPr>
            </w:pPr>
            <w:r w:rsidRPr="00E41C71">
              <w:t>Isolate, remove and dispose of faulty equipment, and install new equipment</w:t>
            </w:r>
          </w:p>
        </w:tc>
      </w:tr>
      <w:tr w:rsidTr="00E41C7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41C71">
            <w:pPr>
              <w:pStyle w:val="BodyText"/>
              <w:rPr>
                <w:lang w:val="en-NZ"/>
              </w:rPr>
            </w:pPr>
            <w:r w:rsidRPr="00E41C71">
              <w:t>2.5</w:t>
            </w:r>
          </w:p>
        </w:tc>
        <w:tc>
          <w:tcPr>
            <w:tcW w:w="5610" w:type="dxa"/>
            <w:tcBorders>
              <w:top w:val="nil"/>
              <w:left w:val="nil"/>
              <w:bottom w:val="nil"/>
              <w:right w:val="nil"/>
            </w:tcBorders>
            <w:tcMar>
              <w:top w:w="0" w:type="dxa"/>
              <w:left w:w="62" w:type="dxa"/>
              <w:bottom w:w="0" w:type="dxa"/>
              <w:right w:w="62" w:type="dxa"/>
            </w:tcMar>
          </w:tcPr>
          <w:p w:rsidR="00000000" w:rsidP="00E41C71">
            <w:pPr>
              <w:pStyle w:val="BodyText"/>
              <w:rPr>
                <w:lang w:val="en-NZ"/>
              </w:rPr>
            </w:pPr>
            <w:r w:rsidRPr="00E41C71">
              <w:t xml:space="preserve">Verify the performance of newly installed equipment to ensure it meets required </w:t>
            </w:r>
            <w:r w:rsidRPr="00E41C71">
              <w:t>operational parameters and conditions</w:t>
            </w:r>
          </w:p>
        </w:tc>
      </w:tr>
      <w:tr w:rsidTr="00E41C7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41C71">
            <w:pPr>
              <w:pStyle w:val="BodyText"/>
              <w:rPr>
                <w:lang w:val="en-NZ"/>
              </w:rPr>
            </w:pPr>
            <w:r w:rsidRPr="00E41C71">
              <w:t>2.6</w:t>
            </w:r>
          </w:p>
        </w:tc>
        <w:tc>
          <w:tcPr>
            <w:tcW w:w="5610" w:type="dxa"/>
            <w:tcBorders>
              <w:top w:val="nil"/>
              <w:left w:val="nil"/>
              <w:bottom w:val="nil"/>
              <w:right w:val="nil"/>
            </w:tcBorders>
            <w:tcMar>
              <w:top w:w="0" w:type="dxa"/>
              <w:left w:w="62" w:type="dxa"/>
              <w:bottom w:w="0" w:type="dxa"/>
              <w:right w:w="62" w:type="dxa"/>
            </w:tcMar>
          </w:tcPr>
          <w:p w:rsidR="00000000" w:rsidP="00E41C71">
            <w:pPr>
              <w:pStyle w:val="BodyText"/>
              <w:rPr>
                <w:lang w:val="en-NZ"/>
              </w:rPr>
            </w:pPr>
            <w:r w:rsidRPr="00E41C71">
              <w:t>Record all repairs/installations to provide historical records of the condition of system equipment</w:t>
            </w:r>
          </w:p>
        </w:tc>
      </w:tr>
      <w:tr w:rsidTr="00E41C71">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E41C71">
            <w:pPr>
              <w:pStyle w:val="BodyText"/>
              <w:rPr>
                <w:lang w:val="en-NZ"/>
              </w:rPr>
            </w:pPr>
          </w:p>
        </w:tc>
      </w:tr>
      <w:tr w:rsidTr="00E41C7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E41C71" w:rsidP="00E41C71">
            <w:pPr>
              <w:pStyle w:val="BodyText"/>
            </w:pPr>
            <w:r w:rsidRPr="00E41C71">
              <w:t>3</w:t>
            </w:r>
          </w:p>
        </w:tc>
        <w:tc>
          <w:tcPr>
            <w:tcW w:w="1962" w:type="dxa"/>
            <w:vMerge w:val="restart"/>
            <w:tcBorders>
              <w:top w:val="nil"/>
              <w:left w:val="nil"/>
              <w:bottom w:val="nil"/>
              <w:right w:val="nil"/>
            </w:tcBorders>
            <w:tcMar>
              <w:top w:w="0" w:type="dxa"/>
              <w:left w:w="62" w:type="dxa"/>
              <w:bottom w:w="0" w:type="dxa"/>
              <w:right w:w="62" w:type="dxa"/>
            </w:tcMar>
          </w:tcPr>
          <w:p w:rsidR="00000000" w:rsidP="00E41C71">
            <w:pPr>
              <w:pStyle w:val="BodyText"/>
              <w:rPr>
                <w:lang w:val="en-NZ"/>
              </w:rPr>
            </w:pPr>
            <w:r w:rsidRPr="00E41C71">
              <w:rPr>
                <w:rStyle w:val="SpecialBold"/>
              </w:rPr>
              <w:t xml:space="preserve">Recommission </w:t>
            </w:r>
            <w:r w:rsidRPr="00E41C71">
              <w:rPr>
                <w:rStyle w:val="SpecialBold"/>
              </w:rPr>
              <w:t>systems and equipment</w:t>
            </w:r>
          </w:p>
        </w:tc>
        <w:tc>
          <w:tcPr>
            <w:tcW w:w="770" w:type="dxa"/>
            <w:tcBorders>
              <w:top w:val="nil"/>
              <w:left w:val="nil"/>
              <w:bottom w:val="nil"/>
              <w:right w:val="nil"/>
            </w:tcBorders>
            <w:tcMar>
              <w:top w:w="0" w:type="dxa"/>
              <w:left w:w="62" w:type="dxa"/>
              <w:bottom w:w="0" w:type="dxa"/>
              <w:right w:w="62" w:type="dxa"/>
            </w:tcMar>
          </w:tcPr>
          <w:p w:rsidR="00000000" w:rsidP="00E41C71">
            <w:pPr>
              <w:pStyle w:val="BodyText"/>
              <w:rPr>
                <w:lang w:val="en-NZ"/>
              </w:rPr>
            </w:pPr>
            <w:r w:rsidRPr="00E41C71">
              <w:t>3.1</w:t>
            </w:r>
          </w:p>
        </w:tc>
        <w:tc>
          <w:tcPr>
            <w:tcW w:w="5610" w:type="dxa"/>
            <w:tcBorders>
              <w:top w:val="nil"/>
              <w:left w:val="nil"/>
              <w:bottom w:val="nil"/>
              <w:right w:val="nil"/>
            </w:tcBorders>
            <w:tcMar>
              <w:top w:w="0" w:type="dxa"/>
              <w:left w:w="62" w:type="dxa"/>
              <w:bottom w:w="0" w:type="dxa"/>
              <w:right w:w="62" w:type="dxa"/>
            </w:tcMar>
          </w:tcPr>
          <w:p w:rsidR="00000000" w:rsidP="00E41C71">
            <w:pPr>
              <w:pStyle w:val="BodyText"/>
              <w:rPr>
                <w:lang w:val="en-NZ"/>
              </w:rPr>
            </w:pPr>
            <w:r w:rsidRPr="00E41C71">
              <w:t>Recommission repaired/installed equipment to onl</w:t>
            </w:r>
            <w:r w:rsidRPr="00E41C71">
              <w:t xml:space="preserve">ine </w:t>
            </w:r>
            <w:r w:rsidRPr="00E41C71">
              <w:t>operation in the correct sequence at the required operational parameters</w:t>
            </w:r>
          </w:p>
        </w:tc>
      </w:tr>
      <w:tr w:rsidTr="00E41C7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41C71">
            <w:pPr>
              <w:pStyle w:val="BodyText"/>
              <w:rPr>
                <w:lang w:val="en-NZ"/>
              </w:rPr>
            </w:pPr>
            <w:r w:rsidRPr="00E41C71">
              <w:t>3.2</w:t>
            </w:r>
          </w:p>
        </w:tc>
        <w:tc>
          <w:tcPr>
            <w:tcW w:w="5610" w:type="dxa"/>
            <w:tcBorders>
              <w:top w:val="nil"/>
              <w:left w:val="nil"/>
              <w:bottom w:val="nil"/>
              <w:right w:val="nil"/>
            </w:tcBorders>
            <w:tcMar>
              <w:top w:w="0" w:type="dxa"/>
              <w:left w:w="62" w:type="dxa"/>
              <w:bottom w:w="0" w:type="dxa"/>
              <w:right w:w="62" w:type="dxa"/>
            </w:tcMar>
          </w:tcPr>
          <w:p w:rsidR="00000000" w:rsidP="00E41C71">
            <w:pPr>
              <w:pStyle w:val="BodyText"/>
              <w:rPr>
                <w:lang w:val="en-NZ"/>
              </w:rPr>
            </w:pPr>
            <w:r w:rsidRPr="00E41C71">
              <w:t>Monitor or activate systems to ensure they are operating both safely and effectively</w:t>
            </w:r>
          </w:p>
        </w:tc>
      </w:tr>
      <w:tr w:rsidTr="00E41C7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41C71">
            <w:pPr>
              <w:pStyle w:val="BodyText"/>
              <w:rPr>
                <w:lang w:val="en-NZ"/>
              </w:rPr>
            </w:pPr>
            <w:r w:rsidRPr="00E41C71">
              <w:t>3.3</w:t>
            </w:r>
          </w:p>
        </w:tc>
        <w:tc>
          <w:tcPr>
            <w:tcW w:w="5610" w:type="dxa"/>
            <w:tcBorders>
              <w:top w:val="nil"/>
              <w:left w:val="nil"/>
              <w:bottom w:val="nil"/>
              <w:right w:val="nil"/>
            </w:tcBorders>
            <w:tcMar>
              <w:top w:w="0" w:type="dxa"/>
              <w:left w:w="62" w:type="dxa"/>
              <w:bottom w:w="0" w:type="dxa"/>
              <w:right w:w="62" w:type="dxa"/>
            </w:tcMar>
          </w:tcPr>
          <w:p w:rsidR="00000000" w:rsidP="00E41C71">
            <w:pPr>
              <w:pStyle w:val="BodyText"/>
              <w:rPr>
                <w:lang w:val="en-NZ"/>
              </w:rPr>
            </w:pPr>
            <w:r w:rsidRPr="00E41C71">
              <w:t>Close out permit to work and restore site/system to normal operation</w:t>
            </w:r>
          </w:p>
        </w:tc>
      </w:tr>
      <w:tr w:rsidTr="00E41C71">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E41C71">
            <w:pPr>
              <w:pStyle w:val="BodyText"/>
              <w:rPr>
                <w:lang w:val="en-NZ"/>
              </w:rPr>
            </w:pPr>
          </w:p>
        </w:tc>
      </w:tr>
      <w:tr w:rsidTr="00E41C7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E41C71" w:rsidP="00E41C71">
            <w:pPr>
              <w:pStyle w:val="BodyText"/>
            </w:pPr>
            <w:r w:rsidRPr="00E41C71">
              <w:t>4</w:t>
            </w:r>
          </w:p>
        </w:tc>
        <w:tc>
          <w:tcPr>
            <w:tcW w:w="1962" w:type="dxa"/>
            <w:vMerge w:val="restart"/>
            <w:tcBorders>
              <w:top w:val="nil"/>
              <w:left w:val="nil"/>
              <w:bottom w:val="nil"/>
              <w:right w:val="nil"/>
            </w:tcBorders>
            <w:tcMar>
              <w:top w:w="0" w:type="dxa"/>
              <w:left w:w="62" w:type="dxa"/>
              <w:bottom w:w="0" w:type="dxa"/>
              <w:right w:w="62" w:type="dxa"/>
            </w:tcMar>
          </w:tcPr>
          <w:p w:rsidR="00000000" w:rsidP="00E41C71">
            <w:pPr>
              <w:pStyle w:val="BodyText"/>
              <w:rPr>
                <w:lang w:val="en-NZ"/>
              </w:rPr>
            </w:pPr>
            <w:r w:rsidRPr="00E41C71">
              <w:rPr>
                <w:rStyle w:val="SpecialBold"/>
              </w:rPr>
              <w:t>Compile and analyse reports</w:t>
            </w:r>
          </w:p>
        </w:tc>
        <w:tc>
          <w:tcPr>
            <w:tcW w:w="770" w:type="dxa"/>
            <w:tcBorders>
              <w:top w:val="nil"/>
              <w:left w:val="nil"/>
              <w:bottom w:val="nil"/>
              <w:right w:val="nil"/>
            </w:tcBorders>
            <w:tcMar>
              <w:top w:w="0" w:type="dxa"/>
              <w:left w:w="62" w:type="dxa"/>
              <w:bottom w:w="0" w:type="dxa"/>
              <w:right w:w="62" w:type="dxa"/>
            </w:tcMar>
          </w:tcPr>
          <w:p w:rsidR="00000000" w:rsidP="00E41C71">
            <w:pPr>
              <w:pStyle w:val="BodyText"/>
              <w:rPr>
                <w:lang w:val="en-NZ"/>
              </w:rPr>
            </w:pPr>
            <w:r w:rsidRPr="00E41C71">
              <w:t>4.1</w:t>
            </w:r>
          </w:p>
        </w:tc>
        <w:tc>
          <w:tcPr>
            <w:tcW w:w="5610" w:type="dxa"/>
            <w:tcBorders>
              <w:top w:val="nil"/>
              <w:left w:val="nil"/>
              <w:bottom w:val="nil"/>
              <w:right w:val="nil"/>
            </w:tcBorders>
            <w:tcMar>
              <w:top w:w="0" w:type="dxa"/>
              <w:left w:w="62" w:type="dxa"/>
              <w:bottom w:w="0" w:type="dxa"/>
              <w:right w:w="62" w:type="dxa"/>
            </w:tcMar>
          </w:tcPr>
          <w:p w:rsidR="00000000" w:rsidP="00E41C71">
            <w:pPr>
              <w:pStyle w:val="BodyText"/>
              <w:rPr>
                <w:lang w:val="en-NZ"/>
              </w:rPr>
            </w:pPr>
            <w:r w:rsidRPr="00E41C71">
              <w:t>Collect information concerning deviations/repaired equipment and put into accepted reporting format</w:t>
            </w:r>
          </w:p>
        </w:tc>
      </w:tr>
      <w:tr w:rsidTr="00E41C7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41C71">
            <w:pPr>
              <w:pStyle w:val="BodyText"/>
              <w:rPr>
                <w:lang w:val="en-NZ"/>
              </w:rPr>
            </w:pPr>
            <w:r w:rsidRPr="00E41C71">
              <w:t>4.2</w:t>
            </w:r>
          </w:p>
        </w:tc>
        <w:tc>
          <w:tcPr>
            <w:tcW w:w="5610" w:type="dxa"/>
            <w:tcBorders>
              <w:top w:val="nil"/>
              <w:left w:val="nil"/>
              <w:bottom w:val="nil"/>
              <w:right w:val="nil"/>
            </w:tcBorders>
            <w:tcMar>
              <w:top w:w="0" w:type="dxa"/>
              <w:left w:w="62" w:type="dxa"/>
              <w:bottom w:w="0" w:type="dxa"/>
              <w:right w:w="62" w:type="dxa"/>
            </w:tcMar>
          </w:tcPr>
          <w:p w:rsidR="00000000" w:rsidP="00E41C71">
            <w:pPr>
              <w:pStyle w:val="BodyText"/>
              <w:rPr>
                <w:lang w:val="en-NZ"/>
              </w:rPr>
            </w:pPr>
            <w:r w:rsidRPr="00E41C71">
              <w:t>Compile reports ensuring they provide an accurate and ongoing record of deviations in pipeline processes and a curren</w:t>
            </w:r>
            <w:r w:rsidRPr="00E41C71">
              <w:t>t record of pipeline and equipment trends</w:t>
            </w:r>
          </w:p>
        </w:tc>
      </w:tr>
      <w:tr w:rsidTr="00E41C7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41C71">
            <w:pPr>
              <w:pStyle w:val="BodyText"/>
              <w:rPr>
                <w:lang w:val="en-NZ"/>
              </w:rPr>
            </w:pPr>
            <w:r w:rsidRPr="00E41C71">
              <w:t>4.3</w:t>
            </w:r>
          </w:p>
        </w:tc>
        <w:tc>
          <w:tcPr>
            <w:tcW w:w="5610" w:type="dxa"/>
            <w:tcBorders>
              <w:top w:val="nil"/>
              <w:left w:val="nil"/>
              <w:bottom w:val="nil"/>
              <w:right w:val="nil"/>
            </w:tcBorders>
            <w:tcMar>
              <w:top w:w="0" w:type="dxa"/>
              <w:left w:w="62" w:type="dxa"/>
              <w:bottom w:w="0" w:type="dxa"/>
              <w:right w:w="62" w:type="dxa"/>
            </w:tcMar>
          </w:tcPr>
          <w:p w:rsidR="00000000" w:rsidRPr="00E41C71" w:rsidP="00E41C71">
            <w:pPr>
              <w:pStyle w:val="BodyText"/>
            </w:pPr>
            <w:r w:rsidRPr="00E41C71">
              <w:t>Utilise information or reports for short and long-term deviation control planning</w:t>
            </w:r>
          </w:p>
        </w:tc>
      </w:tr>
    </w:tbl>
    <w:p w:rsidR="00000000" w:rsidRPr="00E41C71" w:rsidP="00E41C71">
      <w:pPr>
        <w:pStyle w:val="BodyText"/>
      </w:pPr>
    </w:p>
    <w:p w:rsidR="00000000" w:rsidRPr="00E41C71" w:rsidP="00E41C71">
      <w:pPr>
        <w:pStyle w:val="AllowPageBreak"/>
      </w:pPr>
    </w:p>
    <w:p w:rsidR="00000000" w:rsidRPr="00E41C71" w:rsidP="00E41C71">
      <w:pPr>
        <w:pStyle w:val="Heading1"/>
      </w:pPr>
      <w:bookmarkStart w:id="7" w:name="O_909706"/>
      <w:bookmarkEnd w:id="7"/>
      <w:r w:rsidRPr="00E41C71">
        <w:t>Foundation Skills</w:t>
      </w:r>
    </w:p>
    <w:p w:rsidR="00000000" w:rsidRPr="00E41C71" w:rsidP="00F9235F">
      <w:pPr>
        <w:pStyle w:val="BodyText"/>
      </w:pPr>
      <w:r w:rsidRPr="00E41C71">
        <w:t>This section describes those language, literacy, numeracy and employment skills that are essential to performance.</w:t>
      </w:r>
    </w:p>
    <w:p w:rsidR="00000000" w:rsidRPr="00E41C71" w:rsidP="00F9235F">
      <w:pPr>
        <w:pStyle w:val="BodyText"/>
      </w:pPr>
      <w:r w:rsidRPr="00E41C71">
        <w:t>Foundation skills essential to performance are explicit in the performance criteria of this unit of competency.</w:t>
      </w:r>
    </w:p>
    <w:p w:rsidR="00000000" w:rsidRPr="00E41C71" w:rsidP="00E41C71">
      <w:pPr>
        <w:pStyle w:val="Heading1"/>
      </w:pPr>
      <w:bookmarkStart w:id="8" w:name="O_909705"/>
      <w:bookmarkEnd w:id="8"/>
      <w:r w:rsidRPr="00E41C71">
        <w:t>Range of Co</w:t>
      </w:r>
      <w:r w:rsidRPr="00E41C71">
        <w:t>nditions</w:t>
      </w:r>
    </w:p>
    <w:tbl>
      <w:tblPr>
        <w:tblW w:w="0" w:type="auto"/>
        <w:tblCellMar>
          <w:left w:w="62" w:type="dxa"/>
          <w:right w:w="62" w:type="dxa"/>
        </w:tblCellMar>
        <w:tblLook w:val="0000"/>
      </w:tblPr>
      <w:tblGrid>
        <w:gridCol w:w="2163"/>
        <w:gridCol w:w="7033"/>
      </w:tblGrid>
      <w:tr w:rsidTr="00F9235F">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E41C71">
            <w:pPr>
              <w:pStyle w:val="BodyText"/>
              <w:rPr>
                <w:lang w:val="en-NZ"/>
              </w:rPr>
            </w:pPr>
            <w:r w:rsidRPr="00E41C71">
              <w:t>This field allows for different work environments and conditions that may affect performance. Essential operating conditions that may be present (depending on the work situation, needs of the candidate, accessibility of the item, and local industr</w:t>
            </w:r>
            <w:r w:rsidRPr="00E41C71">
              <w:t>y and regional contexts) are included.</w:t>
            </w:r>
          </w:p>
        </w:tc>
      </w:tr>
      <w:tr w:rsidTr="00F9235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E41C71">
            <w:pPr>
              <w:pStyle w:val="BodyText"/>
              <w:rPr>
                <w:lang w:val="en-NZ"/>
              </w:rPr>
            </w:pPr>
            <w:r w:rsidRPr="00E41C71">
              <w:rPr>
                <w:rStyle w:val="SpecialBold"/>
              </w:rPr>
              <w:t xml:space="preserve">Regulatory framework </w:t>
            </w:r>
          </w:p>
        </w:tc>
        <w:tc>
          <w:tcPr>
            <w:tcW w:w="0" w:type="auto"/>
            <w:tcBorders>
              <w:top w:val="nil"/>
              <w:left w:val="nil"/>
              <w:bottom w:val="nil"/>
              <w:right w:val="nil"/>
            </w:tcBorders>
            <w:tcMar>
              <w:top w:w="0" w:type="dxa"/>
              <w:left w:w="62" w:type="dxa"/>
              <w:bottom w:w="0" w:type="dxa"/>
              <w:right w:w="62" w:type="dxa"/>
            </w:tcMar>
          </w:tcPr>
          <w:p w:rsidR="00000000" w:rsidRPr="00E41C71" w:rsidP="00E41C71">
            <w:pPr>
              <w:pStyle w:val="BodyText"/>
            </w:pPr>
            <w:r w:rsidRPr="00E41C71">
              <w:t xml:space="preserve">The latest version of all legislation, regulations, industry codes of practice and Australian/international standards, or the version specified </w:t>
            </w:r>
            <w:r w:rsidRPr="00E41C71">
              <w:t>by the local regulatory authority, must be used, and include one or more of the following:</w:t>
            </w:r>
          </w:p>
          <w:p w:rsidR="00000000" w:rsidRPr="00E41C71" w:rsidP="00E41C71">
            <w:pPr>
              <w:pStyle w:val="ListBullet"/>
            </w:pPr>
            <w:r w:rsidRPr="00E41C71">
              <w:t>legislative requirements, including work health and safety (WHS)</w:t>
            </w:r>
          </w:p>
          <w:p w:rsidR="00000000" w:rsidRPr="00E41C71" w:rsidP="00E41C71">
            <w:pPr>
              <w:pStyle w:val="ListBullet"/>
            </w:pPr>
            <w:r w:rsidRPr="00E41C71">
              <w:t>industry codes of practice and guidelines</w:t>
            </w:r>
          </w:p>
          <w:p w:rsidR="00000000" w:rsidRPr="00E41C71" w:rsidP="00E41C71">
            <w:pPr>
              <w:pStyle w:val="ListBullet"/>
            </w:pPr>
            <w:r w:rsidRPr="00E41C71">
              <w:t xml:space="preserve">environmental regulations and guidelines </w:t>
            </w:r>
          </w:p>
          <w:p w:rsidR="00000000" w:rsidRPr="00E41C71" w:rsidP="00E41C71">
            <w:pPr>
              <w:pStyle w:val="ListBullet"/>
            </w:pPr>
            <w:r w:rsidRPr="00E41C71">
              <w:t xml:space="preserve">Australian and </w:t>
            </w:r>
            <w:r w:rsidRPr="00E41C71">
              <w:t>other standards</w:t>
            </w:r>
          </w:p>
          <w:p w:rsidR="00000000" w:rsidRPr="00E41C71" w:rsidP="00E41C71">
            <w:pPr>
              <w:pStyle w:val="ListBullet"/>
            </w:pPr>
            <w:r w:rsidRPr="00E41C71">
              <w:t xml:space="preserve">licence and certification requirements </w:t>
            </w:r>
          </w:p>
          <w:p w:rsidR="00000000" w:rsidRPr="00E41C71" w:rsidP="00E41C71">
            <w:pPr>
              <w:pStyle w:val="BodyText"/>
            </w:pPr>
          </w:p>
          <w:p w:rsidR="00000000" w:rsidRPr="00E41C71" w:rsidP="00E41C71">
            <w:pPr>
              <w:pStyle w:val="BodyText"/>
            </w:pPr>
            <w:r w:rsidRPr="00E41C71">
              <w:t>All operations to which this unit applies are subject to stringent health, safety and environment (HSE) requirements, which may be imposed through state/territory or federal legislation, and these mu</w:t>
            </w:r>
            <w:r w:rsidRPr="00E41C71">
              <w:t>st not be compromised at any time. Where there is an apparent conflict between performance criteria and HSE requirements, the HSE requirements take precedence.</w:t>
            </w:r>
          </w:p>
          <w:p w:rsidR="00000000" w:rsidP="00E41C71">
            <w:pPr>
              <w:pStyle w:val="BodyText"/>
              <w:rPr>
                <w:lang w:val="en-NZ"/>
              </w:rPr>
            </w:pPr>
          </w:p>
        </w:tc>
      </w:tr>
      <w:tr w:rsidTr="00F9235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E41C71">
            <w:pPr>
              <w:pStyle w:val="BodyText"/>
              <w:rPr>
                <w:lang w:val="en-NZ"/>
              </w:rPr>
            </w:pPr>
            <w:r w:rsidRPr="00E41C71">
              <w:rPr>
                <w:rStyle w:val="SpecialBold"/>
              </w:rPr>
              <w:t>Procedures</w:t>
            </w:r>
          </w:p>
        </w:tc>
        <w:tc>
          <w:tcPr>
            <w:tcW w:w="0" w:type="auto"/>
            <w:tcBorders>
              <w:top w:val="nil"/>
              <w:left w:val="nil"/>
              <w:bottom w:val="nil"/>
              <w:right w:val="nil"/>
            </w:tcBorders>
            <w:tcMar>
              <w:top w:w="0" w:type="dxa"/>
              <w:left w:w="62" w:type="dxa"/>
              <w:bottom w:w="0" w:type="dxa"/>
              <w:right w:w="62" w:type="dxa"/>
            </w:tcMar>
          </w:tcPr>
          <w:p w:rsidR="00000000" w:rsidRPr="00E41C71" w:rsidP="00E41C71">
            <w:pPr>
              <w:pStyle w:val="BodyText"/>
            </w:pPr>
            <w:r w:rsidRPr="00E41C71">
              <w:t>All operations must be performed in accordance with relevant procedures.</w:t>
            </w:r>
          </w:p>
          <w:p w:rsidR="00000000" w:rsidRPr="00E41C71" w:rsidP="00E41C71">
            <w:pPr>
              <w:pStyle w:val="BodyText"/>
            </w:pPr>
          </w:p>
          <w:p w:rsidR="00000000" w:rsidRPr="00E41C71" w:rsidP="00E41C71">
            <w:pPr>
              <w:pStyle w:val="BodyText"/>
            </w:pPr>
            <w:r w:rsidRPr="00E41C71">
              <w:t>Procedures are written, verbal, visual, computer-based or in some other form, include one or more of the following:</w:t>
            </w:r>
          </w:p>
          <w:p w:rsidR="00000000" w:rsidRPr="00E41C71" w:rsidP="00E41C71">
            <w:pPr>
              <w:pStyle w:val="ListBullet"/>
            </w:pPr>
            <w:r w:rsidRPr="00E41C71">
              <w:t>emergency procedures</w:t>
            </w:r>
          </w:p>
          <w:p w:rsidR="00000000" w:rsidRPr="00E41C71" w:rsidP="00E41C71">
            <w:pPr>
              <w:pStyle w:val="ListBullet"/>
            </w:pPr>
            <w:r w:rsidRPr="00E41C71">
              <w:t>work instructions</w:t>
            </w:r>
          </w:p>
          <w:p w:rsidR="00000000" w:rsidRPr="00E41C71" w:rsidP="00E41C71">
            <w:pPr>
              <w:pStyle w:val="ListBullet"/>
            </w:pPr>
            <w:r w:rsidRPr="00E41C71">
              <w:t>standard operating procedures (SOPs)</w:t>
            </w:r>
          </w:p>
          <w:p w:rsidR="00000000" w:rsidRPr="00E41C71" w:rsidP="00E41C71">
            <w:pPr>
              <w:pStyle w:val="ListBullet"/>
            </w:pPr>
            <w:r w:rsidRPr="00E41C71">
              <w:t>safe work method statements (SWMS)</w:t>
            </w:r>
          </w:p>
          <w:p w:rsidR="00000000" w:rsidRPr="00E41C71" w:rsidP="00E41C71">
            <w:pPr>
              <w:pStyle w:val="ListBullet"/>
            </w:pPr>
            <w:r w:rsidRPr="00E41C71">
              <w:t>formulas/recipes</w:t>
            </w:r>
          </w:p>
          <w:p w:rsidR="00000000" w:rsidRPr="00E41C71" w:rsidP="00E41C71">
            <w:pPr>
              <w:pStyle w:val="ListBullet"/>
            </w:pPr>
            <w:r w:rsidRPr="00E41C71">
              <w:t>batch sheet</w:t>
            </w:r>
            <w:r w:rsidRPr="00E41C71">
              <w:t>s</w:t>
            </w:r>
          </w:p>
          <w:p w:rsidR="00000000" w:rsidRPr="00E41C71" w:rsidP="00E41C71">
            <w:pPr>
              <w:pStyle w:val="ListBullet"/>
            </w:pPr>
            <w:r w:rsidRPr="00E41C71">
              <w:t>temporary instructions</w:t>
            </w:r>
          </w:p>
          <w:p w:rsidR="00000000" w:rsidRPr="00E41C71" w:rsidP="00E41C71">
            <w:pPr>
              <w:pStyle w:val="ListBullet"/>
            </w:pPr>
            <w:r w:rsidRPr="00E41C71">
              <w:t>any similar instructions provided for the smooth running of the plant</w:t>
            </w:r>
          </w:p>
          <w:p w:rsidR="00000000" w:rsidP="00E41C71">
            <w:pPr>
              <w:pStyle w:val="BodyText"/>
              <w:rPr>
                <w:lang w:val="en-NZ"/>
              </w:rPr>
            </w:pPr>
          </w:p>
        </w:tc>
      </w:tr>
      <w:tr w:rsidTr="00F9235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E41C71">
            <w:pPr>
              <w:pStyle w:val="BodyText"/>
              <w:rPr>
                <w:lang w:val="en-NZ"/>
              </w:rPr>
            </w:pPr>
            <w:r w:rsidRPr="00E41C71">
              <w:rPr>
                <w:rStyle w:val="SpecialBold"/>
              </w:rPr>
              <w:t>Instrument and control systems</w:t>
            </w:r>
          </w:p>
        </w:tc>
        <w:tc>
          <w:tcPr>
            <w:tcW w:w="0" w:type="auto"/>
            <w:tcBorders>
              <w:top w:val="nil"/>
              <w:left w:val="nil"/>
              <w:bottom w:val="nil"/>
              <w:right w:val="nil"/>
            </w:tcBorders>
            <w:tcMar>
              <w:top w:w="0" w:type="dxa"/>
              <w:left w:w="62" w:type="dxa"/>
              <w:bottom w:w="0" w:type="dxa"/>
              <w:right w:w="62" w:type="dxa"/>
            </w:tcMar>
          </w:tcPr>
          <w:p w:rsidR="00000000" w:rsidRPr="00E41C71" w:rsidP="00E41C71">
            <w:pPr>
              <w:pStyle w:val="BodyText"/>
            </w:pPr>
            <w:r w:rsidRPr="00E41C71">
              <w:t>This unit of competency includes all such items of equipment and unit operations which form part of the instrument and control s</w:t>
            </w:r>
            <w:r w:rsidRPr="00E41C71">
              <w:t>ystems for plant units, such as:</w:t>
            </w:r>
          </w:p>
          <w:p w:rsidR="00000000" w:rsidRPr="00E41C71" w:rsidP="00E41C71">
            <w:pPr>
              <w:pStyle w:val="ListBullet"/>
            </w:pPr>
            <w:r w:rsidRPr="00E41C71">
              <w:t>compressor systems and equipment – instrumentation and control systems include one or more of the following:</w:t>
            </w:r>
          </w:p>
          <w:p w:rsidR="00000000" w:rsidRPr="00E41C71" w:rsidP="00E41C71">
            <w:pPr>
              <w:pStyle w:val="ListBullet2"/>
            </w:pPr>
            <w:r w:rsidRPr="00E41C71">
              <w:t xml:space="preserve">compressors, monitoring systems, power supply systems, pumps, pumping systems and equipment, </w:t>
            </w:r>
            <w:r w:rsidRPr="00E41C71">
              <w:t>pressure vessels/filtration equipment, coolers, scrubbers, expanders, anti-surge systems, safety systems and compressor control systems</w:t>
            </w:r>
          </w:p>
          <w:p w:rsidR="00000000" w:rsidRPr="00E41C71" w:rsidP="00E41C71">
            <w:pPr>
              <w:pStyle w:val="ListBullet"/>
            </w:pPr>
            <w:r w:rsidRPr="00E41C71">
              <w:t>prime movers, such as turbine engines, reciprocating engines, electric motors – instrumentation and control systems inc</w:t>
            </w:r>
            <w:r w:rsidRPr="00E41C71">
              <w:t>lude one or more of:</w:t>
            </w:r>
          </w:p>
          <w:p w:rsidR="00000000" w:rsidRPr="00E41C71" w:rsidP="00E41C71">
            <w:pPr>
              <w:pStyle w:val="ListBullet2"/>
            </w:pPr>
            <w:r w:rsidRPr="00E41C71">
              <w:t>fuel and carburettion systems, ignition systems, lubrication systems, induction and exhaust systems, governing systems, power supply systems, safety and shutdown systems</w:t>
            </w:r>
          </w:p>
          <w:p w:rsidR="00000000" w:rsidRPr="00E41C71" w:rsidP="00E41C71">
            <w:pPr>
              <w:pStyle w:val="ListBullet"/>
            </w:pPr>
            <w:r w:rsidRPr="00E41C71">
              <w:t xml:space="preserve">flow systems – instrumentation and control systems include one </w:t>
            </w:r>
            <w:r w:rsidRPr="00E41C71">
              <w:t>or more of the following:</w:t>
            </w:r>
          </w:p>
          <w:p w:rsidR="00000000" w:rsidRPr="00E41C71" w:rsidP="00E41C71">
            <w:pPr>
              <w:pStyle w:val="ListBullet2"/>
            </w:pPr>
            <w:r w:rsidRPr="00E41C71">
              <w:t>piping systems, metering equipment, flow control equipment, pressure and temperature transmitters and transducers, telemetry equipment, programmable logic controllers (PLCs), flow computers, electro-pneumatic process control equi</w:t>
            </w:r>
            <w:r w:rsidRPr="00E41C71">
              <w:t>pment and their associated online analytical instrumentation, such as gas chromatographs, moisture analysers, gas sampling and gas analysis equipment and pig</w:t>
            </w:r>
          </w:p>
          <w:p w:rsidR="00000000" w:rsidRPr="00E41C71" w:rsidP="00E41C71">
            <w:pPr>
              <w:pStyle w:val="ListBullet"/>
            </w:pPr>
            <w:r w:rsidRPr="00E41C71">
              <w:t>valve systems – instrumentation and control systems include one or more of the following:</w:t>
            </w:r>
          </w:p>
          <w:p w:rsidR="00000000" w:rsidRPr="00E41C71" w:rsidP="00E41C71">
            <w:pPr>
              <w:pStyle w:val="ListBullet2"/>
            </w:pPr>
            <w:r w:rsidRPr="00E41C71">
              <w:t>non-co</w:t>
            </w:r>
            <w:r w:rsidRPr="00E41C71">
              <w:t>ntrol valves, control and shut off valves, non-return or check valves and pressure relief valves, manual hand operated actuator, gas/hydraulic actuator and pneumatic valves</w:t>
            </w:r>
          </w:p>
          <w:p w:rsidR="00000000" w:rsidP="00E41C71">
            <w:pPr>
              <w:pStyle w:val="BodyText"/>
              <w:rPr>
                <w:lang w:val="en-NZ"/>
              </w:rPr>
            </w:pPr>
          </w:p>
        </w:tc>
      </w:tr>
      <w:tr w:rsidTr="00F9235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E41C71">
            <w:pPr>
              <w:pStyle w:val="BodyText"/>
              <w:rPr>
                <w:lang w:val="en-NZ"/>
              </w:rPr>
            </w:pPr>
            <w:r w:rsidRPr="00E41C71">
              <w:rPr>
                <w:rStyle w:val="SpecialBold"/>
              </w:rPr>
              <w:t>Instrument/electrical systems</w:t>
            </w:r>
          </w:p>
        </w:tc>
        <w:tc>
          <w:tcPr>
            <w:tcW w:w="0" w:type="auto"/>
            <w:tcBorders>
              <w:top w:val="nil"/>
              <w:left w:val="nil"/>
              <w:bottom w:val="nil"/>
              <w:right w:val="nil"/>
            </w:tcBorders>
            <w:tcMar>
              <w:top w:w="0" w:type="dxa"/>
              <w:left w:w="62" w:type="dxa"/>
              <w:bottom w:w="0" w:type="dxa"/>
              <w:right w:w="62" w:type="dxa"/>
            </w:tcMar>
          </w:tcPr>
          <w:p w:rsidR="00000000" w:rsidRPr="00E41C71" w:rsidP="00E41C71">
            <w:pPr>
              <w:pStyle w:val="BodyText"/>
            </w:pPr>
            <w:r w:rsidRPr="00E41C71">
              <w:t>Instrument/electrical systems include one or more of the following:</w:t>
            </w:r>
          </w:p>
          <w:p w:rsidR="00000000" w:rsidRPr="00E41C71" w:rsidP="00E41C71">
            <w:pPr>
              <w:pStyle w:val="ListBullet"/>
            </w:pPr>
            <w:r w:rsidRPr="00E41C71">
              <w:t>process analysing systems, eg gas analysis</w:t>
            </w:r>
          </w:p>
          <w:p w:rsidR="00000000" w:rsidRPr="00E41C71" w:rsidP="00E41C71">
            <w:pPr>
              <w:pStyle w:val="ListBullet"/>
            </w:pPr>
            <w:r w:rsidRPr="00E41C71">
              <w:t>emergency shutdown systems (ESD)</w:t>
            </w:r>
          </w:p>
          <w:p w:rsidR="00000000" w:rsidRPr="00E41C71" w:rsidP="00E41C71">
            <w:pPr>
              <w:pStyle w:val="ListBullet"/>
            </w:pPr>
            <w:r w:rsidRPr="00E41C71">
              <w:t>fire systems</w:t>
            </w:r>
          </w:p>
          <w:p w:rsidR="00000000" w:rsidRPr="00E41C71" w:rsidP="00E41C71">
            <w:pPr>
              <w:pStyle w:val="ListBullet"/>
            </w:pPr>
            <w:r w:rsidRPr="00E41C71">
              <w:t>pressure and temperature control systems</w:t>
            </w:r>
          </w:p>
          <w:p w:rsidR="00000000" w:rsidRPr="00E41C71" w:rsidP="00E41C71">
            <w:pPr>
              <w:pStyle w:val="ListBullet"/>
            </w:pPr>
            <w:r w:rsidRPr="00E41C71">
              <w:t>metering systems (e.g. orifice, turbine and positive disp</w:t>
            </w:r>
            <w:r w:rsidRPr="00E41C71">
              <w:t>lacement)</w:t>
            </w:r>
          </w:p>
          <w:p w:rsidR="00000000" w:rsidRPr="00E41C71" w:rsidP="00E41C71">
            <w:pPr>
              <w:pStyle w:val="ListBullet"/>
            </w:pPr>
            <w:r w:rsidRPr="00E41C71">
              <w:t>telemetry and supervisory control and data acquisition (SCADA) systems</w:t>
            </w:r>
          </w:p>
          <w:p w:rsidR="00000000" w:rsidRPr="00E41C71" w:rsidP="00E41C71">
            <w:pPr>
              <w:pStyle w:val="ListBullet"/>
            </w:pPr>
            <w:r w:rsidRPr="00E41C71">
              <w:t>communications systems</w:t>
            </w:r>
          </w:p>
          <w:p w:rsidR="00000000" w:rsidRPr="00E41C71" w:rsidP="00E41C71">
            <w:pPr>
              <w:pStyle w:val="ListBullet"/>
            </w:pPr>
            <w:r w:rsidRPr="00E41C71">
              <w:t>solar systems</w:t>
            </w:r>
          </w:p>
          <w:p w:rsidR="00000000" w:rsidRPr="00E41C71" w:rsidP="00E41C71">
            <w:pPr>
              <w:pStyle w:val="ListBullet"/>
            </w:pPr>
            <w:r w:rsidRPr="00E41C71">
              <w:t>utility systems</w:t>
            </w:r>
          </w:p>
          <w:p w:rsidR="00000000" w:rsidP="00E41C71">
            <w:pPr>
              <w:pStyle w:val="BodyText"/>
              <w:rPr>
                <w:lang w:val="en-NZ"/>
              </w:rPr>
            </w:pPr>
          </w:p>
        </w:tc>
      </w:tr>
      <w:tr w:rsidTr="00F9235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E41C71">
            <w:pPr>
              <w:pStyle w:val="BodyText"/>
              <w:rPr>
                <w:lang w:val="en-NZ"/>
              </w:rPr>
            </w:pPr>
            <w:r w:rsidRPr="00E41C71">
              <w:rPr>
                <w:rStyle w:val="SpecialBold"/>
              </w:rPr>
              <w:t>Types of faults</w:t>
            </w:r>
          </w:p>
        </w:tc>
        <w:tc>
          <w:tcPr>
            <w:tcW w:w="0" w:type="auto"/>
            <w:tcBorders>
              <w:top w:val="nil"/>
              <w:left w:val="nil"/>
              <w:bottom w:val="nil"/>
              <w:right w:val="nil"/>
            </w:tcBorders>
            <w:tcMar>
              <w:top w:w="0" w:type="dxa"/>
              <w:left w:w="62" w:type="dxa"/>
              <w:bottom w:w="0" w:type="dxa"/>
              <w:right w:w="62" w:type="dxa"/>
            </w:tcMar>
          </w:tcPr>
          <w:p w:rsidR="00000000" w:rsidRPr="00E41C71" w:rsidP="00E41C71">
            <w:pPr>
              <w:pStyle w:val="BodyText"/>
            </w:pPr>
            <w:r w:rsidRPr="00E41C71">
              <w:t>Types of faults include one or more of the following:</w:t>
            </w:r>
          </w:p>
          <w:p w:rsidR="00000000" w:rsidRPr="00E41C71" w:rsidP="00E41C71">
            <w:pPr>
              <w:pStyle w:val="ListBullet"/>
            </w:pPr>
            <w:r w:rsidRPr="00E41C71">
              <w:t>material leaks</w:t>
            </w:r>
          </w:p>
          <w:p w:rsidR="00000000" w:rsidRPr="00E41C71" w:rsidP="00E41C71">
            <w:pPr>
              <w:pStyle w:val="ListBullet"/>
            </w:pPr>
            <w:r w:rsidRPr="00E41C71">
              <w:t>electrical problems</w:t>
            </w:r>
          </w:p>
          <w:p w:rsidR="00000000" w:rsidRPr="00E41C71" w:rsidP="00E41C71">
            <w:pPr>
              <w:pStyle w:val="ListBullet"/>
            </w:pPr>
            <w:r w:rsidRPr="00E41C71">
              <w:t>compressor or pump failure</w:t>
            </w:r>
          </w:p>
          <w:p w:rsidR="00000000" w:rsidRPr="00E41C71" w:rsidP="00E41C71">
            <w:pPr>
              <w:pStyle w:val="ListBullet"/>
            </w:pPr>
            <w:r w:rsidRPr="00E41C71">
              <w:t>out of current inspection status</w:t>
            </w:r>
          </w:p>
          <w:p w:rsidR="00000000" w:rsidRPr="00E41C71" w:rsidP="00E41C71">
            <w:pPr>
              <w:pStyle w:val="ListBullet"/>
            </w:pPr>
            <w:r w:rsidRPr="00E41C71">
              <w:t>gauge failure or hose rupture/leaks</w:t>
            </w:r>
          </w:p>
          <w:p w:rsidR="00000000" w:rsidRPr="00E41C71" w:rsidP="00E41C71">
            <w:pPr>
              <w:pStyle w:val="ListBullet"/>
            </w:pPr>
            <w:r w:rsidRPr="00E41C71">
              <w:t>instruments out of calibration</w:t>
            </w:r>
          </w:p>
          <w:p w:rsidR="00000000" w:rsidRPr="00E41C71" w:rsidP="00E41C71">
            <w:pPr>
              <w:pStyle w:val="ListBullet"/>
            </w:pPr>
            <w:r w:rsidRPr="00E41C71">
              <w:t>non-flow of material</w:t>
            </w:r>
          </w:p>
          <w:p w:rsidR="00000000" w:rsidRPr="00E41C71" w:rsidP="00E41C71">
            <w:pPr>
              <w:pStyle w:val="ListBullet"/>
            </w:pPr>
            <w:r w:rsidRPr="00E41C71">
              <w:t>instruments and equipment requiring cleaning</w:t>
            </w:r>
          </w:p>
          <w:p w:rsidR="00000000" w:rsidP="00E41C71">
            <w:pPr>
              <w:pStyle w:val="BodyText"/>
              <w:rPr>
                <w:lang w:val="en-NZ"/>
              </w:rPr>
            </w:pPr>
          </w:p>
        </w:tc>
      </w:tr>
      <w:tr w:rsidTr="00F9235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E41C71">
            <w:pPr>
              <w:pStyle w:val="BodyText"/>
              <w:rPr>
                <w:lang w:val="en-NZ"/>
              </w:rPr>
            </w:pPr>
            <w:r w:rsidRPr="00E41C71">
              <w:rPr>
                <w:rStyle w:val="SpecialBold"/>
              </w:rPr>
              <w:t>Test equipment</w:t>
            </w:r>
          </w:p>
        </w:tc>
        <w:tc>
          <w:tcPr>
            <w:tcW w:w="0" w:type="auto"/>
            <w:tcBorders>
              <w:top w:val="nil"/>
              <w:left w:val="nil"/>
              <w:bottom w:val="nil"/>
              <w:right w:val="nil"/>
            </w:tcBorders>
            <w:tcMar>
              <w:top w:w="0" w:type="dxa"/>
              <w:left w:w="62" w:type="dxa"/>
              <w:bottom w:w="0" w:type="dxa"/>
              <w:right w:w="62" w:type="dxa"/>
            </w:tcMar>
          </w:tcPr>
          <w:p w:rsidR="00000000" w:rsidRPr="00E41C71" w:rsidP="00E41C71">
            <w:pPr>
              <w:pStyle w:val="BodyText"/>
            </w:pPr>
            <w:r w:rsidRPr="00E41C71">
              <w:t>Test equipment will be selected as required fr</w:t>
            </w:r>
            <w:r w:rsidRPr="00E41C71">
              <w:t>om one or more of the following:</w:t>
            </w:r>
          </w:p>
          <w:p w:rsidR="00000000" w:rsidRPr="00E41C71" w:rsidP="00E41C71">
            <w:pPr>
              <w:pStyle w:val="ListBullet"/>
            </w:pPr>
            <w:r w:rsidRPr="00E41C71">
              <w:t>dead weight tester</w:t>
            </w:r>
          </w:p>
          <w:p w:rsidR="00000000" w:rsidRPr="00E41C71" w:rsidP="00E41C71">
            <w:pPr>
              <w:pStyle w:val="ListBullet"/>
            </w:pPr>
            <w:r w:rsidRPr="00E41C71">
              <w:t>transmission unit</w:t>
            </w:r>
          </w:p>
          <w:p w:rsidR="00000000" w:rsidRPr="00E41C71" w:rsidP="00E41C71">
            <w:pPr>
              <w:pStyle w:val="ListBullet"/>
            </w:pPr>
            <w:r w:rsidRPr="00E41C71">
              <w:t>ice point tester</w:t>
            </w:r>
          </w:p>
          <w:p w:rsidR="00000000" w:rsidRPr="00E41C71" w:rsidP="00E41C71">
            <w:pPr>
              <w:pStyle w:val="ListBullet"/>
            </w:pPr>
            <w:r w:rsidRPr="00E41C71">
              <w:t>decade box</w:t>
            </w:r>
          </w:p>
          <w:p w:rsidR="00000000" w:rsidRPr="00E41C71" w:rsidP="00E41C71">
            <w:pPr>
              <w:pStyle w:val="ListBullet"/>
            </w:pPr>
            <w:r w:rsidRPr="00E41C71">
              <w:t>multimeter</w:t>
            </w:r>
          </w:p>
          <w:p w:rsidR="00000000" w:rsidRPr="00E41C71" w:rsidP="00E41C71">
            <w:pPr>
              <w:pStyle w:val="ListBullet"/>
            </w:pPr>
            <w:r w:rsidRPr="00E41C71">
              <w:t>resistance temperature device (RTD) calibrator</w:t>
            </w:r>
          </w:p>
          <w:p w:rsidR="00000000" w:rsidRPr="00E41C71" w:rsidP="00E41C71">
            <w:pPr>
              <w:pStyle w:val="ListBullet"/>
            </w:pPr>
            <w:r w:rsidRPr="00E41C71">
              <w:t>chart recorders</w:t>
            </w:r>
          </w:p>
          <w:p w:rsidR="00000000" w:rsidRPr="00E41C71" w:rsidP="00E41C71">
            <w:pPr>
              <w:pStyle w:val="ListBullet"/>
            </w:pPr>
            <w:r w:rsidRPr="00E41C71">
              <w:t>data logging equipment</w:t>
            </w:r>
          </w:p>
          <w:p w:rsidR="00000000" w:rsidRPr="00E41C71" w:rsidP="00E41C71">
            <w:pPr>
              <w:pStyle w:val="BodyText"/>
            </w:pPr>
          </w:p>
        </w:tc>
      </w:tr>
    </w:tbl>
    <w:p w:rsidR="00000000" w:rsidRPr="00E41C71" w:rsidP="00E41C71">
      <w:pPr>
        <w:pStyle w:val="BodyText"/>
      </w:pPr>
    </w:p>
    <w:p w:rsidR="00000000" w:rsidRPr="00E41C71" w:rsidP="00E41C71">
      <w:pPr>
        <w:pStyle w:val="AllowPageBreak"/>
      </w:pPr>
    </w:p>
    <w:p w:rsidR="00000000" w:rsidRPr="00E41C71" w:rsidP="00E41C71">
      <w:pPr>
        <w:pStyle w:val="Heading1"/>
      </w:pPr>
      <w:bookmarkStart w:id="9" w:name="O_909704"/>
      <w:bookmarkEnd w:id="9"/>
      <w:r w:rsidRPr="00E41C71">
        <w:t>Unit Mapping Information</w:t>
      </w:r>
    </w:p>
    <w:p w:rsidR="00000000" w:rsidRPr="00E41C71" w:rsidP="00F9235F">
      <w:pPr>
        <w:pStyle w:val="BodyText"/>
      </w:pPr>
      <w:r w:rsidRPr="00E41C71">
        <w:t>Release 1. Supersedes and is equivalent to PMASUP341B Monitor and maintain instrument and control systems</w:t>
      </w:r>
    </w:p>
    <w:p w:rsidR="00000000" w:rsidRPr="00E41C71" w:rsidP="00E41C71">
      <w:pPr>
        <w:pStyle w:val="Heading1"/>
      </w:pPr>
      <w:bookmarkStart w:id="10" w:name="O_909697"/>
      <w:bookmarkEnd w:id="10"/>
      <w:r w:rsidRPr="00E41C71">
        <w:t>Links</w:t>
      </w:r>
    </w:p>
    <w:p w:rsidR="00000000" w:rsidRPr="00E41C71" w:rsidP="00F9235F">
      <w:pPr>
        <w:pStyle w:val="BodyText"/>
      </w:pPr>
      <w:r w:rsidRPr="00E41C71">
        <w:t xml:space="preserve">Companion Volume implementation guides are found in VETNet - </w:t>
      </w:r>
      <w:r>
        <w:fldChar w:fldCharType="begin"/>
      </w:r>
      <w:r>
        <w:instrText xml:space="preserve"> HYPERLINK "https://vetnet.gov.au/Pages/TrainingDocs.aspx?q=9fc2cf53-e570-4e9f-ad6a-b228ffdb6875" </w:instrText>
      </w:r>
      <w:r>
        <w:fldChar w:fldCharType="separate"/>
      </w:r>
      <w:r w:rsidRPr="00155AC4">
        <w:rPr>
          <w:rStyle w:val="Hyperlink"/>
        </w:rPr>
        <w:t>https://vetnet.gov.au/Pages/TrainingDocs.aspx?q=9fc2cf53-e570-4e9f-ad6a-b228ffdb6875</w:t>
      </w:r>
      <w:r>
        <w:fldChar w:fldCharType="end"/>
      </w:r>
    </w:p>
    <w:p w:rsidR="00000000" w:rsidRPr="00E41C71" w:rsidP="00E41C71"/>
    <w:sectPr w:rsidSect="00E41C71">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41C7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41C71" w:rsidRPr="00F9235F" w:rsidP="00F9235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41C7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235F" w:rsidP="00E41C7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F9235F" w:rsidP="00E41C71">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F9235F" w:rsidP="00E41C7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41C7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235F"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E41C71" w:rsidRPr="00F9235F" w:rsidP="00F9235F">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41C7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235F" w:rsidRPr="002D2AF8" w:rsidP="00E41C71">
    <w:pPr>
      <w:pStyle w:val="Header"/>
      <w:framePr w:wrap="around"/>
    </w:pPr>
    <w:r>
      <w:fldChar w:fldCharType="begin"/>
    </w:r>
    <w:r>
      <w:instrText xml:space="preserve"> TITLE   \* MERGEFORMAT </w:instrText>
    </w:r>
    <w:r>
      <w:fldChar w:fldCharType="separate"/>
    </w:r>
    <w:r>
      <w:t>PMASUP341 Monitor and maintain instrument and control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21 September 2022</w:t>
    </w:r>
    <w:r>
      <w:fldChar w:fldCharType="end"/>
    </w:r>
  </w:p>
  <w:p w:rsidR="00F9235F" w:rsidP="00E41C7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FF27F0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2546E8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8A2D5B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41C7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41C71"/>
    <w:pPr>
      <w:spacing w:before="360" w:after="60"/>
      <w:outlineLvl w:val="0"/>
    </w:pPr>
    <w:rPr>
      <w:sz w:val="32"/>
    </w:rPr>
  </w:style>
  <w:style w:type="paragraph" w:styleId="Heading2">
    <w:name w:val="heading 2"/>
    <w:basedOn w:val="HeadingBase"/>
    <w:next w:val="BodyText"/>
    <w:link w:val="Heading2Char"/>
    <w:qFormat/>
    <w:rsid w:val="00E41C71"/>
    <w:pPr>
      <w:keepLines/>
      <w:spacing w:before="240" w:after="120"/>
      <w:outlineLvl w:val="1"/>
    </w:pPr>
    <w:rPr>
      <w:sz w:val="28"/>
      <w:szCs w:val="40"/>
    </w:rPr>
  </w:style>
  <w:style w:type="paragraph" w:styleId="Heading3">
    <w:name w:val="heading 3"/>
    <w:basedOn w:val="HeadingBase"/>
    <w:next w:val="BodyText"/>
    <w:link w:val="Heading3Char"/>
    <w:qFormat/>
    <w:rsid w:val="00E41C71"/>
    <w:pPr>
      <w:spacing w:before="180" w:after="120"/>
      <w:outlineLvl w:val="2"/>
    </w:pPr>
    <w:rPr>
      <w:spacing w:val="-10"/>
      <w:kern w:val="32"/>
    </w:rPr>
  </w:style>
  <w:style w:type="paragraph" w:styleId="Heading4">
    <w:name w:val="heading 4"/>
    <w:basedOn w:val="HeadingBase"/>
    <w:next w:val="BodyText"/>
    <w:link w:val="Heading4Char"/>
    <w:qFormat/>
    <w:rsid w:val="00E41C71"/>
    <w:pPr>
      <w:spacing w:before="160" w:after="120"/>
      <w:outlineLvl w:val="3"/>
    </w:pPr>
    <w:rPr>
      <w:sz w:val="22"/>
    </w:rPr>
  </w:style>
  <w:style w:type="paragraph" w:styleId="Heading5">
    <w:name w:val="heading 5"/>
    <w:basedOn w:val="HeadingBase"/>
    <w:next w:val="Normal"/>
    <w:link w:val="Heading5Char"/>
    <w:qFormat/>
    <w:rsid w:val="00E41C71"/>
    <w:pPr>
      <w:spacing w:before="80"/>
      <w:outlineLvl w:val="4"/>
    </w:pPr>
    <w:rPr>
      <w:color w:val="918585"/>
      <w:sz w:val="20"/>
    </w:rPr>
  </w:style>
  <w:style w:type="paragraph" w:styleId="Heading6">
    <w:name w:val="heading 6"/>
    <w:basedOn w:val="HeadingBase"/>
    <w:next w:val="Normal"/>
    <w:link w:val="Heading6Char"/>
    <w:qFormat/>
    <w:rsid w:val="00E41C71"/>
    <w:pPr>
      <w:spacing w:before="60"/>
      <w:outlineLvl w:val="5"/>
    </w:pPr>
    <w:rPr>
      <w:color w:val="918585"/>
      <w:sz w:val="20"/>
    </w:rPr>
  </w:style>
  <w:style w:type="paragraph" w:styleId="Heading7">
    <w:name w:val="heading 7"/>
    <w:basedOn w:val="Normal"/>
    <w:next w:val="Normal"/>
    <w:link w:val="Heading7Char"/>
    <w:qFormat/>
    <w:rsid w:val="00E41C71"/>
    <w:pPr>
      <w:ind w:left="720"/>
      <w:outlineLvl w:val="6"/>
    </w:pPr>
    <w:rPr>
      <w:i/>
    </w:rPr>
  </w:style>
  <w:style w:type="paragraph" w:styleId="Heading8">
    <w:name w:val="heading 8"/>
    <w:basedOn w:val="Normal"/>
    <w:next w:val="Normal"/>
    <w:link w:val="Heading8Char"/>
    <w:qFormat/>
    <w:rsid w:val="00E41C71"/>
    <w:pPr>
      <w:ind w:left="720"/>
      <w:outlineLvl w:val="7"/>
    </w:pPr>
    <w:rPr>
      <w:i/>
    </w:rPr>
  </w:style>
  <w:style w:type="paragraph" w:styleId="Heading9">
    <w:name w:val="heading 9"/>
    <w:basedOn w:val="Normal"/>
    <w:next w:val="Normal"/>
    <w:link w:val="Heading9Char"/>
    <w:qFormat/>
    <w:rsid w:val="00E41C71"/>
    <w:pPr>
      <w:ind w:left="720"/>
      <w:outlineLvl w:val="8"/>
    </w:pPr>
    <w:rPr>
      <w:i/>
    </w:rPr>
  </w:style>
  <w:style w:type="character" w:default="1" w:styleId="DefaultParagraphFont">
    <w:name w:val="Default Paragraph Font"/>
    <w:uiPriority w:val="1"/>
    <w:unhideWhenUsed/>
    <w:rsid w:val="00E41C7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41C71"/>
  </w:style>
  <w:style w:type="character" w:customStyle="1" w:styleId="Heading1Char">
    <w:name w:val="Heading 1 Char"/>
    <w:basedOn w:val="DefaultParagraphFont"/>
    <w:link w:val="Heading1"/>
    <w:rsid w:val="00E41C71"/>
    <w:rPr>
      <w:rFonts w:ascii="Times New Roman" w:eastAsia="Times New Roman" w:hAnsi="Times New Roman" w:cs="Times New Roman"/>
      <w:b/>
      <w:sz w:val="32"/>
      <w:szCs w:val="20"/>
      <w:lang w:eastAsia="en-US"/>
    </w:rPr>
  </w:style>
  <w:style w:type="paragraph" w:styleId="BodyText">
    <w:name w:val="Body Text"/>
    <w:basedOn w:val="Normal"/>
    <w:link w:val="BodyTextChar"/>
    <w:rsid w:val="00E41C71"/>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E41C71"/>
    <w:rPr>
      <w:rFonts w:ascii="Times New Roman" w:eastAsia="Times New Roman" w:hAnsi="Times New Roman" w:cs="Times New Roman"/>
      <w:sz w:val="24"/>
      <w:lang w:eastAsia="en-US"/>
    </w:rPr>
  </w:style>
  <w:style w:type="paragraph" w:styleId="ListBullet">
    <w:name w:val="List Bullet"/>
    <w:basedOn w:val="List"/>
    <w:rsid w:val="00E41C71"/>
    <w:pPr>
      <w:numPr>
        <w:numId w:val="12"/>
      </w:numPr>
      <w:tabs>
        <w:tab w:val="clear" w:pos="340"/>
      </w:tabs>
      <w:spacing w:before="40" w:after="40"/>
    </w:pPr>
  </w:style>
  <w:style w:type="character" w:customStyle="1" w:styleId="SpecialBold">
    <w:name w:val="Special Bold"/>
    <w:basedOn w:val="DefaultParagraphFont"/>
    <w:rsid w:val="00E41C71"/>
    <w:rPr>
      <w:b/>
      <w:spacing w:val="0"/>
    </w:rPr>
  </w:style>
  <w:style w:type="paragraph" w:styleId="ListBullet2">
    <w:name w:val="List Bullet 2"/>
    <w:basedOn w:val="List2"/>
    <w:rsid w:val="00E41C71"/>
    <w:pPr>
      <w:numPr>
        <w:numId w:val="13"/>
      </w:numPr>
      <w:tabs>
        <w:tab w:val="clear" w:pos="680"/>
      </w:tabs>
    </w:pPr>
  </w:style>
  <w:style w:type="paragraph" w:customStyle="1" w:styleId="SuperHeading">
    <w:name w:val="SuperHeading"/>
    <w:basedOn w:val="Normal"/>
    <w:rsid w:val="00E41C71"/>
    <w:pPr>
      <w:spacing w:before="240" w:after="120"/>
      <w:outlineLvl w:val="0"/>
    </w:pPr>
    <w:rPr>
      <w:rFonts w:ascii="Times New Roman" w:hAnsi="Times New Roman"/>
      <w:b/>
      <w:sz w:val="32"/>
    </w:rPr>
  </w:style>
  <w:style w:type="paragraph" w:customStyle="1" w:styleId="AllowPageBreak">
    <w:name w:val="AllowPageBreak"/>
    <w:rsid w:val="00E41C71"/>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E41C7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41C7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41C7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41C7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41C7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41C7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41C7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41C71"/>
    <w:rPr>
      <w:rFonts w:ascii="Courier New" w:eastAsia="Times New Roman" w:hAnsi="Courier New" w:cs="Times New Roman"/>
      <w:i/>
      <w:szCs w:val="20"/>
      <w:lang w:eastAsia="en-US"/>
    </w:rPr>
  </w:style>
  <w:style w:type="paragraph" w:customStyle="1" w:styleId="HeadingBase">
    <w:name w:val="Heading Base"/>
    <w:rsid w:val="00E41C7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41C71"/>
    <w:pPr>
      <w:tabs>
        <w:tab w:val="right" w:leader="dot" w:pos="9072"/>
      </w:tabs>
      <w:ind w:left="567"/>
    </w:pPr>
    <w:rPr>
      <w:szCs w:val="22"/>
    </w:rPr>
  </w:style>
  <w:style w:type="paragraph" w:customStyle="1" w:styleId="TOCBase">
    <w:name w:val="TOC Base"/>
    <w:rsid w:val="00E41C7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41C71"/>
    <w:pPr>
      <w:tabs>
        <w:tab w:val="right" w:leader="dot" w:pos="9072"/>
      </w:tabs>
      <w:spacing w:before="40" w:after="40"/>
      <w:ind w:left="284"/>
    </w:pPr>
    <w:rPr>
      <w:rFonts w:ascii="Times New Roman" w:hAnsi="Times New Roman"/>
    </w:rPr>
  </w:style>
  <w:style w:type="paragraph" w:styleId="TOC1">
    <w:name w:val="toc 1"/>
    <w:basedOn w:val="TOCBase"/>
    <w:next w:val="Normal"/>
    <w:rsid w:val="00E41C7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41C7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41C71"/>
    <w:rPr>
      <w:rFonts w:ascii="Times New Roman" w:eastAsia="Times New Roman" w:hAnsi="Times New Roman" w:cs="Times New Roman"/>
      <w:sz w:val="16"/>
      <w:lang w:eastAsia="en-US"/>
    </w:rPr>
  </w:style>
  <w:style w:type="paragraph" w:styleId="Title">
    <w:name w:val="Title"/>
    <w:basedOn w:val="HeadingBase"/>
    <w:link w:val="TitleChar"/>
    <w:qFormat/>
    <w:rsid w:val="00E41C71"/>
    <w:pPr>
      <w:spacing w:before="5040"/>
      <w:jc w:val="center"/>
    </w:pPr>
    <w:rPr>
      <w:sz w:val="48"/>
      <w:szCs w:val="72"/>
      <w:lang w:val="en-US"/>
    </w:rPr>
  </w:style>
  <w:style w:type="character" w:customStyle="1" w:styleId="TitleChar">
    <w:name w:val="Title Char"/>
    <w:basedOn w:val="DefaultParagraphFont"/>
    <w:link w:val="Title"/>
    <w:rsid w:val="00E41C7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41C71"/>
    <w:pPr>
      <w:tabs>
        <w:tab w:val="left" w:pos="3600"/>
        <w:tab w:val="left" w:pos="3958"/>
      </w:tabs>
    </w:pPr>
  </w:style>
  <w:style w:type="paragraph" w:styleId="List">
    <w:name w:val="List"/>
    <w:basedOn w:val="BodyText"/>
    <w:next w:val="BodyText"/>
    <w:rsid w:val="00E41C71"/>
    <w:pPr>
      <w:tabs>
        <w:tab w:val="left" w:pos="340"/>
      </w:tabs>
      <w:spacing w:before="60" w:after="60"/>
      <w:ind w:left="340" w:hanging="340"/>
    </w:pPr>
  </w:style>
  <w:style w:type="paragraph" w:customStyle="1" w:styleId="Note">
    <w:name w:val="Note"/>
    <w:basedOn w:val="BodyText"/>
    <w:rsid w:val="00E41C7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41C71"/>
    <w:pPr>
      <w:framePr w:wrap="auto" w:hAnchor="text" w:y="6049"/>
    </w:pPr>
    <w:rPr>
      <w:color w:val="000000"/>
      <w:sz w:val="40"/>
    </w:rPr>
  </w:style>
  <w:style w:type="paragraph" w:customStyle="1" w:styleId="TOCTitle">
    <w:name w:val="TOCTitle"/>
    <w:basedOn w:val="Heading1"/>
    <w:rsid w:val="00E41C71"/>
    <w:pPr>
      <w:spacing w:after="240"/>
      <w:jc w:val="center"/>
      <w:outlineLvl w:val="9"/>
    </w:pPr>
    <w:rPr>
      <w:caps/>
    </w:rPr>
  </w:style>
  <w:style w:type="paragraph" w:customStyle="1" w:styleId="Version">
    <w:name w:val="Version"/>
    <w:rsid w:val="00E41C7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41C71"/>
    <w:pPr>
      <w:keepNext w:val="0"/>
      <w:tabs>
        <w:tab w:val="right" w:pos="4176"/>
      </w:tabs>
      <w:ind w:left="198" w:hanging="198"/>
    </w:pPr>
    <w:rPr>
      <w:rFonts w:ascii="Garamond" w:hAnsi="Garamond"/>
    </w:rPr>
  </w:style>
  <w:style w:type="paragraph" w:styleId="IndexHeading">
    <w:name w:val="index heading"/>
    <w:basedOn w:val="Normal"/>
    <w:next w:val="Index1"/>
    <w:semiHidden/>
    <w:rsid w:val="00E41C71"/>
    <w:pPr>
      <w:spacing w:before="120" w:after="120"/>
    </w:pPr>
    <w:rPr>
      <w:rFonts w:ascii="Arial" w:hAnsi="Arial"/>
      <w:b/>
      <w:color w:val="918585"/>
      <w:sz w:val="24"/>
    </w:rPr>
  </w:style>
  <w:style w:type="paragraph" w:styleId="Header">
    <w:name w:val="header"/>
    <w:basedOn w:val="Normal"/>
    <w:link w:val="HeaderChar"/>
    <w:rsid w:val="00E41C7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41C71"/>
    <w:rPr>
      <w:rFonts w:ascii="Times New Roman" w:eastAsia="Times New Roman" w:hAnsi="Times New Roman" w:cs="Times New Roman"/>
      <w:sz w:val="16"/>
      <w:szCs w:val="20"/>
      <w:lang w:val="en-GB" w:eastAsia="en-US"/>
    </w:rPr>
  </w:style>
  <w:style w:type="paragraph" w:customStyle="1" w:styleId="Chapter">
    <w:name w:val="Chapter"/>
    <w:basedOn w:val="Normal"/>
    <w:rsid w:val="00E41C71"/>
    <w:pPr>
      <w:spacing w:before="240"/>
    </w:pPr>
    <w:rPr>
      <w:rFonts w:ascii="Times New Roman" w:hAnsi="Times New Roman"/>
      <w:smallCaps/>
      <w:spacing w:val="80"/>
      <w:sz w:val="28"/>
    </w:rPr>
  </w:style>
  <w:style w:type="paragraph" w:customStyle="1" w:styleId="InChapter">
    <w:name w:val="InChapter"/>
    <w:basedOn w:val="Heading3"/>
    <w:rsid w:val="00E41C71"/>
    <w:pPr>
      <w:spacing w:after="240"/>
      <w:outlineLvl w:val="9"/>
    </w:pPr>
    <w:rPr>
      <w:noProof/>
    </w:rPr>
  </w:style>
  <w:style w:type="paragraph" w:styleId="Index2">
    <w:name w:val="index 2"/>
    <w:basedOn w:val="Normal"/>
    <w:next w:val="Normal"/>
    <w:semiHidden/>
    <w:rsid w:val="00E41C71"/>
    <w:pPr>
      <w:tabs>
        <w:tab w:val="right" w:pos="4176"/>
      </w:tabs>
      <w:ind w:left="568" w:hanging="284"/>
    </w:pPr>
    <w:rPr>
      <w:rFonts w:ascii="Garamond" w:hAnsi="Garamond"/>
    </w:rPr>
  </w:style>
  <w:style w:type="paragraph" w:customStyle="1" w:styleId="Byline">
    <w:name w:val="Byline"/>
    <w:rsid w:val="00E41C7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41C71"/>
    <w:pPr>
      <w:tabs>
        <w:tab w:val="clear" w:pos="3600"/>
        <w:tab w:val="clear" w:pos="3958"/>
      </w:tabs>
      <w:jc w:val="right"/>
    </w:pPr>
  </w:style>
  <w:style w:type="character" w:styleId="Emphasis">
    <w:name w:val="Emphasis"/>
    <w:basedOn w:val="DefaultParagraphFont"/>
    <w:qFormat/>
    <w:rsid w:val="00E41C71"/>
    <w:rPr>
      <w:i/>
    </w:rPr>
  </w:style>
  <w:style w:type="paragraph" w:styleId="Caption">
    <w:name w:val="caption"/>
    <w:basedOn w:val="BodyText"/>
    <w:next w:val="Normal"/>
    <w:qFormat/>
    <w:rsid w:val="00E41C71"/>
    <w:pPr>
      <w:framePr w:w="2268" w:hSpace="181" w:vSpace="181" w:wrap="around" w:vAnchor="text" w:hAnchor="page" w:x="1135" w:y="285" w:anchorLock="1"/>
    </w:pPr>
    <w:rPr>
      <w:i/>
    </w:rPr>
  </w:style>
  <w:style w:type="paragraph" w:customStyle="1" w:styleId="MiniTOCTitle">
    <w:name w:val="MiniTOCTitle"/>
    <w:basedOn w:val="Heading4"/>
    <w:rsid w:val="00E41C71"/>
    <w:pPr>
      <w:spacing w:before="240"/>
      <w:outlineLvl w:val="9"/>
    </w:pPr>
    <w:rPr>
      <w:noProof/>
      <w:sz w:val="24"/>
    </w:rPr>
  </w:style>
  <w:style w:type="paragraph" w:customStyle="1" w:styleId="MiniTOCItem">
    <w:name w:val="MiniTOCItem"/>
    <w:basedOn w:val="ListBullet"/>
    <w:rsid w:val="00E41C71"/>
    <w:pPr>
      <w:numPr>
        <w:numId w:val="0"/>
      </w:numPr>
      <w:tabs>
        <w:tab w:val="right" w:leader="dot" w:pos="6521"/>
      </w:tabs>
      <w:spacing w:before="0" w:after="0"/>
    </w:pPr>
  </w:style>
  <w:style w:type="paragraph" w:customStyle="1" w:styleId="TOFTitle">
    <w:name w:val="TOFTitle"/>
    <w:basedOn w:val="TOCTitle"/>
    <w:rsid w:val="00E41C71"/>
  </w:style>
  <w:style w:type="paragraph" w:styleId="TableofFigures">
    <w:name w:val="table of figures"/>
    <w:basedOn w:val="Normal"/>
    <w:next w:val="Normal"/>
    <w:semiHidden/>
    <w:rsid w:val="00E41C71"/>
    <w:pPr>
      <w:tabs>
        <w:tab w:val="right" w:leader="dot" w:pos="9072"/>
      </w:tabs>
      <w:ind w:left="970" w:hanging="403"/>
    </w:pPr>
    <w:rPr>
      <w:rFonts w:ascii="Times New Roman" w:hAnsi="Times New Roman"/>
      <w:b/>
    </w:rPr>
  </w:style>
  <w:style w:type="paragraph" w:styleId="ListNumber">
    <w:name w:val="List Number"/>
    <w:basedOn w:val="List"/>
    <w:rsid w:val="00E41C71"/>
    <w:pPr>
      <w:numPr>
        <w:numId w:val="15"/>
      </w:numPr>
      <w:tabs>
        <w:tab w:val="clear" w:pos="340"/>
      </w:tabs>
    </w:pPr>
  </w:style>
  <w:style w:type="character" w:customStyle="1" w:styleId="WingdingSymbols">
    <w:name w:val="Wingding Symbols"/>
    <w:rsid w:val="00E41C71"/>
    <w:rPr>
      <w:rFonts w:ascii="Wingdings" w:hAnsi="Wingdings"/>
    </w:rPr>
  </w:style>
  <w:style w:type="paragraph" w:customStyle="1" w:styleId="TableHeading">
    <w:name w:val="Table Heading"/>
    <w:basedOn w:val="HeadingBase"/>
    <w:rsid w:val="00E41C71"/>
    <w:pPr>
      <w:keepLines/>
      <w:pBdr>
        <w:bottom w:val="single" w:sz="6" w:space="1" w:color="918585"/>
      </w:pBdr>
      <w:spacing w:before="240"/>
    </w:pPr>
  </w:style>
  <w:style w:type="character" w:customStyle="1" w:styleId="HotSpot">
    <w:name w:val="HotSpot"/>
    <w:rsid w:val="00E41C71"/>
    <w:rPr>
      <w:color w:val="0033CC"/>
      <w:u w:val="none"/>
    </w:rPr>
  </w:style>
  <w:style w:type="paragraph" w:customStyle="1" w:styleId="BodyTextRight">
    <w:name w:val="Body Text Right"/>
    <w:basedOn w:val="BodyText"/>
    <w:rsid w:val="00E41C71"/>
    <w:pPr>
      <w:spacing w:before="0" w:after="0"/>
      <w:jc w:val="right"/>
    </w:pPr>
  </w:style>
  <w:style w:type="paragraph" w:styleId="Index3">
    <w:name w:val="index 3"/>
    <w:basedOn w:val="ListNumber2"/>
    <w:next w:val="Normal"/>
    <w:semiHidden/>
    <w:rsid w:val="00E41C71"/>
    <w:pPr>
      <w:numPr>
        <w:numId w:val="0"/>
      </w:numPr>
      <w:tabs>
        <w:tab w:val="right" w:leader="dot" w:pos="4176"/>
      </w:tabs>
    </w:pPr>
  </w:style>
  <w:style w:type="paragraph" w:styleId="ListNumber2">
    <w:name w:val="List Number 2"/>
    <w:basedOn w:val="List2"/>
    <w:rsid w:val="00E41C71"/>
    <w:pPr>
      <w:numPr>
        <w:numId w:val="10"/>
      </w:numPr>
      <w:tabs>
        <w:tab w:val="clear" w:pos="1060"/>
      </w:tabs>
    </w:pPr>
  </w:style>
  <w:style w:type="paragraph" w:customStyle="1" w:styleId="MarginNote">
    <w:name w:val="Margin Note"/>
    <w:basedOn w:val="BodyText"/>
    <w:rsid w:val="00E41C7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41C7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41C7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41C71"/>
    <w:rPr>
      <w:sz w:val="32"/>
    </w:rPr>
  </w:style>
  <w:style w:type="paragraph" w:customStyle="1" w:styleId="HeadingProcedure">
    <w:name w:val="Heading Procedure"/>
    <w:basedOn w:val="HeadingBase"/>
    <w:next w:val="Normal"/>
    <w:rsid w:val="00E41C71"/>
    <w:pPr>
      <w:tabs>
        <w:tab w:val="left" w:pos="0"/>
      </w:tabs>
      <w:spacing w:before="120" w:after="60"/>
    </w:pPr>
    <w:rPr>
      <w:i/>
      <w:color w:val="918585"/>
      <w:sz w:val="22"/>
    </w:rPr>
  </w:style>
  <w:style w:type="paragraph" w:customStyle="1" w:styleId="TableBodyText">
    <w:name w:val="Table Body Text"/>
    <w:basedOn w:val="BodyText"/>
    <w:rsid w:val="00E41C71"/>
    <w:pPr>
      <w:spacing w:before="60" w:after="60"/>
    </w:pPr>
  </w:style>
  <w:style w:type="paragraph" w:styleId="ListContinue">
    <w:name w:val="List Continue"/>
    <w:basedOn w:val="List"/>
    <w:rsid w:val="00E41C71"/>
    <w:pPr>
      <w:ind w:firstLine="0"/>
    </w:pPr>
  </w:style>
  <w:style w:type="paragraph" w:customStyle="1" w:styleId="ListNote">
    <w:name w:val="List Note"/>
    <w:basedOn w:val="List"/>
    <w:rsid w:val="00E41C71"/>
    <w:pPr>
      <w:pBdr>
        <w:top w:val="single" w:sz="6" w:space="2" w:color="918585"/>
        <w:bottom w:val="single" w:sz="6" w:space="2" w:color="918585"/>
      </w:pBdr>
      <w:tabs>
        <w:tab w:val="left" w:pos="1021"/>
      </w:tabs>
      <w:ind w:firstLine="0"/>
    </w:pPr>
  </w:style>
  <w:style w:type="paragraph" w:customStyle="1" w:styleId="Warning">
    <w:name w:val="Warning"/>
    <w:basedOn w:val="BodyText"/>
    <w:rsid w:val="00E41C71"/>
    <w:pPr>
      <w:shd w:val="clear" w:color="auto" w:fill="D9D9D9"/>
      <w:tabs>
        <w:tab w:val="left" w:pos="992"/>
      </w:tabs>
      <w:ind w:left="119" w:right="119"/>
    </w:pPr>
    <w:rPr>
      <w:sz w:val="20"/>
    </w:rPr>
  </w:style>
  <w:style w:type="paragraph" w:customStyle="1" w:styleId="MarginIcons">
    <w:name w:val="Margin Icons"/>
    <w:basedOn w:val="BodyText"/>
    <w:rsid w:val="00E41C7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41C71"/>
    <w:rPr>
      <w:rFonts w:ascii="Courier New" w:hAnsi="Courier New"/>
    </w:rPr>
  </w:style>
  <w:style w:type="paragraph" w:customStyle="1" w:styleId="NoteBullet">
    <w:name w:val="Note Bullet"/>
    <w:basedOn w:val="Note"/>
    <w:rsid w:val="00E41C71"/>
    <w:pPr>
      <w:tabs>
        <w:tab w:val="clear" w:pos="680"/>
      </w:tabs>
      <w:spacing w:before="60" w:after="60"/>
    </w:pPr>
  </w:style>
  <w:style w:type="paragraph" w:customStyle="1" w:styleId="SubHeading2">
    <w:name w:val="SubHeading2"/>
    <w:basedOn w:val="HeadingBase"/>
    <w:rsid w:val="00E41C71"/>
    <w:pPr>
      <w:spacing w:before="240" w:after="60"/>
    </w:pPr>
    <w:rPr>
      <w:sz w:val="20"/>
    </w:rPr>
  </w:style>
  <w:style w:type="paragraph" w:customStyle="1" w:styleId="SubHeading1">
    <w:name w:val="SubHeading1"/>
    <w:basedOn w:val="HeadingBase"/>
    <w:rsid w:val="00E41C71"/>
    <w:pPr>
      <w:spacing w:before="240" w:after="60"/>
    </w:pPr>
    <w:rPr>
      <w:color w:val="918585"/>
      <w:sz w:val="22"/>
    </w:rPr>
  </w:style>
  <w:style w:type="paragraph" w:customStyle="1" w:styleId="SideHeading">
    <w:name w:val="Side Heading"/>
    <w:basedOn w:val="HeadingBase"/>
    <w:rsid w:val="00E41C7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41C71"/>
    <w:pPr>
      <w:tabs>
        <w:tab w:val="num" w:pos="360"/>
      </w:tabs>
    </w:pPr>
  </w:style>
  <w:style w:type="paragraph" w:styleId="PlainText">
    <w:name w:val="Plain Text"/>
    <w:basedOn w:val="Normal"/>
    <w:link w:val="PlainTextChar"/>
    <w:rsid w:val="00E41C71"/>
    <w:rPr>
      <w:sz w:val="20"/>
    </w:rPr>
  </w:style>
  <w:style w:type="character" w:customStyle="1" w:styleId="PlainTextChar">
    <w:name w:val="Plain Text Char"/>
    <w:basedOn w:val="DefaultParagraphFont"/>
    <w:link w:val="PlainText"/>
    <w:rsid w:val="00E41C71"/>
    <w:rPr>
      <w:rFonts w:ascii="Courier New" w:eastAsia="Times New Roman" w:hAnsi="Courier New" w:cs="Times New Roman"/>
      <w:sz w:val="20"/>
      <w:szCs w:val="20"/>
      <w:lang w:eastAsia="en-US"/>
    </w:rPr>
  </w:style>
  <w:style w:type="character" w:customStyle="1" w:styleId="MenuOption">
    <w:name w:val="Menu Option"/>
    <w:basedOn w:val="DefaultParagraphFont"/>
    <w:rsid w:val="00E41C71"/>
    <w:rPr>
      <w:b/>
      <w:smallCaps/>
    </w:rPr>
  </w:style>
  <w:style w:type="paragraph" w:customStyle="1" w:styleId="TableListNumber">
    <w:name w:val="Table List Number"/>
    <w:basedOn w:val="ListNumber"/>
    <w:rsid w:val="00E41C71"/>
    <w:pPr>
      <w:numPr>
        <w:numId w:val="0"/>
      </w:numPr>
    </w:pPr>
  </w:style>
  <w:style w:type="paragraph" w:styleId="TOC4">
    <w:name w:val="toc 4"/>
    <w:basedOn w:val="TOCBase"/>
    <w:next w:val="Normal"/>
    <w:semiHidden/>
    <w:rsid w:val="00E41C71"/>
    <w:pPr>
      <w:tabs>
        <w:tab w:val="right" w:leader="dot" w:pos="9071"/>
      </w:tabs>
      <w:ind w:left="1701"/>
    </w:pPr>
  </w:style>
  <w:style w:type="paragraph" w:customStyle="1" w:styleId="ListAlpha">
    <w:name w:val="List Alpha"/>
    <w:basedOn w:val="List"/>
    <w:rsid w:val="00E41C71"/>
    <w:pPr>
      <w:numPr>
        <w:numId w:val="9"/>
      </w:numPr>
    </w:pPr>
  </w:style>
  <w:style w:type="paragraph" w:customStyle="1" w:styleId="ListAlpha2">
    <w:name w:val="List Alpha 2"/>
    <w:basedOn w:val="List2"/>
    <w:rsid w:val="00E41C71"/>
    <w:pPr>
      <w:numPr>
        <w:numId w:val="8"/>
      </w:numPr>
    </w:pPr>
  </w:style>
  <w:style w:type="paragraph" w:styleId="List2">
    <w:name w:val="List 2"/>
    <w:basedOn w:val="BodyText"/>
    <w:rsid w:val="00E41C71"/>
    <w:pPr>
      <w:tabs>
        <w:tab w:val="left" w:pos="680"/>
      </w:tabs>
      <w:spacing w:before="60" w:after="60"/>
      <w:ind w:left="680" w:hanging="340"/>
    </w:pPr>
  </w:style>
  <w:style w:type="paragraph" w:styleId="List3">
    <w:name w:val="List 3"/>
    <w:basedOn w:val="BodyText"/>
    <w:rsid w:val="00E41C71"/>
    <w:pPr>
      <w:tabs>
        <w:tab w:val="left" w:pos="1021"/>
      </w:tabs>
      <w:spacing w:before="60" w:after="60"/>
      <w:ind w:left="1020" w:hanging="340"/>
    </w:pPr>
  </w:style>
  <w:style w:type="paragraph" w:styleId="List4">
    <w:name w:val="List 4"/>
    <w:basedOn w:val="BodyText"/>
    <w:rsid w:val="00E41C71"/>
    <w:pPr>
      <w:tabs>
        <w:tab w:val="left" w:pos="1361"/>
      </w:tabs>
      <w:spacing w:before="60" w:after="60"/>
      <w:ind w:left="1361" w:hanging="340"/>
    </w:pPr>
  </w:style>
  <w:style w:type="paragraph" w:styleId="List5">
    <w:name w:val="List 5"/>
    <w:basedOn w:val="BodyText"/>
    <w:rsid w:val="00E41C71"/>
    <w:pPr>
      <w:tabs>
        <w:tab w:val="left" w:pos="1701"/>
      </w:tabs>
      <w:spacing w:before="60" w:after="60"/>
      <w:ind w:left="1701" w:hanging="340"/>
    </w:pPr>
  </w:style>
  <w:style w:type="paragraph" w:styleId="ListBullet3">
    <w:name w:val="List Bullet 3"/>
    <w:basedOn w:val="List3"/>
    <w:rsid w:val="00E41C71"/>
    <w:pPr>
      <w:numPr>
        <w:numId w:val="14"/>
      </w:numPr>
      <w:tabs>
        <w:tab w:val="clear" w:pos="1021"/>
      </w:tabs>
      <w:ind w:left="1037" w:hanging="357"/>
    </w:pPr>
  </w:style>
  <w:style w:type="paragraph" w:styleId="ListBullet4">
    <w:name w:val="List Bullet 4"/>
    <w:basedOn w:val="List4"/>
    <w:rsid w:val="00E41C71"/>
    <w:pPr>
      <w:numPr>
        <w:numId w:val="3"/>
      </w:numPr>
      <w:tabs>
        <w:tab w:val="clear" w:pos="1361"/>
      </w:tabs>
    </w:pPr>
  </w:style>
  <w:style w:type="paragraph" w:styleId="ListBullet5">
    <w:name w:val="List Bullet 5"/>
    <w:basedOn w:val="List5"/>
    <w:rsid w:val="00E41C71"/>
    <w:pPr>
      <w:numPr>
        <w:numId w:val="4"/>
      </w:numPr>
    </w:pPr>
  </w:style>
  <w:style w:type="paragraph" w:styleId="ListContinue2">
    <w:name w:val="List Continue 2"/>
    <w:basedOn w:val="List2"/>
    <w:rsid w:val="00E41C71"/>
    <w:pPr>
      <w:ind w:firstLine="0"/>
    </w:pPr>
  </w:style>
  <w:style w:type="paragraph" w:styleId="ListContinue3">
    <w:name w:val="List Continue 3"/>
    <w:basedOn w:val="List3"/>
    <w:rsid w:val="00E41C71"/>
    <w:pPr>
      <w:ind w:left="1021" w:firstLine="0"/>
    </w:pPr>
  </w:style>
  <w:style w:type="paragraph" w:styleId="ListContinue4">
    <w:name w:val="List Continue 4"/>
    <w:basedOn w:val="List4"/>
    <w:rsid w:val="00E41C71"/>
    <w:pPr>
      <w:ind w:firstLine="0"/>
    </w:pPr>
  </w:style>
  <w:style w:type="paragraph" w:styleId="ListContinue5">
    <w:name w:val="List Continue 5"/>
    <w:basedOn w:val="List5"/>
    <w:rsid w:val="00E41C71"/>
    <w:pPr>
      <w:ind w:firstLine="0"/>
    </w:pPr>
  </w:style>
  <w:style w:type="paragraph" w:styleId="ListNumber3">
    <w:name w:val="List Number 3"/>
    <w:basedOn w:val="List3"/>
    <w:rsid w:val="00E41C71"/>
    <w:pPr>
      <w:numPr>
        <w:numId w:val="5"/>
      </w:numPr>
    </w:pPr>
  </w:style>
  <w:style w:type="paragraph" w:styleId="ListNumber4">
    <w:name w:val="List Number 4"/>
    <w:basedOn w:val="List4"/>
    <w:rsid w:val="00E41C71"/>
    <w:pPr>
      <w:numPr>
        <w:numId w:val="6"/>
      </w:numPr>
    </w:pPr>
  </w:style>
  <w:style w:type="paragraph" w:styleId="ListNumber5">
    <w:name w:val="List Number 5"/>
    <w:basedOn w:val="List5"/>
    <w:rsid w:val="00E41C71"/>
    <w:pPr>
      <w:numPr>
        <w:numId w:val="7"/>
      </w:numPr>
    </w:pPr>
  </w:style>
  <w:style w:type="paragraph" w:styleId="BlockText">
    <w:name w:val="Block Text"/>
    <w:basedOn w:val="Normal"/>
    <w:rsid w:val="00E41C71"/>
    <w:pPr>
      <w:spacing w:after="120"/>
      <w:ind w:left="1440" w:right="1440"/>
    </w:pPr>
  </w:style>
  <w:style w:type="character" w:customStyle="1" w:styleId="Subscript">
    <w:name w:val="Subscript"/>
    <w:basedOn w:val="DefaultParagraphFont"/>
    <w:rsid w:val="00E41C71"/>
    <w:rPr>
      <w:sz w:val="16"/>
      <w:vertAlign w:val="subscript"/>
    </w:rPr>
  </w:style>
  <w:style w:type="character" w:customStyle="1" w:styleId="Superscript">
    <w:name w:val="Superscript"/>
    <w:basedOn w:val="DefaultParagraphFont"/>
    <w:rsid w:val="00E41C71"/>
    <w:rPr>
      <w:sz w:val="16"/>
      <w:vertAlign w:val="superscript"/>
    </w:rPr>
  </w:style>
  <w:style w:type="character" w:customStyle="1" w:styleId="Symbols">
    <w:name w:val="Symbols"/>
    <w:basedOn w:val="DefaultParagraphFont"/>
    <w:rsid w:val="00E41C71"/>
    <w:rPr>
      <w:rFonts w:ascii="Symbol" w:hAnsi="Symbol"/>
    </w:rPr>
  </w:style>
  <w:style w:type="character" w:customStyle="1" w:styleId="MenuOptions">
    <w:name w:val="Menu Options"/>
    <w:basedOn w:val="DefaultParagraphFont"/>
    <w:rsid w:val="00E41C71"/>
    <w:rPr>
      <w:rFonts w:ascii="Arial Narrow" w:hAnsi="Arial Narrow"/>
      <w:smallCaps/>
    </w:rPr>
  </w:style>
  <w:style w:type="character" w:customStyle="1" w:styleId="Buttons">
    <w:name w:val="Buttons"/>
    <w:basedOn w:val="DefaultParagraphFont"/>
    <w:rsid w:val="00E41C71"/>
    <w:rPr>
      <w:b/>
    </w:rPr>
  </w:style>
  <w:style w:type="character" w:customStyle="1" w:styleId="Underlined">
    <w:name w:val="Underlined"/>
    <w:basedOn w:val="DefaultParagraphFont"/>
    <w:rsid w:val="00E41C71"/>
    <w:rPr>
      <w:u w:val="single"/>
    </w:rPr>
  </w:style>
  <w:style w:type="paragraph" w:customStyle="1" w:styleId="TableBodyTextRight">
    <w:name w:val="Table Body Text Right"/>
    <w:basedOn w:val="TableBodyText"/>
    <w:rsid w:val="00E41C71"/>
    <w:pPr>
      <w:widowControl w:val="0"/>
      <w:autoSpaceDE w:val="0"/>
      <w:autoSpaceDN w:val="0"/>
      <w:adjustRightInd w:val="0"/>
      <w:jc w:val="right"/>
    </w:pPr>
    <w:rPr>
      <w:rFonts w:cs="Arial"/>
      <w:szCs w:val="18"/>
    </w:rPr>
  </w:style>
  <w:style w:type="paragraph" w:customStyle="1" w:styleId="CopyrightText">
    <w:name w:val="Copyright Text"/>
    <w:basedOn w:val="BodyText"/>
    <w:rsid w:val="00E41C71"/>
    <w:rPr>
      <w:sz w:val="18"/>
    </w:rPr>
  </w:style>
  <w:style w:type="paragraph" w:customStyle="1" w:styleId="BodySmallRight">
    <w:name w:val="Body Small Right"/>
    <w:basedOn w:val="BodyTextRight"/>
    <w:rsid w:val="00E41C71"/>
    <w:rPr>
      <w:sz w:val="18"/>
      <w:szCs w:val="18"/>
    </w:rPr>
  </w:style>
  <w:style w:type="paragraph" w:customStyle="1" w:styleId="MarginEdition">
    <w:name w:val="Margin Edition"/>
    <w:basedOn w:val="MarginNote"/>
    <w:rsid w:val="00E41C71"/>
    <w:pPr>
      <w:spacing w:before="0" w:after="0"/>
    </w:pPr>
    <w:rPr>
      <w:rFonts w:ascii="Times New Roman" w:hAnsi="Times New Roman"/>
      <w:color w:val="999999"/>
    </w:rPr>
  </w:style>
  <w:style w:type="paragraph" w:customStyle="1" w:styleId="Spacer">
    <w:name w:val="Spacer"/>
    <w:basedOn w:val="Normal"/>
    <w:rsid w:val="00E41C71"/>
    <w:rPr>
      <w:sz w:val="2"/>
      <w:szCs w:val="2"/>
    </w:rPr>
  </w:style>
  <w:style w:type="character" w:customStyle="1" w:styleId="Small">
    <w:name w:val="Small"/>
    <w:basedOn w:val="DefaultParagraphFont"/>
    <w:rsid w:val="00E41C71"/>
    <w:rPr>
      <w:sz w:val="16"/>
    </w:rPr>
  </w:style>
  <w:style w:type="paragraph" w:customStyle="1" w:styleId="WideTable">
    <w:name w:val="Wide Table"/>
    <w:basedOn w:val="Normal"/>
    <w:rsid w:val="00E41C71"/>
    <w:pPr>
      <w:ind w:left="-1418"/>
    </w:pPr>
    <w:rPr>
      <w:sz w:val="2"/>
      <w:szCs w:val="2"/>
    </w:rPr>
  </w:style>
  <w:style w:type="character" w:styleId="PageNumber">
    <w:name w:val="page number"/>
    <w:basedOn w:val="DefaultParagraphFont"/>
    <w:rsid w:val="00E41C71"/>
  </w:style>
  <w:style w:type="paragraph" w:styleId="Quote">
    <w:name w:val="Quote"/>
    <w:basedOn w:val="Heading1"/>
    <w:link w:val="QuoteChar"/>
    <w:qFormat/>
    <w:rsid w:val="00E41C71"/>
    <w:rPr>
      <w:b w:val="0"/>
      <w:sz w:val="72"/>
      <w:szCs w:val="72"/>
      <w:lang w:val="en-NZ"/>
    </w:rPr>
  </w:style>
  <w:style w:type="character" w:customStyle="1" w:styleId="QuoteChar">
    <w:name w:val="Quote Char"/>
    <w:basedOn w:val="DefaultParagraphFont"/>
    <w:link w:val="Quote"/>
    <w:rsid w:val="00E41C7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41C71"/>
    <w:pPr>
      <w:pageBreakBefore/>
    </w:pPr>
  </w:style>
  <w:style w:type="paragraph" w:customStyle="1" w:styleId="Border">
    <w:name w:val="Border"/>
    <w:basedOn w:val="Normal"/>
    <w:qFormat/>
    <w:rsid w:val="00E41C7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41C71"/>
    <w:rPr>
      <w:b/>
      <w:bCs/>
      <w:i/>
      <w:iCs/>
      <w:color w:val="auto"/>
    </w:rPr>
  </w:style>
  <w:style w:type="paragraph" w:styleId="IntenseQuote">
    <w:name w:val="Intense Quote"/>
    <w:basedOn w:val="Normal"/>
    <w:next w:val="Normal"/>
    <w:link w:val="IntenseQuoteChar"/>
    <w:uiPriority w:val="30"/>
    <w:qFormat/>
    <w:rsid w:val="00E41C7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41C7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41C71"/>
    <w:rPr>
      <w:smallCaps/>
      <w:color w:val="auto"/>
      <w:u w:val="single"/>
    </w:rPr>
  </w:style>
  <w:style w:type="character" w:styleId="IntenseReference">
    <w:name w:val="Intense Reference"/>
    <w:basedOn w:val="DefaultParagraphFont"/>
    <w:uiPriority w:val="32"/>
    <w:qFormat/>
    <w:rsid w:val="00E41C71"/>
    <w:rPr>
      <w:b/>
      <w:bCs/>
      <w:smallCaps/>
      <w:color w:val="auto"/>
      <w:spacing w:val="5"/>
      <w:u w:val="single"/>
    </w:rPr>
  </w:style>
  <w:style w:type="paragraph" w:customStyle="1" w:styleId="2ColumnHeading">
    <w:name w:val="2Column Heading"/>
    <w:basedOn w:val="BodyText"/>
    <w:qFormat/>
    <w:rsid w:val="00E41C71"/>
    <w:pPr>
      <w:spacing w:after="60"/>
      <w:ind w:left="-2268"/>
    </w:pPr>
    <w:rPr>
      <w:b/>
    </w:rPr>
  </w:style>
  <w:style w:type="paragraph" w:customStyle="1" w:styleId="Heading1TOC">
    <w:name w:val="Heading1 TOC"/>
    <w:basedOn w:val="Normal"/>
    <w:qFormat/>
    <w:rsid w:val="00E41C71"/>
    <w:pPr>
      <w:spacing w:before="240" w:after="120"/>
    </w:pPr>
    <w:rPr>
      <w:rFonts w:ascii="Times New Roman" w:hAnsi="Times New Roman"/>
      <w:b/>
      <w:sz w:val="32"/>
    </w:rPr>
  </w:style>
  <w:style w:type="paragraph" w:customStyle="1" w:styleId="Heading2TOC">
    <w:name w:val="Heading2 TOC"/>
    <w:basedOn w:val="Normal"/>
    <w:qFormat/>
    <w:rsid w:val="00E41C71"/>
    <w:pPr>
      <w:spacing w:before="240" w:after="60"/>
    </w:pPr>
    <w:rPr>
      <w:rFonts w:ascii="Times New Roman" w:hAnsi="Times New Roman"/>
      <w:b/>
      <w:sz w:val="28"/>
    </w:rPr>
  </w:style>
  <w:style w:type="character" w:customStyle="1" w:styleId="Underline">
    <w:name w:val="Underline"/>
    <w:basedOn w:val="DefaultParagraphFont"/>
    <w:qFormat/>
    <w:rsid w:val="00E41C71"/>
    <w:rPr>
      <w:u w:val="single"/>
    </w:rPr>
  </w:style>
  <w:style w:type="character" w:customStyle="1" w:styleId="BoldandItalics">
    <w:name w:val="Bold and Italics"/>
    <w:qFormat/>
    <w:rsid w:val="00E41C71"/>
    <w:rPr>
      <w:b/>
      <w:i/>
      <w:u w:val="none"/>
    </w:rPr>
  </w:style>
  <w:style w:type="paragraph" w:styleId="BalloonText">
    <w:name w:val="Balloon Text"/>
    <w:basedOn w:val="Normal"/>
    <w:link w:val="BalloonTextChar"/>
    <w:rsid w:val="00E41C71"/>
    <w:rPr>
      <w:rFonts w:ascii="Tahoma" w:hAnsi="Tahoma" w:cs="Tahoma"/>
      <w:sz w:val="16"/>
      <w:szCs w:val="16"/>
    </w:rPr>
  </w:style>
  <w:style w:type="character" w:customStyle="1" w:styleId="BalloonTextChar">
    <w:name w:val="Balloon Text Char"/>
    <w:basedOn w:val="DefaultParagraphFont"/>
    <w:link w:val="BalloonText"/>
    <w:rsid w:val="00E41C7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41C71"/>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E41C7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41C71"/>
    <w:rPr>
      <w:b/>
      <w:color w:val="660033"/>
      <w:spacing w:val="0"/>
    </w:rPr>
  </w:style>
  <w:style w:type="paragraph" w:customStyle="1" w:styleId="Nameditemlist">
    <w:name w:val="Named item list"/>
    <w:basedOn w:val="BodyText"/>
    <w:qFormat/>
    <w:rsid w:val="00E41C71"/>
    <w:pPr>
      <w:tabs>
        <w:tab w:val="left" w:pos="2835"/>
      </w:tabs>
      <w:ind w:left="2835" w:hanging="2835"/>
    </w:pPr>
  </w:style>
  <w:style w:type="paragraph" w:customStyle="1" w:styleId="BodyTextnopadding">
    <w:name w:val="Body Text no padding"/>
    <w:basedOn w:val="BodyText"/>
    <w:qFormat/>
    <w:rsid w:val="00E41C71"/>
    <w:pPr>
      <w:spacing w:before="0" w:after="0"/>
    </w:pPr>
  </w:style>
  <w:style w:type="paragraph" w:customStyle="1" w:styleId="BodyTextBold">
    <w:name w:val="Body Text Bold"/>
    <w:basedOn w:val="BodyText"/>
    <w:qFormat/>
    <w:rsid w:val="00E41C71"/>
    <w:rPr>
      <w:b/>
    </w:rPr>
  </w:style>
  <w:style w:type="character" w:styleId="Hyperlink">
    <w:name w:val="Hyperlink"/>
    <w:basedOn w:val="DefaultParagraphFont"/>
    <w:uiPriority w:val="99"/>
    <w:unhideWhenUsed/>
    <w:rsid w:val="00F9235F"/>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1127</Words>
  <Characters>7326</Characters>
  <Application>Microsoft Office Word</Application>
  <DocSecurity>0</DocSecurity>
  <Lines>281</Lines>
  <Paragraphs>156</Paragraphs>
  <ScaleCrop>false</ScaleCrop>
  <Company>Author-it Software Corporation Ltd.</Company>
  <LinksUpToDate>false</LinksUpToDate>
  <CharactersWithSpaces>8297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PMASUP341 Monitor and maintain instrument and control systems</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2022-09-21T04:41:00Z</dcterms:created>
  <dcterms:modified xsi:type="dcterms:W3CDTF">2022-09-21T04:41:00Z</dcterms:modified>
</cp:coreProperties>
</file>