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36C5" w:rsidP="001536C5">
      <w:pPr>
        <w:pStyle w:val="Title"/>
      </w:pPr>
      <w:r>
        <w:fldChar w:fldCharType="begin"/>
      </w:r>
      <w:r>
        <w:instrText xml:space="preserve"> TITLE   \* MERGEFORMAT </w:instrText>
      </w:r>
      <w:r>
        <w:fldChar w:fldCharType="separate"/>
      </w:r>
      <w:r>
        <w:t>PMASUP305 Operate offshore cranes</w:t>
      </w:r>
      <w:r>
        <w:fldChar w:fldCharType="end"/>
      </w:r>
    </w:p>
    <w:p w:rsidR="001536C5" w:rsidP="001536C5">
      <w:pPr>
        <w:pStyle w:val="Version"/>
        <w:sectPr w:rsidSect="00ED4A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4ACA" w:rsidP="00ED4ACA">
      <w:pPr>
        <w:pStyle w:val="SuperHeading"/>
      </w:pPr>
      <w:r w:rsidRPr="00ED4ACA">
        <w:t>PMASUP305 Operate offshore cranes</w:t>
      </w:r>
    </w:p>
    <w:p w:rsidR="00000000" w:rsidRPr="00ED4ACA" w:rsidP="00ED4ACA">
      <w:pPr>
        <w:pStyle w:val="Heading1"/>
      </w:pPr>
      <w:bookmarkStart w:id="1" w:name="O_909665"/>
      <w:bookmarkEnd w:id="1"/>
      <w:r w:rsidRPr="00ED4ACA">
        <w:t>Modification History</w:t>
      </w:r>
    </w:p>
    <w:p w:rsidR="00000000" w:rsidRPr="00ED4ACA" w:rsidP="001536C5">
      <w:pPr>
        <w:pStyle w:val="BodyText"/>
      </w:pPr>
      <w:r w:rsidRPr="00ED4ACA">
        <w:t>Release 1. Supersedes and is equivalent to PMASUP305A Operate offshore cranes</w:t>
      </w:r>
    </w:p>
    <w:p w:rsidR="00000000" w:rsidRPr="00ED4ACA" w:rsidP="00ED4ACA">
      <w:pPr>
        <w:pStyle w:val="Heading1"/>
      </w:pPr>
      <w:bookmarkStart w:id="2" w:name="O_909673"/>
      <w:bookmarkEnd w:id="2"/>
      <w:r w:rsidRPr="00ED4ACA">
        <w:t>Application</w:t>
      </w:r>
    </w:p>
    <w:p w:rsidR="00000000" w:rsidRPr="00ED4ACA" w:rsidP="001536C5">
      <w:pPr>
        <w:pStyle w:val="BodyText"/>
      </w:pPr>
      <w:r w:rsidRPr="00ED4ACA">
        <w:t xml:space="preserve">This unit of competency covers the skills and knowledge required to operate a crane on an offshore facility. </w:t>
      </w:r>
    </w:p>
    <w:p w:rsidR="00000000" w:rsidRPr="00ED4ACA" w:rsidP="001536C5">
      <w:pPr>
        <w:pStyle w:val="BodyText"/>
      </w:pPr>
      <w:r w:rsidRPr="00ED4ACA">
        <w:t>This unit of comp</w:t>
      </w:r>
      <w:r w:rsidRPr="00ED4ACA">
        <w:t xml:space="preserve">etency applies to the transfer of equipment to and from the support vessel, transfer of personnel between the facility and another vessel using appropriate approved equipment, and safe management of loads during diving operations.  </w:t>
      </w:r>
    </w:p>
    <w:p w:rsidR="00000000" w:rsidRPr="00ED4ACA" w:rsidP="001536C5">
      <w:pPr>
        <w:pStyle w:val="BodyText"/>
      </w:pPr>
      <w:r w:rsidRPr="00ED4ACA">
        <w:t>This unit of competenc</w:t>
      </w:r>
      <w:r w:rsidRPr="00ED4ACA">
        <w:t xml:space="preserve">y applies to operators who are required to ensure all equipment and materials for the job are available and meet specifications, establish lifting/discharge sequence, ensure that lifts are conducted within operational, safety and environmental limits, and </w:t>
      </w:r>
      <w:r w:rsidRPr="00ED4ACA">
        <w:t>liaise and cooperate with other members of the facility onboard team.</w:t>
      </w:r>
    </w:p>
    <w:p w:rsidR="00000000" w:rsidRPr="00ED4ACA" w:rsidP="001536C5">
      <w:pPr>
        <w:pStyle w:val="BodyText"/>
      </w:pPr>
      <w:r w:rsidRPr="00ED4ACA">
        <w:t>This unit of competency applies to any type of crane used in offshore facilities. Examples include:</w:t>
      </w:r>
    </w:p>
    <w:p w:rsidR="00000000" w:rsidRPr="00ED4ACA" w:rsidP="00ED4ACA">
      <w:pPr>
        <w:pStyle w:val="ListBullet"/>
      </w:pPr>
      <w:r w:rsidRPr="00ED4ACA">
        <w:t>Derrick</w:t>
      </w:r>
    </w:p>
    <w:p w:rsidR="00000000" w:rsidRPr="00ED4ACA" w:rsidP="00ED4ACA">
      <w:pPr>
        <w:pStyle w:val="ListBullet"/>
      </w:pPr>
      <w:r w:rsidRPr="00ED4ACA">
        <w:t>Slewing pedestal</w:t>
      </w:r>
    </w:p>
    <w:p w:rsidR="00000000" w:rsidRPr="00ED4ACA" w:rsidP="00ED4ACA">
      <w:pPr>
        <w:pStyle w:val="ListBullet"/>
      </w:pPr>
      <w:r w:rsidRPr="00ED4ACA">
        <w:t xml:space="preserve">Bridge and gantry </w:t>
      </w:r>
    </w:p>
    <w:p w:rsidR="00000000" w:rsidRPr="00ED4ACA" w:rsidP="00ED4ACA">
      <w:pPr>
        <w:pStyle w:val="ListBullet"/>
      </w:pPr>
      <w:r w:rsidRPr="00ED4ACA">
        <w:t xml:space="preserve">Knuckleboom </w:t>
      </w:r>
    </w:p>
    <w:p w:rsidR="00000000" w:rsidRPr="00ED4ACA" w:rsidP="00ED4ACA">
      <w:pPr>
        <w:pStyle w:val="ListBullet"/>
      </w:pPr>
      <w:r w:rsidRPr="00ED4ACA">
        <w:t>Mobile slewing crane.</w:t>
      </w:r>
    </w:p>
    <w:p w:rsidR="00000000" w:rsidRPr="00ED4ACA" w:rsidP="00ED4ACA">
      <w:pPr>
        <w:pStyle w:val="BodyText"/>
      </w:pPr>
    </w:p>
    <w:p w:rsidR="00000000" w:rsidRPr="00ED4ACA" w:rsidP="001536C5">
      <w:pPr>
        <w:pStyle w:val="BodyText"/>
      </w:pPr>
      <w:r w:rsidRPr="00ED4ACA">
        <w:t>Some</w:t>
      </w:r>
      <w:r w:rsidRPr="00ED4ACA">
        <w:t xml:space="preserve"> jurisdictions may require the holder of this unit to be licensed or certified and users should check with the relevant authorities.</w:t>
      </w:r>
    </w:p>
    <w:p w:rsidR="00000000" w:rsidRPr="00ED4ACA" w:rsidP="00ED4ACA">
      <w:pPr>
        <w:pStyle w:val="Heading1"/>
      </w:pPr>
      <w:bookmarkStart w:id="3" w:name="O_909672"/>
      <w:bookmarkEnd w:id="3"/>
      <w:r w:rsidRPr="00ED4ACA">
        <w:t>Pre-requisite Unit</w:t>
      </w:r>
    </w:p>
    <w:p w:rsidR="00000000" w:rsidRPr="00ED4ACA" w:rsidP="001536C5">
      <w:pPr>
        <w:pStyle w:val="BodyText"/>
      </w:pPr>
      <w:r w:rsidRPr="00ED4ACA">
        <w:t>Nil</w:t>
      </w:r>
    </w:p>
    <w:p w:rsidR="00000000" w:rsidRPr="00ED4ACA" w:rsidP="00ED4ACA">
      <w:pPr>
        <w:pStyle w:val="Heading1"/>
      </w:pPr>
      <w:bookmarkStart w:id="4" w:name="O_909671"/>
      <w:bookmarkEnd w:id="4"/>
      <w:r w:rsidRPr="00ED4ACA">
        <w:t>Competency Field</w:t>
      </w:r>
    </w:p>
    <w:p w:rsidR="00000000" w:rsidRPr="00ED4ACA" w:rsidP="001536C5">
      <w:pPr>
        <w:pStyle w:val="BodyText"/>
      </w:pPr>
      <w:r w:rsidRPr="00ED4ACA">
        <w:t>Support</w:t>
      </w:r>
    </w:p>
    <w:p w:rsidR="00000000" w:rsidRPr="00ED4ACA" w:rsidP="00ED4ACA">
      <w:pPr>
        <w:pStyle w:val="Heading1"/>
      </w:pPr>
      <w:bookmarkStart w:id="5" w:name="O_909670"/>
      <w:bookmarkEnd w:id="5"/>
      <w:r w:rsidRPr="00ED4ACA">
        <w:t>Unit Sector</w:t>
      </w:r>
    </w:p>
    <w:p w:rsidR="00000000" w:rsidRPr="00ED4ACA" w:rsidP="00ED4ACA">
      <w:pPr>
        <w:pStyle w:val="Heading1"/>
      </w:pPr>
      <w:bookmarkStart w:id="6" w:name="O_909669"/>
      <w:bookmarkEnd w:id="6"/>
      <w:r w:rsidRPr="00ED4AC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D4AC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Performance criteria describe the performance needed to demonstrate achievement of the element.</w:t>
            </w:r>
          </w:p>
        </w:tc>
      </w:tr>
      <w:tr w:rsidTr="00ED4A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4ACA" w:rsidP="00ED4ACA">
            <w:pPr>
              <w:pStyle w:val="BodyText"/>
            </w:pPr>
            <w:r w:rsidRPr="00ED4ACA">
              <w:t>1</w:t>
            </w:r>
          </w:p>
        </w:tc>
        <w:tc>
          <w:tcPr>
            <w:tcW w:w="1962" w:type="dxa"/>
            <w:vMerge w:val="restart"/>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rPr>
                <w:rStyle w:val="SpecialBold"/>
              </w:rPr>
              <w:t>Plan and prepare for lift</w:t>
            </w:r>
          </w:p>
        </w:tc>
        <w:tc>
          <w:tcPr>
            <w:tcW w:w="77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1.1</w:t>
            </w:r>
          </w:p>
        </w:tc>
        <w:tc>
          <w:tcPr>
            <w:tcW w:w="561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Determine job requirements, including pot</w:t>
            </w:r>
            <w:r w:rsidRPr="00ED4ACA">
              <w:t>ential hazards</w:t>
            </w:r>
          </w:p>
        </w:tc>
      </w:tr>
      <w:tr w:rsidTr="00ED4A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1.2</w:t>
            </w:r>
          </w:p>
        </w:tc>
        <w:tc>
          <w:tcPr>
            <w:tcW w:w="561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Identify and apply environmental requirements for the lift in accordance with company procedures and crane limitations</w:t>
            </w:r>
          </w:p>
        </w:tc>
      </w:tr>
      <w:tr w:rsidTr="00ED4A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1.3</w:t>
            </w:r>
          </w:p>
        </w:tc>
        <w:tc>
          <w:tcPr>
            <w:tcW w:w="561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Check suitability of load to be lifted</w:t>
            </w:r>
          </w:p>
        </w:tc>
      </w:tr>
      <w:tr w:rsidTr="00ED4A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1.4</w:t>
            </w:r>
          </w:p>
        </w:tc>
        <w:tc>
          <w:tcPr>
            <w:tcW w:w="561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Identify, obtain and inspect materials, equipment and resources to satisfy the job requirements</w:t>
            </w:r>
          </w:p>
        </w:tc>
      </w:tr>
      <w:tr w:rsidTr="00ED4A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1.5</w:t>
            </w:r>
          </w:p>
        </w:tc>
        <w:tc>
          <w:tcPr>
            <w:tcW w:w="561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Follow safety and environmental requirements in accordance with site-specific procedures</w:t>
            </w:r>
          </w:p>
        </w:tc>
      </w:tr>
      <w:tr w:rsidTr="00ED4A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1.6</w:t>
            </w:r>
          </w:p>
        </w:tc>
        <w:tc>
          <w:tcPr>
            <w:tcW w:w="561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Discuss contingency plans with lifting team members, including supply vessel crew</w:t>
            </w:r>
          </w:p>
        </w:tc>
      </w:tr>
      <w:tr w:rsidTr="00ED4A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1.7</w:t>
            </w:r>
          </w:p>
        </w:tc>
        <w:tc>
          <w:tcPr>
            <w:tcW w:w="561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Check work location for safe working area requirements</w:t>
            </w:r>
          </w:p>
        </w:tc>
      </w:tr>
      <w:tr w:rsidTr="00ED4AC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D4ACA">
            <w:pPr>
              <w:pStyle w:val="BodyText"/>
              <w:rPr>
                <w:lang w:val="en-NZ"/>
              </w:rPr>
            </w:pPr>
          </w:p>
        </w:tc>
      </w:tr>
      <w:tr w:rsidTr="00ED4A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4ACA" w:rsidP="00ED4ACA">
            <w:pPr>
              <w:pStyle w:val="BodyText"/>
            </w:pPr>
            <w:r w:rsidRPr="00ED4ACA">
              <w:t>2</w:t>
            </w:r>
          </w:p>
        </w:tc>
        <w:tc>
          <w:tcPr>
            <w:tcW w:w="1962" w:type="dxa"/>
            <w:vMerge w:val="restart"/>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rPr>
                <w:rStyle w:val="SpecialBold"/>
              </w:rPr>
              <w:t>Conduct routine checks of the crane</w:t>
            </w:r>
          </w:p>
        </w:tc>
        <w:tc>
          <w:tcPr>
            <w:tcW w:w="77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2.1</w:t>
            </w:r>
          </w:p>
        </w:tc>
        <w:tc>
          <w:tcPr>
            <w:tcW w:w="561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Carry out routine pre-operational equipment checks in accordance with company procedures</w:t>
            </w:r>
          </w:p>
        </w:tc>
      </w:tr>
      <w:tr w:rsidTr="00ED4A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2.2</w:t>
            </w:r>
          </w:p>
        </w:tc>
        <w:tc>
          <w:tcPr>
            <w:tcW w:w="561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Commence start-up procedures and check crane controls for correct operation and ease of movement</w:t>
            </w:r>
          </w:p>
        </w:tc>
      </w:tr>
      <w:tr w:rsidTr="00ED4A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2.3</w:t>
            </w:r>
          </w:p>
        </w:tc>
        <w:tc>
          <w:tcPr>
            <w:tcW w:w="561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Check communication systems are fully operational</w:t>
            </w:r>
          </w:p>
        </w:tc>
      </w:tr>
      <w:tr w:rsidTr="00ED4A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2.4</w:t>
            </w:r>
          </w:p>
        </w:tc>
        <w:tc>
          <w:tcPr>
            <w:tcW w:w="561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Check emergency safety devices are fully operational</w:t>
            </w:r>
          </w:p>
        </w:tc>
      </w:tr>
      <w:tr w:rsidTr="00ED4AC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D4ACA">
            <w:pPr>
              <w:pStyle w:val="BodyText"/>
              <w:rPr>
                <w:lang w:val="en-NZ"/>
              </w:rPr>
            </w:pPr>
          </w:p>
        </w:tc>
      </w:tr>
      <w:tr w:rsidTr="00ED4A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4ACA" w:rsidP="00ED4ACA">
            <w:pPr>
              <w:pStyle w:val="BodyText"/>
            </w:pPr>
            <w:r w:rsidRPr="00ED4ACA">
              <w:t>3</w:t>
            </w:r>
          </w:p>
        </w:tc>
        <w:tc>
          <w:tcPr>
            <w:tcW w:w="1962" w:type="dxa"/>
            <w:vMerge w:val="restart"/>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rPr>
                <w:rStyle w:val="SpecialBold"/>
              </w:rPr>
              <w:t>Communicate with work group</w:t>
            </w:r>
          </w:p>
        </w:tc>
        <w:tc>
          <w:tcPr>
            <w:tcW w:w="77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3.1</w:t>
            </w:r>
          </w:p>
        </w:tc>
        <w:tc>
          <w:tcPr>
            <w:tcW w:w="561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Establish and communicate job sequencing schedule with team and/or crew members to ensure an appropriate level of coordination</w:t>
            </w:r>
          </w:p>
        </w:tc>
      </w:tr>
      <w:tr w:rsidTr="00ED4A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3.2</w:t>
            </w:r>
          </w:p>
        </w:tc>
        <w:tc>
          <w:tcPr>
            <w:tcW w:w="561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Advise team members of changes to lifting schedule as required</w:t>
            </w:r>
          </w:p>
        </w:tc>
      </w:tr>
      <w:tr w:rsidTr="00ED4A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3.3</w:t>
            </w:r>
          </w:p>
        </w:tc>
        <w:tc>
          <w:tcPr>
            <w:tcW w:w="561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Identify and use communication methods in accordance with company procedures</w:t>
            </w:r>
          </w:p>
        </w:tc>
      </w:tr>
      <w:tr w:rsidTr="00ED4AC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D4ACA">
            <w:pPr>
              <w:pStyle w:val="BodyText"/>
              <w:rPr>
                <w:lang w:val="en-NZ"/>
              </w:rPr>
            </w:pPr>
          </w:p>
        </w:tc>
      </w:tr>
      <w:tr w:rsidTr="00ED4A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4ACA" w:rsidP="00ED4ACA">
            <w:pPr>
              <w:pStyle w:val="BodyText"/>
            </w:pPr>
            <w:r w:rsidRPr="00ED4ACA">
              <w:t>4</w:t>
            </w:r>
          </w:p>
        </w:tc>
        <w:tc>
          <w:tcPr>
            <w:tcW w:w="1962" w:type="dxa"/>
            <w:vMerge w:val="restart"/>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rPr>
                <w:rStyle w:val="SpecialBold"/>
              </w:rPr>
              <w:t>Operate crane offshore</w:t>
            </w:r>
          </w:p>
        </w:tc>
        <w:tc>
          <w:tcPr>
            <w:tcW w:w="77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4.1</w:t>
            </w:r>
          </w:p>
        </w:tc>
        <w:tc>
          <w:tcPr>
            <w:tcW w:w="561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Determine the load destination and check integrity of the landing area</w:t>
            </w:r>
          </w:p>
        </w:tc>
      </w:tr>
      <w:tr w:rsidTr="00ED4A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4.2</w:t>
            </w:r>
          </w:p>
        </w:tc>
        <w:tc>
          <w:tcPr>
            <w:tcW w:w="561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Conduct a trial lift</w:t>
            </w:r>
          </w:p>
        </w:tc>
      </w:tr>
      <w:tr w:rsidTr="00ED4A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4.3</w:t>
            </w:r>
          </w:p>
        </w:tc>
        <w:tc>
          <w:tcPr>
            <w:tcW w:w="561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Lift, move and place load safely to required destination</w:t>
            </w:r>
          </w:p>
        </w:tc>
      </w:tr>
      <w:tr w:rsidTr="00ED4A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4.4</w:t>
            </w:r>
          </w:p>
        </w:tc>
        <w:tc>
          <w:tcPr>
            <w:tcW w:w="561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Respond to changes to lifting schedule when warranted</w:t>
            </w:r>
          </w:p>
        </w:tc>
      </w:tr>
      <w:tr w:rsidTr="00ED4A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4.5</w:t>
            </w:r>
          </w:p>
        </w:tc>
        <w:tc>
          <w:tcPr>
            <w:tcW w:w="561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Use appropriate communication methods to coordinate safe movement of the load</w:t>
            </w:r>
          </w:p>
        </w:tc>
      </w:tr>
      <w:tr w:rsidTr="00ED4AC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D4ACA">
            <w:pPr>
              <w:pStyle w:val="BodyText"/>
              <w:rPr>
                <w:lang w:val="en-NZ"/>
              </w:rPr>
            </w:pPr>
          </w:p>
        </w:tc>
      </w:tr>
      <w:tr w:rsidTr="00ED4A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4ACA" w:rsidP="00ED4ACA">
            <w:pPr>
              <w:pStyle w:val="BodyText"/>
            </w:pPr>
            <w:r w:rsidRPr="00ED4ACA">
              <w:t>5</w:t>
            </w:r>
          </w:p>
        </w:tc>
        <w:tc>
          <w:tcPr>
            <w:tcW w:w="1962" w:type="dxa"/>
            <w:vMerge w:val="restart"/>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rPr>
                <w:rStyle w:val="SpecialBold"/>
              </w:rPr>
              <w:t>Shut down crane and review operations</w:t>
            </w:r>
          </w:p>
        </w:tc>
        <w:tc>
          <w:tcPr>
            <w:tcW w:w="77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5.1</w:t>
            </w:r>
          </w:p>
        </w:tc>
        <w:tc>
          <w:tcPr>
            <w:tcW w:w="561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Clear work area and dispose of or deal with materials in accordance with procedures and job specification</w:t>
            </w:r>
          </w:p>
        </w:tc>
      </w:tr>
      <w:tr w:rsidTr="00ED4A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5.2</w:t>
            </w:r>
          </w:p>
        </w:tc>
        <w:tc>
          <w:tcPr>
            <w:tcW w:w="561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Shut down crane in accordance with company procedures</w:t>
            </w:r>
          </w:p>
        </w:tc>
      </w:tr>
      <w:tr w:rsidTr="00ED4A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5.3</w:t>
            </w:r>
          </w:p>
        </w:tc>
        <w:tc>
          <w:tcPr>
            <w:tcW w:w="561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Apply work completion procedures and notify relevant personnel that work is finished</w:t>
            </w:r>
          </w:p>
        </w:tc>
      </w:tr>
      <w:tr w:rsidTr="00ED4A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5.4</w:t>
            </w:r>
          </w:p>
        </w:tc>
        <w:tc>
          <w:tcPr>
            <w:tcW w:w="5610" w:type="dxa"/>
            <w:tcBorders>
              <w:top w:val="nil"/>
              <w:left w:val="nil"/>
              <w:bottom w:val="nil"/>
              <w:right w:val="nil"/>
            </w:tcBorders>
            <w:tcMar>
              <w:top w:w="0" w:type="dxa"/>
              <w:left w:w="62" w:type="dxa"/>
              <w:bottom w:w="0" w:type="dxa"/>
              <w:right w:w="62" w:type="dxa"/>
            </w:tcMar>
          </w:tcPr>
          <w:p w:rsidR="00000000" w:rsidRPr="00ED4ACA" w:rsidP="00ED4ACA">
            <w:pPr>
              <w:pStyle w:val="BodyText"/>
            </w:pPr>
            <w:r w:rsidRPr="00ED4ACA">
              <w:t>Review operations, report and record learnings and significant findings</w:t>
            </w:r>
          </w:p>
        </w:tc>
      </w:tr>
    </w:tbl>
    <w:p w:rsidR="001536C5" w:rsidP="00ED4ACA">
      <w:pPr>
        <w:pStyle w:val="BodyText"/>
      </w:pPr>
    </w:p>
    <w:p w:rsidR="001536C5" w:rsidP="00ED4ACA">
      <w:pPr>
        <w:pStyle w:val="BodyText"/>
      </w:pPr>
    </w:p>
    <w:p w:rsidR="00000000" w:rsidRPr="00ED4ACA" w:rsidP="00ED4ACA">
      <w:pPr>
        <w:pStyle w:val="Heading1"/>
      </w:pPr>
      <w:bookmarkStart w:id="7" w:name="O_909668"/>
      <w:bookmarkEnd w:id="7"/>
      <w:r w:rsidRPr="00ED4ACA">
        <w:t>Foundation Skills</w:t>
      </w:r>
    </w:p>
    <w:p w:rsidR="00000000" w:rsidRPr="00ED4ACA" w:rsidP="001536C5">
      <w:pPr>
        <w:pStyle w:val="BodyText"/>
      </w:pPr>
      <w:r w:rsidRPr="00ED4ACA">
        <w:t>This section describes those language, literacy, numer</w:t>
      </w:r>
      <w:r w:rsidRPr="00ED4ACA">
        <w:t>acy and employment skills that are essential to performance.</w:t>
      </w:r>
    </w:p>
    <w:p w:rsidR="00000000" w:rsidRPr="00ED4ACA" w:rsidP="001536C5">
      <w:pPr>
        <w:pStyle w:val="BodyText"/>
      </w:pPr>
      <w:r w:rsidRPr="00ED4ACA">
        <w:t>Foundation skills essential to performance are explicit in the performance criteria of this unit of competency.</w:t>
      </w:r>
    </w:p>
    <w:p w:rsidR="00000000" w:rsidRPr="00ED4ACA" w:rsidP="00ED4ACA">
      <w:pPr>
        <w:pStyle w:val="Heading1"/>
      </w:pPr>
      <w:bookmarkStart w:id="8" w:name="O_909667"/>
      <w:bookmarkEnd w:id="8"/>
      <w:r w:rsidRPr="00ED4ACA">
        <w:t>Range of Conditions</w:t>
      </w:r>
    </w:p>
    <w:tbl>
      <w:tblPr>
        <w:tblW w:w="0" w:type="auto"/>
        <w:tblCellMar>
          <w:left w:w="62" w:type="dxa"/>
          <w:right w:w="62" w:type="dxa"/>
        </w:tblCellMar>
        <w:tblLook w:val="0000"/>
      </w:tblPr>
      <w:tblGrid>
        <w:gridCol w:w="2163"/>
        <w:gridCol w:w="7033"/>
      </w:tblGrid>
      <w:tr w:rsidTr="001536C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t>This field allows for different work environm</w:t>
            </w:r>
            <w:r w:rsidRPr="00ED4ACA">
              <w:t>ents and conditions that may affect performance. Essential operating conditions that may be present (depending on the work situation, needs of the candidate, accessibility of the item, and local industry and regional contexts) are included.</w:t>
            </w:r>
          </w:p>
        </w:tc>
      </w:tr>
      <w:tr w:rsidTr="001536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ED4ACA" w:rsidP="00ED4ACA">
            <w:pPr>
              <w:pStyle w:val="BodyText"/>
            </w:pPr>
            <w:r w:rsidRPr="00ED4ACA">
              <w:t>The latest version of all legislation, regulations, industry codes of practice and Australian/international standards, or the version specified by the local regulatory authority, must be used, and include one or more of the following:</w:t>
            </w:r>
          </w:p>
          <w:p w:rsidR="00000000" w:rsidRPr="00ED4ACA" w:rsidP="00ED4ACA">
            <w:pPr>
              <w:pStyle w:val="ListBullet"/>
            </w:pPr>
            <w:r w:rsidRPr="00ED4ACA">
              <w:t>legislative requirements, including work health and safety (WHS)</w:t>
            </w:r>
          </w:p>
          <w:p w:rsidR="00000000" w:rsidRPr="00ED4ACA" w:rsidP="00ED4ACA">
            <w:pPr>
              <w:pStyle w:val="ListBullet"/>
            </w:pPr>
            <w:r w:rsidRPr="00ED4ACA">
              <w:t>industry codes of practice and guidelines</w:t>
            </w:r>
          </w:p>
          <w:p w:rsidR="00000000" w:rsidRPr="00ED4ACA" w:rsidP="00ED4ACA">
            <w:pPr>
              <w:pStyle w:val="ListBullet"/>
            </w:pPr>
            <w:r w:rsidRPr="00ED4ACA">
              <w:t xml:space="preserve">environmental regulations and guidelines </w:t>
            </w:r>
          </w:p>
          <w:p w:rsidR="00000000" w:rsidRPr="00ED4ACA" w:rsidP="00ED4ACA">
            <w:pPr>
              <w:pStyle w:val="ListBullet"/>
            </w:pPr>
            <w:r w:rsidRPr="00ED4ACA">
              <w:t>Australian and other standards</w:t>
            </w:r>
          </w:p>
          <w:p w:rsidR="00000000" w:rsidRPr="00ED4ACA" w:rsidP="00ED4ACA">
            <w:pPr>
              <w:pStyle w:val="ListBullet"/>
            </w:pPr>
            <w:r w:rsidRPr="00ED4ACA">
              <w:t xml:space="preserve">licence and certification requirements </w:t>
            </w:r>
          </w:p>
          <w:p w:rsidR="00000000" w:rsidRPr="00ED4ACA" w:rsidP="00ED4ACA">
            <w:pPr>
              <w:pStyle w:val="ListBullet"/>
            </w:pPr>
            <w:r w:rsidRPr="00ED4ACA">
              <w:t>road traffic authority requirement</w:t>
            </w:r>
            <w:r w:rsidRPr="00ED4ACA">
              <w:t>s</w:t>
            </w:r>
          </w:p>
          <w:p w:rsidR="00000000" w:rsidRPr="00ED4ACA" w:rsidP="00ED4ACA">
            <w:pPr>
              <w:pStyle w:val="BodyText"/>
            </w:pPr>
          </w:p>
          <w:p w:rsidR="00000000" w:rsidRPr="00ED4ACA" w:rsidP="00ED4ACA">
            <w:pPr>
              <w:pStyle w:val="BodyText"/>
            </w:pPr>
            <w:r w:rsidRPr="00ED4ACA">
              <w:t>Types of legislation include</w:t>
            </w:r>
            <w:r w:rsidRPr="00ED4ACA">
              <w:rPr>
                <w:rStyle w:val="Emphasis"/>
              </w:rPr>
              <w:t>:</w:t>
            </w:r>
          </w:p>
          <w:p w:rsidR="00000000" w:rsidRPr="00ED4ACA" w:rsidP="00ED4ACA">
            <w:pPr>
              <w:pStyle w:val="ListBullet"/>
            </w:pPr>
            <w:r w:rsidRPr="00ED4ACA">
              <w:rPr>
                <w:rStyle w:val="Emphasis"/>
              </w:rPr>
              <w:t xml:space="preserve">AS 2550.1-2011 </w:t>
            </w:r>
            <w:r w:rsidRPr="00ED4ACA">
              <w:t>Cranes, hoists and winches - Safe use - General requirements</w:t>
            </w:r>
            <w:r w:rsidRPr="00ED4ACA">
              <w:rPr>
                <w:rStyle w:val="Emphasis"/>
              </w:rPr>
              <w:t xml:space="preserve"> </w:t>
            </w:r>
          </w:p>
          <w:p w:rsidR="00000000" w:rsidRPr="00ED4ACA" w:rsidP="00ED4ACA">
            <w:pPr>
              <w:pStyle w:val="ListBullet"/>
            </w:pPr>
            <w:r w:rsidRPr="00ED4ACA">
              <w:rPr>
                <w:rStyle w:val="Emphasis"/>
              </w:rPr>
              <w:t>Norsok Standard R-003 - Safe use of lifting equipment</w:t>
            </w:r>
          </w:p>
          <w:p w:rsidR="00000000" w:rsidRPr="00ED4ACA" w:rsidP="00ED4ACA">
            <w:pPr>
              <w:pStyle w:val="ListBullet"/>
            </w:pPr>
            <w:r w:rsidRPr="00ED4ACA">
              <w:rPr>
                <w:rStyle w:val="Emphasis"/>
              </w:rPr>
              <w:t>Offshore Petroleum Act 2006</w:t>
            </w:r>
          </w:p>
          <w:p w:rsidR="00000000" w:rsidRPr="00ED4ACA" w:rsidP="00ED4ACA">
            <w:pPr>
              <w:pStyle w:val="ListBullet"/>
            </w:pPr>
            <w:r w:rsidRPr="00ED4ACA">
              <w:rPr>
                <w:rStyle w:val="Emphasis"/>
              </w:rPr>
              <w:t>National Offshore Petroleum Safety Authority Safety Case Guidelines September 2004</w:t>
            </w:r>
          </w:p>
          <w:p w:rsidR="00000000" w:rsidRPr="00ED4ACA" w:rsidP="00ED4ACA">
            <w:pPr>
              <w:pStyle w:val="ListBullet"/>
            </w:pPr>
            <w:r w:rsidRPr="00ED4ACA">
              <w:rPr>
                <w:rStyle w:val="Emphasis"/>
              </w:rPr>
              <w:t>Petroleum (Submerged Lands) (Management of Safety on Offshore Facilities) Regulations 1996</w:t>
            </w:r>
          </w:p>
          <w:p w:rsidR="00000000" w:rsidRPr="00ED4ACA" w:rsidP="00ED4ACA">
            <w:pPr>
              <w:pStyle w:val="ListBullet"/>
            </w:pPr>
            <w:r w:rsidRPr="00ED4ACA">
              <w:rPr>
                <w:rStyle w:val="Emphasis"/>
              </w:rPr>
              <w:t>Statutory Rules 1996 No. 298 as amended</w:t>
            </w:r>
          </w:p>
          <w:p w:rsidR="00000000" w:rsidRPr="00ED4ACA" w:rsidP="00ED4ACA">
            <w:pPr>
              <w:pStyle w:val="ListBullet"/>
            </w:pPr>
            <w:r w:rsidRPr="00ED4ACA">
              <w:rPr>
                <w:rStyle w:val="Emphasis"/>
              </w:rPr>
              <w:t>OMHEC Training Standard (OHMEC TS 11 March</w:t>
            </w:r>
            <w:r w:rsidRPr="00ED4ACA">
              <w:rPr>
                <w:rStyle w:val="Emphasis"/>
              </w:rPr>
              <w:t xml:space="preserve"> 2003)</w:t>
            </w:r>
          </w:p>
          <w:p w:rsidR="00000000" w:rsidRPr="00ED4ACA" w:rsidP="00ED4ACA">
            <w:pPr>
              <w:pStyle w:val="ListBullet"/>
            </w:pPr>
            <w:r>
              <w:fldChar w:fldCharType="begin"/>
            </w:r>
            <w:r>
              <w:instrText xml:space="preserve"> HYPERLINK "http://www.mms.gov/regcompliance/PDFs/GL-I_2005.pdf" </w:instrText>
            </w:r>
            <w:r>
              <w:fldChar w:fldCharType="separate"/>
            </w:r>
            <w:r w:rsidRPr="0064351C">
              <w:rPr>
                <w:rStyle w:val="Hyperlink"/>
              </w:rPr>
              <w:t>http://www.mms.gov/regcompliance/PDFs/GL-I_2005.pdf</w:t>
            </w:r>
            <w:r>
              <w:fldChar w:fldCharType="end"/>
            </w:r>
          </w:p>
          <w:p w:rsidR="00000000" w:rsidRPr="00ED4ACA" w:rsidP="00ED4ACA">
            <w:pPr>
              <w:pStyle w:val="ListBullet"/>
            </w:pPr>
            <w:r>
              <w:fldChar w:fldCharType="begin"/>
            </w:r>
            <w:r>
              <w:instrText xml:space="preserve"> HYPERLINK "http://www.ogp.org.uk/pubs/376.pdf" </w:instrText>
            </w:r>
            <w:r>
              <w:fldChar w:fldCharType="separate"/>
            </w:r>
            <w:r w:rsidRPr="0064351C">
              <w:rPr>
                <w:rStyle w:val="Hyperlink"/>
              </w:rPr>
              <w:t>http://www.ogp.org.uk/pubs/376.pdf</w:t>
            </w:r>
            <w:r>
              <w:fldChar w:fldCharType="end"/>
            </w:r>
            <w:r w:rsidRPr="00ED4ACA">
              <w:rPr>
                <w:rStyle w:val="Emphasis"/>
              </w:rPr>
              <w:t xml:space="preserve"> </w:t>
            </w:r>
          </w:p>
          <w:p w:rsidR="00000000" w:rsidRPr="00ED4ACA" w:rsidP="00ED4ACA">
            <w:pPr>
              <w:pStyle w:val="ListBullet"/>
            </w:pPr>
            <w:r w:rsidRPr="00ED4ACA">
              <w:rPr>
                <w:rStyle w:val="Emphasis"/>
              </w:rPr>
              <w:t xml:space="preserve">EN12079 </w:t>
            </w:r>
          </w:p>
          <w:p w:rsidR="00000000" w:rsidRPr="00ED4ACA" w:rsidP="00ED4ACA">
            <w:pPr>
              <w:pStyle w:val="ListBullet"/>
            </w:pPr>
            <w:r w:rsidRPr="00ED4ACA">
              <w:rPr>
                <w:rStyle w:val="Emphasis"/>
              </w:rPr>
              <w:t xml:space="preserve">IMO Circular 860 </w:t>
            </w:r>
          </w:p>
          <w:p w:rsidR="00000000" w:rsidRPr="00ED4ACA" w:rsidP="00ED4ACA">
            <w:pPr>
              <w:pStyle w:val="ListBullet"/>
            </w:pPr>
            <w:r w:rsidRPr="00ED4ACA">
              <w:rPr>
                <w:rStyle w:val="Emphasis"/>
              </w:rPr>
              <w:t>DNV 2.7-1 &amp; 2.7-2.</w:t>
            </w:r>
          </w:p>
          <w:p w:rsidR="00000000" w:rsidRPr="00ED4ACA" w:rsidP="00ED4ACA">
            <w:pPr>
              <w:pStyle w:val="BodyText"/>
            </w:pPr>
          </w:p>
          <w:p w:rsidR="00000000" w:rsidRPr="00ED4ACA" w:rsidP="00ED4ACA">
            <w:pPr>
              <w:pStyle w:val="BodyText"/>
            </w:pPr>
            <w:r w:rsidRPr="00ED4ACA">
              <w:t>Regulatory bodies include:</w:t>
            </w:r>
          </w:p>
          <w:p w:rsidR="00000000" w:rsidRPr="00ED4ACA" w:rsidP="00ED4ACA">
            <w:pPr>
              <w:pStyle w:val="ListBullet"/>
            </w:pPr>
            <w:r w:rsidRPr="00ED4ACA">
              <w:t>National Offshore Petroleum Safety and Environmental Management Authority (NOPSEMA)</w:t>
            </w:r>
          </w:p>
          <w:p w:rsidR="00000000" w:rsidRPr="00ED4ACA" w:rsidP="00ED4ACA">
            <w:pPr>
              <w:pStyle w:val="ListBullet"/>
            </w:pPr>
            <w:r w:rsidRPr="00ED4ACA">
              <w:t>Australian Maritime Safety Authority (AMSA)</w:t>
            </w:r>
          </w:p>
          <w:p w:rsidR="00000000" w:rsidRPr="00ED4ACA" w:rsidP="00ED4ACA">
            <w:pPr>
              <w:pStyle w:val="ListBullet"/>
            </w:pPr>
            <w:r w:rsidRPr="00ED4ACA">
              <w:t>State/Territory OSH Regulatory bodies</w:t>
            </w:r>
          </w:p>
          <w:p w:rsidR="00000000" w:rsidRPr="00ED4ACA" w:rsidP="00ED4ACA">
            <w:pPr>
              <w:pStyle w:val="ListBullet"/>
            </w:pPr>
            <w:r w:rsidRPr="00ED4ACA">
              <w:t>Department of Infrastructure and Regional Development.</w:t>
            </w:r>
          </w:p>
          <w:p w:rsidR="00000000" w:rsidRPr="00ED4ACA" w:rsidP="00ED4ACA">
            <w:pPr>
              <w:pStyle w:val="BodyText"/>
            </w:pPr>
          </w:p>
          <w:p w:rsidR="00000000" w:rsidRPr="00ED4ACA" w:rsidP="00ED4ACA">
            <w:pPr>
              <w:pStyle w:val="BodyText"/>
            </w:pPr>
            <w:r w:rsidRPr="00ED4ACA">
              <w:t xml:space="preserve">All operations to which this unit applies are subject to stringent health, safety and environment (HSE) requirements, </w:t>
            </w:r>
            <w:r w:rsidRPr="00ED4ACA">
              <w:t>which may be imposed through state/territory or federal legislation, and these must not be compromised at any time. Where there is an apparent conflict between performance criteria and HSE requirements, the HSE requirements take precedence.</w:t>
            </w:r>
          </w:p>
          <w:p w:rsidR="00000000" w:rsidP="00ED4ACA">
            <w:pPr>
              <w:pStyle w:val="BodyText"/>
              <w:rPr>
                <w:lang w:val="en-NZ"/>
              </w:rPr>
            </w:pPr>
          </w:p>
        </w:tc>
      </w:tr>
      <w:tr w:rsidTr="001536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D4ACA" w:rsidP="00ED4ACA">
            <w:pPr>
              <w:pStyle w:val="BodyText"/>
            </w:pPr>
            <w:r w:rsidRPr="00ED4ACA">
              <w:t>All operations must be performed in accordance with relevant procedures.</w:t>
            </w:r>
          </w:p>
          <w:p w:rsidR="00000000" w:rsidRPr="00ED4ACA" w:rsidP="00ED4ACA">
            <w:pPr>
              <w:pStyle w:val="BodyText"/>
            </w:pPr>
          </w:p>
          <w:p w:rsidR="00000000" w:rsidRPr="00ED4ACA" w:rsidP="00ED4ACA">
            <w:pPr>
              <w:pStyle w:val="BodyText"/>
            </w:pPr>
            <w:r w:rsidRPr="00ED4ACA">
              <w:t>Procedures are written, verbal, visual, computer-based or in some other form, include one or more of the following:</w:t>
            </w:r>
          </w:p>
          <w:p w:rsidR="00000000" w:rsidRPr="00ED4ACA" w:rsidP="00ED4ACA">
            <w:pPr>
              <w:pStyle w:val="ListBullet"/>
            </w:pPr>
            <w:r w:rsidRPr="00ED4ACA">
              <w:t>work instructions</w:t>
            </w:r>
          </w:p>
          <w:p w:rsidR="00000000" w:rsidRPr="00ED4ACA" w:rsidP="00ED4ACA">
            <w:pPr>
              <w:pStyle w:val="ListBullet"/>
            </w:pPr>
            <w:r w:rsidRPr="00ED4ACA">
              <w:t>work plans</w:t>
            </w:r>
          </w:p>
          <w:p w:rsidR="00000000" w:rsidRPr="00ED4ACA" w:rsidP="00ED4ACA">
            <w:pPr>
              <w:pStyle w:val="ListBullet"/>
            </w:pPr>
            <w:r w:rsidRPr="00ED4ACA">
              <w:t>equipment specifications</w:t>
            </w:r>
          </w:p>
          <w:p w:rsidR="00000000" w:rsidRPr="00ED4ACA" w:rsidP="00ED4ACA">
            <w:pPr>
              <w:pStyle w:val="ListBullet"/>
            </w:pPr>
            <w:r w:rsidRPr="00ED4ACA">
              <w:t>company-spe</w:t>
            </w:r>
            <w:r w:rsidRPr="00ED4ACA">
              <w:t xml:space="preserve">cific lifting standards and safe working procedures </w:t>
            </w:r>
          </w:p>
          <w:p w:rsidR="00000000" w:rsidRPr="00ED4ACA" w:rsidP="00ED4ACA">
            <w:pPr>
              <w:pStyle w:val="ListBullet"/>
            </w:pPr>
            <w:r w:rsidRPr="00ED4ACA">
              <w:t>emergency procedures</w:t>
            </w:r>
          </w:p>
          <w:p w:rsidR="00000000" w:rsidRPr="00ED4ACA" w:rsidP="00ED4ACA">
            <w:pPr>
              <w:pStyle w:val="ListBullet"/>
            </w:pPr>
            <w:r w:rsidRPr="00ED4ACA">
              <w:t>standard operating procedures (SOPs)</w:t>
            </w:r>
          </w:p>
          <w:p w:rsidR="00000000" w:rsidRPr="00ED4ACA" w:rsidP="00ED4ACA">
            <w:pPr>
              <w:pStyle w:val="ListBullet"/>
            </w:pPr>
            <w:r w:rsidRPr="00ED4ACA">
              <w:t>safe work method statements (SWMS)</w:t>
            </w:r>
          </w:p>
          <w:p w:rsidR="00000000" w:rsidRPr="00ED4ACA" w:rsidP="00ED4ACA">
            <w:pPr>
              <w:pStyle w:val="ListBullet"/>
            </w:pPr>
            <w:r w:rsidRPr="00ED4ACA">
              <w:t>temporary instructions</w:t>
            </w:r>
          </w:p>
          <w:p w:rsidR="00000000" w:rsidRPr="00ED4ACA" w:rsidP="00ED4ACA">
            <w:pPr>
              <w:pStyle w:val="ListBullet"/>
            </w:pPr>
            <w:r w:rsidRPr="00ED4ACA">
              <w:t xml:space="preserve">any similar instructions provided for the smooth running of the plant </w:t>
            </w:r>
          </w:p>
          <w:p w:rsidR="00000000" w:rsidP="00ED4ACA">
            <w:pPr>
              <w:pStyle w:val="BodyText"/>
              <w:rPr>
                <w:lang w:val="en-NZ"/>
              </w:rPr>
            </w:pPr>
          </w:p>
        </w:tc>
      </w:tr>
      <w:tr w:rsidTr="001536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ED4ACA" w:rsidP="00ED4ACA">
            <w:pPr>
              <w:pStyle w:val="BodyText"/>
            </w:pPr>
            <w:r w:rsidRPr="00ED4ACA">
              <w:t>Hazards include one or more of the following:</w:t>
            </w:r>
          </w:p>
          <w:p w:rsidR="00000000" w:rsidRPr="00ED4ACA" w:rsidP="00ED4ACA">
            <w:pPr>
              <w:pStyle w:val="ListBullet"/>
            </w:pPr>
            <w:r w:rsidRPr="00ED4ACA">
              <w:t>electricity</w:t>
            </w:r>
          </w:p>
          <w:p w:rsidR="00000000" w:rsidRPr="00ED4ACA" w:rsidP="00ED4ACA">
            <w:pPr>
              <w:pStyle w:val="ListBullet"/>
            </w:pPr>
            <w:r w:rsidRPr="00ED4ACA">
              <w:t>gas</w:t>
            </w:r>
          </w:p>
          <w:p w:rsidR="00000000" w:rsidRPr="00ED4ACA" w:rsidP="00ED4ACA">
            <w:pPr>
              <w:pStyle w:val="ListBullet"/>
            </w:pPr>
            <w:r w:rsidRPr="00ED4ACA">
              <w:t xml:space="preserve">gases and liquids under pressure </w:t>
            </w:r>
          </w:p>
          <w:p w:rsidR="00000000" w:rsidRPr="00ED4ACA" w:rsidP="00ED4ACA">
            <w:pPr>
              <w:pStyle w:val="ListBullet"/>
            </w:pPr>
            <w:r w:rsidRPr="00ED4ACA">
              <w:t>structural hazards</w:t>
            </w:r>
          </w:p>
          <w:p w:rsidR="00000000" w:rsidRPr="00ED4ACA" w:rsidP="00ED4ACA">
            <w:pPr>
              <w:pStyle w:val="ListBullet"/>
            </w:pPr>
            <w:r w:rsidRPr="00ED4ACA">
              <w:t>structural collapse</w:t>
            </w:r>
          </w:p>
          <w:p w:rsidR="00000000" w:rsidRPr="00ED4ACA" w:rsidP="00ED4ACA">
            <w:pPr>
              <w:pStyle w:val="ListBullet"/>
            </w:pPr>
            <w:r w:rsidRPr="00ED4ACA">
              <w:t>equipment failures</w:t>
            </w:r>
          </w:p>
          <w:p w:rsidR="00000000" w:rsidRPr="00ED4ACA" w:rsidP="00ED4ACA">
            <w:pPr>
              <w:pStyle w:val="ListBullet"/>
            </w:pPr>
            <w:r w:rsidRPr="00ED4ACA">
              <w:t>industrial (machinery, equipment and product)</w:t>
            </w:r>
          </w:p>
          <w:p w:rsidR="00000000" w:rsidRPr="00ED4ACA" w:rsidP="00ED4ACA">
            <w:pPr>
              <w:pStyle w:val="ListBullet"/>
            </w:pPr>
            <w:r w:rsidRPr="00ED4ACA">
              <w:t>equipment or product mass</w:t>
            </w:r>
          </w:p>
          <w:p w:rsidR="00000000" w:rsidRPr="00ED4ACA" w:rsidP="00ED4ACA">
            <w:pPr>
              <w:pStyle w:val="ListBullet"/>
            </w:pPr>
            <w:r w:rsidRPr="00ED4ACA">
              <w:t>noise, rotational equipment o</w:t>
            </w:r>
            <w:r w:rsidRPr="00ED4ACA">
              <w:t>r vibration</w:t>
            </w:r>
          </w:p>
          <w:p w:rsidR="00000000" w:rsidRPr="00ED4ACA" w:rsidP="00ED4ACA">
            <w:pPr>
              <w:pStyle w:val="ListBullet"/>
            </w:pPr>
            <w:r w:rsidRPr="00ED4ACA">
              <w:t>plant services (steam, condensate and cooling water)</w:t>
            </w:r>
          </w:p>
          <w:p w:rsidR="00000000" w:rsidRPr="00ED4ACA" w:rsidP="00ED4ACA">
            <w:pPr>
              <w:pStyle w:val="ListBullet"/>
            </w:pPr>
            <w:r w:rsidRPr="00ED4ACA">
              <w:t xml:space="preserve">limited head spaces or overhangs </w:t>
            </w:r>
          </w:p>
          <w:p w:rsidR="00000000" w:rsidRPr="00ED4ACA" w:rsidP="00ED4ACA">
            <w:pPr>
              <w:pStyle w:val="ListBullet"/>
            </w:pPr>
            <w:r w:rsidRPr="00ED4ACA">
              <w:t>working at heights, in restricted or confined spaces, or in environments subjected to heat, noise, dusts or vapours</w:t>
            </w:r>
          </w:p>
          <w:p w:rsidR="00000000" w:rsidRPr="00ED4ACA" w:rsidP="00ED4ACA">
            <w:pPr>
              <w:pStyle w:val="ListBullet"/>
            </w:pPr>
            <w:r w:rsidRPr="00ED4ACA">
              <w:t>flammability and explosivity</w:t>
            </w:r>
          </w:p>
          <w:p w:rsidR="00000000" w:rsidRPr="00ED4ACA" w:rsidP="00ED4ACA">
            <w:pPr>
              <w:pStyle w:val="ListBullet"/>
            </w:pPr>
            <w:r w:rsidRPr="00ED4ACA">
              <w:t>hazardous products and materials</w:t>
            </w:r>
          </w:p>
          <w:p w:rsidR="00000000" w:rsidRPr="00ED4ACA" w:rsidP="00ED4ACA">
            <w:pPr>
              <w:pStyle w:val="ListBullet"/>
            </w:pPr>
            <w:r w:rsidRPr="00ED4ACA">
              <w:t>unauthorised personnel</w:t>
            </w:r>
          </w:p>
          <w:p w:rsidR="00000000" w:rsidRPr="00ED4ACA" w:rsidP="00ED4ACA">
            <w:pPr>
              <w:pStyle w:val="ListBullet"/>
            </w:pPr>
            <w:r w:rsidRPr="00ED4ACA">
              <w:t>sharp edges, protrusions or obstructions</w:t>
            </w:r>
          </w:p>
          <w:p w:rsidR="00000000" w:rsidRPr="00ED4ACA" w:rsidP="00ED4ACA">
            <w:pPr>
              <w:pStyle w:val="ListBullet"/>
            </w:pPr>
            <w:r w:rsidRPr="00ED4ACA">
              <w:t>slippery surfaces, spills or leaks</w:t>
            </w:r>
          </w:p>
          <w:p w:rsidR="00000000" w:rsidRPr="00ED4ACA" w:rsidP="00ED4ACA">
            <w:pPr>
              <w:pStyle w:val="ListBullet"/>
            </w:pPr>
            <w:r w:rsidRPr="00ED4ACA">
              <w:t>extreme weather</w:t>
            </w:r>
          </w:p>
          <w:p w:rsidR="00000000" w:rsidRPr="00ED4ACA" w:rsidP="00ED4ACA">
            <w:pPr>
              <w:pStyle w:val="ListBullet"/>
            </w:pPr>
            <w:r w:rsidRPr="00ED4ACA">
              <w:t>other hazards that might arise</w:t>
            </w:r>
          </w:p>
          <w:p w:rsidR="00000000" w:rsidP="00ED4ACA">
            <w:pPr>
              <w:pStyle w:val="BodyText"/>
              <w:rPr>
                <w:lang w:val="en-NZ"/>
              </w:rPr>
            </w:pPr>
          </w:p>
        </w:tc>
      </w:tr>
      <w:tr w:rsidTr="001536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rPr>
                <w:rStyle w:val="SpecialBold"/>
              </w:rPr>
              <w:t>Types of environments</w:t>
            </w:r>
          </w:p>
        </w:tc>
        <w:tc>
          <w:tcPr>
            <w:tcW w:w="0" w:type="auto"/>
            <w:tcBorders>
              <w:top w:val="nil"/>
              <w:left w:val="nil"/>
              <w:bottom w:val="nil"/>
              <w:right w:val="nil"/>
            </w:tcBorders>
            <w:tcMar>
              <w:top w:w="0" w:type="dxa"/>
              <w:left w:w="62" w:type="dxa"/>
              <w:bottom w:w="0" w:type="dxa"/>
              <w:right w:w="62" w:type="dxa"/>
            </w:tcMar>
          </w:tcPr>
          <w:p w:rsidR="00000000" w:rsidRPr="00ED4ACA" w:rsidP="00ED4ACA">
            <w:pPr>
              <w:pStyle w:val="BodyText"/>
            </w:pPr>
            <w:r w:rsidRPr="00ED4ACA">
              <w:t>Types of environments include one or more of the foll</w:t>
            </w:r>
            <w:r w:rsidRPr="00ED4ACA">
              <w:t xml:space="preserve">owing: </w:t>
            </w:r>
          </w:p>
          <w:p w:rsidR="00000000" w:rsidRPr="00ED4ACA" w:rsidP="00ED4ACA">
            <w:pPr>
              <w:pStyle w:val="ListBullet"/>
            </w:pPr>
            <w:r w:rsidRPr="00ED4ACA">
              <w:t>day and night operations</w:t>
            </w:r>
          </w:p>
          <w:p w:rsidR="00000000" w:rsidRPr="00ED4ACA" w:rsidP="00ED4ACA">
            <w:pPr>
              <w:pStyle w:val="ListBullet"/>
            </w:pPr>
            <w:r w:rsidRPr="00ED4ACA">
              <w:t>facilities subject to helicopter operations</w:t>
            </w:r>
          </w:p>
          <w:p w:rsidR="00000000" w:rsidRPr="00ED4ACA" w:rsidP="00ED4ACA">
            <w:pPr>
              <w:pStyle w:val="ListBullet"/>
            </w:pPr>
            <w:r w:rsidRPr="00ED4ACA">
              <w:t>tropical and temperate climatic conditions</w:t>
            </w:r>
          </w:p>
          <w:p w:rsidR="00000000" w:rsidRPr="00ED4ACA" w:rsidP="00ED4ACA">
            <w:pPr>
              <w:pStyle w:val="ListBullet"/>
            </w:pPr>
            <w:r w:rsidRPr="00ED4ACA">
              <w:t>emergency lifts</w:t>
            </w:r>
          </w:p>
          <w:p w:rsidR="00000000" w:rsidRPr="00ED4ACA" w:rsidP="00ED4ACA">
            <w:pPr>
              <w:pStyle w:val="ListBullet"/>
            </w:pPr>
            <w:r w:rsidRPr="00ED4ACA">
              <w:t>multi-crane operations including intersecting radii</w:t>
            </w:r>
          </w:p>
          <w:p w:rsidR="00000000" w:rsidRPr="00ED4ACA" w:rsidP="00ED4ACA">
            <w:pPr>
              <w:pStyle w:val="ListBullet"/>
            </w:pPr>
            <w:r w:rsidRPr="00ED4ACA">
              <w:t>restricted radius</w:t>
            </w:r>
          </w:p>
          <w:p w:rsidR="00000000" w:rsidRPr="00ED4ACA" w:rsidP="00ED4ACA">
            <w:pPr>
              <w:pStyle w:val="ListBullet"/>
            </w:pPr>
            <w:r w:rsidRPr="00ED4ACA">
              <w:t>active hydrocarbon production</w:t>
            </w:r>
          </w:p>
          <w:p w:rsidR="00000000" w:rsidRPr="00ED4ACA" w:rsidP="00ED4ACA">
            <w:pPr>
              <w:pStyle w:val="ListBullet"/>
            </w:pPr>
            <w:r w:rsidRPr="00ED4ACA">
              <w:t>active drilling operations</w:t>
            </w:r>
          </w:p>
          <w:p w:rsidR="00000000" w:rsidRPr="00ED4ACA" w:rsidP="00ED4ACA">
            <w:pPr>
              <w:pStyle w:val="ListBullet"/>
            </w:pPr>
            <w:r w:rsidRPr="00ED4ACA">
              <w:t>exploration activities</w:t>
            </w:r>
          </w:p>
          <w:p w:rsidR="00000000" w:rsidRPr="00ED4ACA" w:rsidP="00ED4ACA">
            <w:pPr>
              <w:pStyle w:val="ListBullet"/>
            </w:pPr>
            <w:r w:rsidRPr="00ED4ACA">
              <w:t>diving support</w:t>
            </w:r>
          </w:p>
          <w:p w:rsidR="00000000" w:rsidRPr="00ED4ACA" w:rsidP="00ED4ACA">
            <w:pPr>
              <w:pStyle w:val="ListBullet"/>
            </w:pPr>
            <w:r w:rsidRPr="00ED4ACA">
              <w:t>blind lifts</w:t>
            </w:r>
          </w:p>
          <w:p w:rsidR="00000000" w:rsidRPr="00ED4ACA" w:rsidP="00ED4ACA">
            <w:pPr>
              <w:pStyle w:val="ListBullet"/>
            </w:pPr>
            <w:r w:rsidRPr="00ED4ACA">
              <w:t>personnel transfer</w:t>
            </w:r>
          </w:p>
          <w:p w:rsidR="00000000" w:rsidRPr="00ED4ACA" w:rsidP="00ED4ACA">
            <w:pPr>
              <w:pStyle w:val="ListBullet"/>
            </w:pPr>
            <w:r w:rsidRPr="00ED4ACA">
              <w:t>engineered lifts</w:t>
            </w:r>
          </w:p>
          <w:p w:rsidR="00000000" w:rsidRPr="00ED4ACA" w:rsidP="00ED4ACA">
            <w:pPr>
              <w:pStyle w:val="ListBullet"/>
            </w:pPr>
            <w:r w:rsidRPr="00ED4ACA">
              <w:t>lifting to/from a surface in continuous, three dimensional motion</w:t>
            </w:r>
          </w:p>
          <w:p w:rsidR="00000000" w:rsidP="00ED4ACA">
            <w:pPr>
              <w:pStyle w:val="BodyText"/>
              <w:rPr>
                <w:lang w:val="en-NZ"/>
              </w:rPr>
            </w:pPr>
          </w:p>
        </w:tc>
      </w:tr>
      <w:tr w:rsidTr="001536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4ACA">
            <w:pPr>
              <w:pStyle w:val="BodyText"/>
              <w:rPr>
                <w:lang w:val="en-NZ"/>
              </w:rPr>
            </w:pPr>
            <w:r w:rsidRPr="00ED4ACA">
              <w:rPr>
                <w:rStyle w:val="SpecialBold"/>
              </w:rPr>
              <w:t>Trial lift</w:t>
            </w:r>
          </w:p>
        </w:tc>
        <w:tc>
          <w:tcPr>
            <w:tcW w:w="0" w:type="auto"/>
            <w:tcBorders>
              <w:top w:val="nil"/>
              <w:left w:val="nil"/>
              <w:bottom w:val="nil"/>
              <w:right w:val="nil"/>
            </w:tcBorders>
            <w:tcMar>
              <w:top w:w="0" w:type="dxa"/>
              <w:left w:w="62" w:type="dxa"/>
              <w:bottom w:w="0" w:type="dxa"/>
              <w:right w:w="62" w:type="dxa"/>
            </w:tcMar>
          </w:tcPr>
          <w:p w:rsidR="00000000" w:rsidRPr="00ED4ACA" w:rsidP="00ED4ACA">
            <w:pPr>
              <w:pStyle w:val="BodyText"/>
            </w:pPr>
            <w:r w:rsidRPr="00ED4ACA">
              <w:t>Trial lifts are conducted to ensure:</w:t>
            </w:r>
          </w:p>
          <w:p w:rsidR="00000000" w:rsidRPr="00ED4ACA" w:rsidP="00ED4ACA">
            <w:pPr>
              <w:pStyle w:val="ListBullet"/>
            </w:pPr>
            <w:r w:rsidRPr="00ED4ACA">
              <w:t>stability of load is not compromised</w:t>
            </w:r>
          </w:p>
          <w:p w:rsidR="00000000" w:rsidRPr="00ED4ACA" w:rsidP="00ED4ACA">
            <w:pPr>
              <w:pStyle w:val="ListBullet"/>
            </w:pPr>
            <w:r w:rsidRPr="00ED4ACA">
              <w:t>load is not near capacity of crane</w:t>
            </w:r>
          </w:p>
          <w:p w:rsidR="00000000" w:rsidRPr="00ED4ACA" w:rsidP="00ED4ACA">
            <w:pPr>
              <w:pStyle w:val="ListBullet"/>
            </w:pPr>
            <w:r w:rsidRPr="00ED4ACA">
              <w:t>load is not of unusual proportions</w:t>
            </w:r>
          </w:p>
          <w:p w:rsidR="00000000" w:rsidRPr="00ED4ACA" w:rsidP="00ED4ACA">
            <w:pPr>
              <w:pStyle w:val="BodyText"/>
            </w:pPr>
          </w:p>
        </w:tc>
      </w:tr>
    </w:tbl>
    <w:p w:rsidR="00000000" w:rsidRPr="00ED4ACA" w:rsidP="00ED4ACA">
      <w:pPr>
        <w:pStyle w:val="BodyText"/>
      </w:pPr>
    </w:p>
    <w:p w:rsidR="00000000" w:rsidRPr="00ED4ACA" w:rsidP="00ED4ACA">
      <w:pPr>
        <w:pStyle w:val="AllowPageBreak"/>
      </w:pPr>
    </w:p>
    <w:p w:rsidR="00000000" w:rsidRPr="00ED4ACA" w:rsidP="00ED4ACA">
      <w:pPr>
        <w:pStyle w:val="Heading1"/>
      </w:pPr>
      <w:bookmarkStart w:id="9" w:name="O_909666"/>
      <w:bookmarkEnd w:id="9"/>
      <w:r w:rsidRPr="00ED4ACA">
        <w:t>Unit Mapping Information</w:t>
      </w:r>
    </w:p>
    <w:p w:rsidR="00000000" w:rsidRPr="00ED4ACA" w:rsidP="001536C5">
      <w:pPr>
        <w:pStyle w:val="BodyText"/>
      </w:pPr>
      <w:r w:rsidRPr="00ED4ACA">
        <w:t>Release 1. Supersedes and is equivalent to PMASUP305A Operate offshore cranes</w:t>
      </w:r>
    </w:p>
    <w:p w:rsidR="00000000" w:rsidRPr="00ED4ACA" w:rsidP="00ED4ACA">
      <w:pPr>
        <w:pStyle w:val="Heading1"/>
      </w:pPr>
      <w:bookmarkStart w:id="10" w:name="O_909659"/>
      <w:bookmarkEnd w:id="10"/>
      <w:r w:rsidRPr="00ED4ACA">
        <w:t>Links</w:t>
      </w:r>
    </w:p>
    <w:p w:rsidR="00000000" w:rsidRPr="00ED4ACA" w:rsidP="001536C5">
      <w:pPr>
        <w:pStyle w:val="BodyText"/>
      </w:pPr>
      <w:r w:rsidRPr="00ED4ACA">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64351C">
        <w:rPr>
          <w:rStyle w:val="Hyperlink"/>
        </w:rPr>
        <w:t>https://vetnet.gov.au/Pages/TrainingDocs.aspx?q=9fc2cf53-e570-4e9f-ad6a-b228ffdb6875</w:t>
      </w:r>
      <w:r>
        <w:fldChar w:fldCharType="end"/>
      </w:r>
    </w:p>
    <w:p w:rsidR="00000000" w:rsidRPr="00ED4ACA" w:rsidP="001536C5">
      <w:pPr>
        <w:pStyle w:val="BodyText"/>
        <w:sectPr w:rsidSect="00ED4ACA">
          <w:headerReference w:type="default" r:id="rId10"/>
          <w:footerReference w:type="default" r:id="rId11"/>
          <w:pgSz w:w="11908" w:h="16833"/>
          <w:pgMar w:top="1702" w:right="1418" w:bottom="1702" w:left="1418" w:header="992" w:footer="992" w:gutter="0"/>
          <w:cols w:space="720"/>
          <w:noEndnote/>
          <w:docGrid w:linePitch="299"/>
        </w:sectPr>
      </w:pPr>
    </w:p>
    <w:p w:rsidR="00000000" w:rsidRPr="00ED4ACA" w:rsidP="00ED4ACA">
      <w:pPr>
        <w:pStyle w:val="SuperHeading"/>
      </w:pPr>
      <w:r w:rsidRPr="00ED4ACA">
        <w:t>Assessment Requirements for PMASUP305 Operate offshore cranes</w:t>
      </w:r>
    </w:p>
    <w:p w:rsidR="00000000" w:rsidRPr="00ED4ACA" w:rsidP="00ED4ACA">
      <w:pPr>
        <w:pStyle w:val="Heading1"/>
      </w:pPr>
      <w:bookmarkStart w:id="11" w:name="O_909661"/>
      <w:bookmarkEnd w:id="11"/>
      <w:r w:rsidRPr="00ED4ACA">
        <w:t>Modification History</w:t>
      </w:r>
    </w:p>
    <w:p w:rsidR="00000000" w:rsidRPr="00ED4ACA" w:rsidP="001536C5">
      <w:pPr>
        <w:pStyle w:val="BodyText"/>
      </w:pPr>
      <w:r w:rsidRPr="00ED4ACA">
        <w:t>Release 1. Supersedes and is equivalent to PMASUP305A Operate offshore cranes</w:t>
      </w:r>
    </w:p>
    <w:p w:rsidR="00000000" w:rsidRPr="00ED4ACA" w:rsidP="00ED4ACA">
      <w:pPr>
        <w:pStyle w:val="Heading1"/>
      </w:pPr>
      <w:bookmarkStart w:id="12" w:name="O_909664"/>
      <w:bookmarkEnd w:id="12"/>
      <w:r w:rsidRPr="00ED4ACA">
        <w:t>Performance Evidence</w:t>
      </w:r>
    </w:p>
    <w:p w:rsidR="00000000" w:rsidRPr="00ED4ACA" w:rsidP="001536C5">
      <w:pPr>
        <w:pStyle w:val="BodyText"/>
      </w:pPr>
      <w:r w:rsidRPr="00ED4ACA">
        <w:t>Evidence required to demonstrate competence in this unit must be relevant to and satisfy the requirement</w:t>
      </w:r>
      <w:r w:rsidRPr="00ED4ACA">
        <w:t>s of the elements and performance criteria, and include the ability to:</w:t>
      </w:r>
    </w:p>
    <w:p w:rsidR="00000000" w:rsidRPr="00ED4ACA" w:rsidP="00ED4ACA">
      <w:pPr>
        <w:pStyle w:val="ListBullet"/>
      </w:pPr>
      <w:r w:rsidRPr="00ED4ACA">
        <w:t>undertake pre-start checks and start-up and shutdown procedures</w:t>
      </w:r>
    </w:p>
    <w:p w:rsidR="00000000" w:rsidRPr="00ED4ACA" w:rsidP="00ED4ACA">
      <w:pPr>
        <w:pStyle w:val="ListBullet"/>
      </w:pPr>
      <w:r w:rsidRPr="00ED4ACA">
        <w:t>use radio equipment to send and receive information</w:t>
      </w:r>
    </w:p>
    <w:p w:rsidR="00000000" w:rsidRPr="00ED4ACA" w:rsidP="00ED4ACA">
      <w:pPr>
        <w:pStyle w:val="ListBullet"/>
      </w:pPr>
      <w:r w:rsidRPr="00ED4ACA">
        <w:t xml:space="preserve">manoeuvre and position load shifting equipment </w:t>
      </w:r>
    </w:p>
    <w:p w:rsidR="00000000" w:rsidRPr="00ED4ACA" w:rsidP="00ED4ACA">
      <w:pPr>
        <w:pStyle w:val="ListBullet"/>
      </w:pPr>
      <w:r w:rsidRPr="00ED4ACA">
        <w:t>safely lift and pos</w:t>
      </w:r>
      <w:r w:rsidRPr="00ED4ACA">
        <w:t>ition load</w:t>
      </w:r>
    </w:p>
    <w:p w:rsidR="00000000" w:rsidRPr="00ED4ACA" w:rsidP="00ED4ACA">
      <w:pPr>
        <w:pStyle w:val="ListBullet"/>
      </w:pPr>
      <w:r w:rsidRPr="00ED4ACA">
        <w:t xml:space="preserve">maintain crane logs </w:t>
      </w:r>
    </w:p>
    <w:p w:rsidR="00000000" w:rsidRPr="00ED4ACA" w:rsidP="00ED4ACA">
      <w:pPr>
        <w:pStyle w:val="ListBullet"/>
      </w:pPr>
      <w:r w:rsidRPr="00ED4ACA">
        <w:t>conduct visual checks of crane operating systems and cables</w:t>
      </w:r>
    </w:p>
    <w:p w:rsidR="00000000" w:rsidRPr="00ED4ACA" w:rsidP="00ED4ACA">
      <w:pPr>
        <w:pStyle w:val="ListBullet"/>
      </w:pPr>
      <w:r w:rsidRPr="00ED4ACA">
        <w:t>check communications systems and emergency and other devise are fully operational</w:t>
      </w:r>
    </w:p>
    <w:p w:rsidR="00000000" w:rsidRPr="00ED4ACA" w:rsidP="00ED4ACA">
      <w:pPr>
        <w:pStyle w:val="ListBullet"/>
      </w:pPr>
      <w:r w:rsidRPr="00ED4ACA">
        <w:t>identify faults, defects or abnormalities and correctly report and record these</w:t>
      </w:r>
    </w:p>
    <w:p w:rsidR="00000000" w:rsidRPr="00ED4ACA" w:rsidP="00ED4ACA">
      <w:pPr>
        <w:pStyle w:val="ListBullet"/>
      </w:pPr>
      <w:r w:rsidRPr="00ED4ACA">
        <w:t>recognise abnormal lifting circumstances and safely abort the lift</w:t>
      </w:r>
    </w:p>
    <w:p w:rsidR="00000000" w:rsidRPr="00ED4ACA" w:rsidP="00ED4ACA">
      <w:pPr>
        <w:pStyle w:val="ListBullet"/>
      </w:pPr>
      <w:r w:rsidRPr="00ED4ACA">
        <w:t xml:space="preserve">recognise early warning signs of equipment/processes needing attention or with potential problems </w:t>
      </w:r>
    </w:p>
    <w:p w:rsidR="00000000" w:rsidRPr="00ED4ACA" w:rsidP="00ED4ACA">
      <w:pPr>
        <w:pStyle w:val="ListBullet"/>
      </w:pPr>
      <w:r w:rsidRPr="00ED4ACA">
        <w:t>determine the most likely cause of routine problems and take action to ensure a timely ret</w:t>
      </w:r>
      <w:r w:rsidRPr="00ED4ACA">
        <w:t>urn to full performance.</w:t>
      </w:r>
    </w:p>
    <w:p w:rsidR="00000000" w:rsidRPr="00ED4ACA" w:rsidP="00ED4ACA">
      <w:pPr>
        <w:pStyle w:val="AllowPageBreak"/>
      </w:pPr>
    </w:p>
    <w:p w:rsidR="00000000" w:rsidRPr="00ED4ACA" w:rsidP="00ED4ACA">
      <w:pPr>
        <w:pStyle w:val="Heading1"/>
      </w:pPr>
      <w:bookmarkStart w:id="13" w:name="O_909663"/>
      <w:bookmarkEnd w:id="13"/>
      <w:r w:rsidRPr="00ED4ACA">
        <w:t>Knowledge Evidence</w:t>
      </w:r>
    </w:p>
    <w:p w:rsidR="00000000" w:rsidRPr="00ED4ACA" w:rsidP="001536C5">
      <w:pPr>
        <w:pStyle w:val="BodyText"/>
      </w:pPr>
      <w:r w:rsidRPr="00ED4ACA">
        <w:t>Evidence must be provided that demonstrates knowledge of:</w:t>
      </w:r>
    </w:p>
    <w:p w:rsidR="00000000" w:rsidRPr="00ED4ACA" w:rsidP="00ED4ACA">
      <w:pPr>
        <w:pStyle w:val="ListBullet"/>
      </w:pPr>
      <w:r w:rsidRPr="00ED4ACA">
        <w:t>safe working capacity and limits of the equipment</w:t>
      </w:r>
    </w:p>
    <w:p w:rsidR="00000000" w:rsidRPr="00ED4ACA" w:rsidP="00ED4ACA">
      <w:pPr>
        <w:pStyle w:val="ListBullet"/>
      </w:pPr>
      <w:r w:rsidRPr="00ED4ACA">
        <w:t xml:space="preserve">nature/condition of materials being shifted and the particular hazards of each </w:t>
      </w:r>
    </w:p>
    <w:p w:rsidR="00000000" w:rsidRPr="00ED4ACA" w:rsidP="00ED4ACA">
      <w:pPr>
        <w:pStyle w:val="ListBullet"/>
      </w:pPr>
      <w:r w:rsidRPr="00ED4ACA">
        <w:t xml:space="preserve">crane </w:t>
      </w:r>
      <w:r w:rsidRPr="00ED4ACA">
        <w:t xml:space="preserve">safety systems </w:t>
      </w:r>
    </w:p>
    <w:p w:rsidR="00000000" w:rsidRPr="00ED4ACA" w:rsidP="00ED4ACA">
      <w:pPr>
        <w:pStyle w:val="ListBullet"/>
      </w:pPr>
      <w:r w:rsidRPr="00ED4ACA">
        <w:t>safe operating principles</w:t>
      </w:r>
    </w:p>
    <w:p w:rsidR="00000000" w:rsidRPr="00ED4ACA" w:rsidP="00ED4ACA">
      <w:pPr>
        <w:pStyle w:val="ListBullet"/>
      </w:pPr>
      <w:r w:rsidRPr="00ED4ACA">
        <w:t>the impact of weather, climatic conditions or other conditions on lifting practices</w:t>
      </w:r>
    </w:p>
    <w:p w:rsidR="00000000" w:rsidRPr="00ED4ACA" w:rsidP="00ED4ACA">
      <w:pPr>
        <w:pStyle w:val="ListBullet"/>
      </w:pPr>
      <w:r w:rsidRPr="00ED4ACA">
        <w:t>cargo planning</w:t>
      </w:r>
    </w:p>
    <w:p w:rsidR="00000000" w:rsidRPr="00ED4ACA" w:rsidP="00ED4ACA">
      <w:pPr>
        <w:pStyle w:val="ListBullet"/>
      </w:pPr>
      <w:r w:rsidRPr="00ED4ACA">
        <w:t>hierarchy of control.</w:t>
      </w:r>
    </w:p>
    <w:p w:rsidR="00000000" w:rsidRPr="00ED4ACA" w:rsidP="00ED4ACA">
      <w:pPr>
        <w:pStyle w:val="AllowPageBreak"/>
      </w:pPr>
    </w:p>
    <w:p w:rsidR="00000000" w:rsidRPr="00ED4ACA" w:rsidP="00ED4ACA">
      <w:pPr>
        <w:pStyle w:val="Heading1"/>
      </w:pPr>
      <w:bookmarkStart w:id="14" w:name="O_909662"/>
      <w:bookmarkEnd w:id="14"/>
      <w:r w:rsidRPr="00ED4ACA">
        <w:t>Assessment Conditions</w:t>
      </w:r>
    </w:p>
    <w:p w:rsidR="00000000" w:rsidRPr="00ED4ACA" w:rsidP="00ED4ACA">
      <w:pPr>
        <w:pStyle w:val="ListBullet"/>
      </w:pPr>
      <w:r w:rsidRPr="00ED4ACA">
        <w:t>The unit should be assessed holistically and the judg</w:t>
      </w:r>
      <w:r w:rsidRPr="00ED4ACA">
        <w:t xml:space="preserve">ement of competence based on a holistic assessment of the evidence. </w:t>
      </w:r>
    </w:p>
    <w:p w:rsidR="00000000" w:rsidRPr="00ED4ACA" w:rsidP="00ED4ACA">
      <w:pPr>
        <w:pStyle w:val="ListBullet"/>
      </w:pPr>
      <w:r w:rsidRPr="00ED4ACA">
        <w:t>The collection of performance evidence:</w:t>
      </w:r>
    </w:p>
    <w:p w:rsidR="00000000" w:rsidRPr="00ED4ACA" w:rsidP="00ED4ACA">
      <w:pPr>
        <w:pStyle w:val="ListBullet2"/>
      </w:pPr>
      <w:r w:rsidRPr="00ED4ACA">
        <w:t>should occur over a range of situations which include typical disruptions to normal, smooth operation of an operating plant</w:t>
      </w:r>
    </w:p>
    <w:p w:rsidR="00000000" w:rsidRPr="00ED4ACA" w:rsidP="00ED4ACA">
      <w:pPr>
        <w:pStyle w:val="ListBullet2"/>
      </w:pPr>
      <w:r w:rsidRPr="00ED4ACA">
        <w:t>will typically include a supervisor/third-party report or other evidence, focusing on consistent performance and problem recognition and solving. A supervisor/third-party report must be prepared by someone who has a direct, relevant, current relationship w</w:t>
      </w:r>
      <w:r w:rsidRPr="00ED4ACA">
        <w:t xml:space="preserve">ith the person being assessed and who is in a position to form a judgement on workplace performance relevant to the unit of competency </w:t>
      </w:r>
    </w:p>
    <w:p w:rsidR="00000000" w:rsidRPr="00ED4ACA" w:rsidP="00ED4ACA">
      <w:pPr>
        <w:pStyle w:val="ListBullet2"/>
      </w:pPr>
      <w:r w:rsidRPr="00ED4ACA">
        <w:t>must include the use of an appropriate industrial item/s of equipment requiring demonstration of operation, start-up and</w:t>
      </w:r>
      <w:r w:rsidRPr="00ED4ACA">
        <w:t xml:space="preserve"> shutdown procedures and responding to problems</w:t>
      </w:r>
    </w:p>
    <w:p w:rsidR="00000000" w:rsidRPr="00ED4ACA" w:rsidP="00ED4ACA">
      <w:pPr>
        <w:pStyle w:val="ListBullet2"/>
      </w:pPr>
      <w:r w:rsidRPr="00ED4ACA">
        <w:t>may use-industry based simulation for all of the unit, provided it simulates offshore conditions.</w:t>
      </w:r>
    </w:p>
    <w:p w:rsidR="00000000" w:rsidRPr="00ED4ACA" w:rsidP="00ED4ACA">
      <w:pPr>
        <w:pStyle w:val="ListBullet"/>
      </w:pPr>
      <w:r w:rsidRPr="00ED4ACA">
        <w:t>Assessment should occur in operational workplace situations. Where this is not possible, or where personal sa</w:t>
      </w:r>
      <w:r w:rsidRPr="00ED4ACA">
        <w:t>fety or environmental damage are limiting factors, assessment must occur in a sufficiently rigorous simulated environment reflecting realistic operational workplace conditions. This must cover all aspects of workplace performance, including environment, ta</w:t>
      </w:r>
      <w:r w:rsidRPr="00ED4ACA">
        <w:t xml:space="preserve">sk skills, task management skills, contingency management skills and job role environment skills. </w:t>
      </w:r>
    </w:p>
    <w:p w:rsidR="00000000" w:rsidRPr="00ED4ACA" w:rsidP="00ED4ACA">
      <w:pPr>
        <w:pStyle w:val="ListBullet"/>
      </w:pPr>
      <w:r w:rsidRPr="00ED4ACA">
        <w:t xml:space="preserve">Assessment in a simulated environment should use evidence collected from one or more of: </w:t>
      </w:r>
    </w:p>
    <w:p w:rsidR="00000000" w:rsidRPr="00ED4ACA" w:rsidP="00ED4ACA">
      <w:pPr>
        <w:pStyle w:val="ListBullet2"/>
      </w:pPr>
      <w:r w:rsidRPr="00ED4ACA">
        <w:t>walk-throughs</w:t>
      </w:r>
    </w:p>
    <w:p w:rsidR="00000000" w:rsidRPr="00ED4ACA" w:rsidP="00ED4ACA">
      <w:pPr>
        <w:pStyle w:val="ListBullet2"/>
      </w:pPr>
      <w:r w:rsidRPr="00ED4ACA">
        <w:t xml:space="preserve">pilot plant operation </w:t>
      </w:r>
    </w:p>
    <w:p w:rsidR="00000000" w:rsidRPr="00ED4ACA" w:rsidP="00ED4ACA">
      <w:pPr>
        <w:pStyle w:val="ListBullet2"/>
      </w:pPr>
      <w:r w:rsidRPr="00ED4ACA">
        <w:t xml:space="preserve">demonstration of skills </w:t>
      </w:r>
    </w:p>
    <w:p w:rsidR="00000000" w:rsidRPr="00ED4ACA" w:rsidP="00ED4ACA">
      <w:pPr>
        <w:pStyle w:val="ListBullet2"/>
      </w:pPr>
      <w:r w:rsidRPr="00ED4ACA">
        <w:t>indu</w:t>
      </w:r>
      <w:r w:rsidRPr="00ED4ACA">
        <w:t xml:space="preserve">stry-based case studies/scenarios </w:t>
      </w:r>
    </w:p>
    <w:p w:rsidR="00000000" w:rsidRPr="00ED4ACA" w:rsidP="00ED4ACA">
      <w:pPr>
        <w:pStyle w:val="ListBullet2"/>
      </w:pPr>
      <w:r w:rsidRPr="00ED4ACA">
        <w:t>‘what ifs’.</w:t>
      </w:r>
    </w:p>
    <w:p w:rsidR="00000000" w:rsidRPr="00ED4ACA" w:rsidP="00ED4ACA">
      <w:pPr>
        <w:pStyle w:val="ListBullet"/>
      </w:pPr>
      <w:r w:rsidRPr="00ED4ACA">
        <w:t>Knowledge evidence may be collected concurrently with performance evidence (provided a record is kept) or through an independent process, such as workbooks, written assessments or interviews (provided a recor</w:t>
      </w:r>
      <w:r w:rsidRPr="00ED4ACA">
        <w:t>d is kept).</w:t>
      </w:r>
    </w:p>
    <w:p w:rsidR="00000000" w:rsidRPr="00ED4ACA" w:rsidP="00ED4ACA">
      <w:pPr>
        <w:pStyle w:val="ListBullet"/>
      </w:pPr>
      <w:r w:rsidRPr="00ED4ACA">
        <w:t>Assessment processes and techniques must be appropriate to the language, literacy and numeracy requirements of the work being performed and the needs of the candidate.</w:t>
      </w:r>
    </w:p>
    <w:p w:rsidR="00000000" w:rsidRPr="00ED4ACA" w:rsidP="00ED4ACA">
      <w:pPr>
        <w:pStyle w:val="ListBullet"/>
      </w:pPr>
      <w:r w:rsidRPr="00ED4ACA">
        <w:t>Conditions for assessment must include access to all tools, equipment, mater</w:t>
      </w:r>
      <w:r w:rsidRPr="00ED4ACA">
        <w:t>ials and documentation required, including relevant workplace procedures, product and manufacturing specifications associated with this unit.</w:t>
      </w:r>
    </w:p>
    <w:p w:rsidR="00000000" w:rsidRPr="00ED4ACA" w:rsidP="00ED4ACA">
      <w:pPr>
        <w:pStyle w:val="ListBullet"/>
      </w:pPr>
      <w:r w:rsidRPr="00ED4ACA">
        <w:t>The regulatory framework will be reflected in workplace policies and procedures and is not required to be independently assessed.</w:t>
      </w:r>
    </w:p>
    <w:p w:rsidR="00000000" w:rsidRPr="00ED4ACA" w:rsidP="00ED4ACA">
      <w:pPr>
        <w:pStyle w:val="ListBullet"/>
      </w:pPr>
      <w:r w:rsidRPr="00ED4ACA">
        <w:t>Foundation skills are integral to competent performance of the unit and should not be assessed separately.</w:t>
      </w:r>
    </w:p>
    <w:p w:rsidR="00000000" w:rsidRPr="00ED4ACA" w:rsidP="00ED4ACA">
      <w:pPr>
        <w:pStyle w:val="ListBullet"/>
      </w:pPr>
      <w:r w:rsidRPr="00ED4ACA">
        <w:t>Assessors must sati</w:t>
      </w:r>
      <w:r w:rsidRPr="00ED4ACA">
        <w:t>sfy the assessor competency requirements that are in place at the time of the assessment as set by the VET regulator.</w:t>
      </w:r>
    </w:p>
    <w:p w:rsidR="00000000" w:rsidRPr="00ED4ACA" w:rsidP="00ED4ACA">
      <w:pPr>
        <w:pStyle w:val="ListBullet"/>
      </w:pPr>
      <w:r w:rsidRPr="00ED4ACA">
        <w:t>In addition, the assessor or anyone acting in subject matter expert role in assessment must demonstrate both technical competency and curr</w:t>
      </w:r>
      <w:r w:rsidRPr="00ED4ACA">
        <w:t xml:space="preserve">ency. If the assessor cannot demonstrate technical competency and currency they must assess with a subject matter expert who does meet these requirements. </w:t>
      </w:r>
    </w:p>
    <w:p w:rsidR="00000000" w:rsidRPr="00ED4ACA" w:rsidP="00ED4ACA">
      <w:pPr>
        <w:pStyle w:val="ListBullet"/>
      </w:pPr>
      <w:r w:rsidRPr="00ED4ACA">
        <w:t>Technical competence can be demonstrated through one or more of:</w:t>
      </w:r>
    </w:p>
    <w:p w:rsidR="00000000" w:rsidRPr="00ED4ACA" w:rsidP="00ED4ACA">
      <w:pPr>
        <w:pStyle w:val="ListBullet2"/>
      </w:pPr>
      <w:r w:rsidRPr="00ED4ACA">
        <w:t>relevant VET or other qualificatio</w:t>
      </w:r>
      <w:r w:rsidRPr="00ED4ACA">
        <w:t xml:space="preserve">n/Statement of Attainment </w:t>
      </w:r>
    </w:p>
    <w:p w:rsidR="00000000" w:rsidRPr="00ED4ACA" w:rsidP="00ED4ACA">
      <w:pPr>
        <w:pStyle w:val="ListBullet2"/>
      </w:pPr>
      <w:r w:rsidRPr="00ED4ACA">
        <w:t xml:space="preserve">appropriate workplace experience undertaking the type of work being assessed under routine and non-routine conditions </w:t>
      </w:r>
    </w:p>
    <w:p w:rsidR="00000000" w:rsidRPr="00ED4ACA" w:rsidP="00ED4ACA">
      <w:pPr>
        <w:pStyle w:val="ListBullet2"/>
      </w:pPr>
      <w:r w:rsidRPr="00ED4ACA">
        <w:t>appropriate workplace experience supervising/evaluating the type of work being assessed under routine and non-</w:t>
      </w:r>
      <w:r w:rsidRPr="00ED4ACA">
        <w:t>routine conditions</w:t>
      </w:r>
    </w:p>
    <w:p w:rsidR="00000000" w:rsidRPr="00ED4ACA" w:rsidP="00ED4ACA">
      <w:pPr>
        <w:pStyle w:val="ListBullet"/>
      </w:pPr>
      <w:r w:rsidRPr="00ED4ACA">
        <w:t>Currency can be demonstrated through one or more of:</w:t>
      </w:r>
    </w:p>
    <w:p w:rsidR="00000000" w:rsidRPr="00ED4ACA" w:rsidP="00ED4ACA">
      <w:pPr>
        <w:pStyle w:val="ListBullet2"/>
      </w:pPr>
      <w:r w:rsidRPr="00ED4ACA">
        <w:t xml:space="preserve">being currently employed undertaking the type of work being assessed </w:t>
      </w:r>
    </w:p>
    <w:p w:rsidR="00000000" w:rsidRPr="00ED4ACA" w:rsidP="00ED4ACA">
      <w:pPr>
        <w:pStyle w:val="ListBullet2"/>
      </w:pPr>
      <w:r w:rsidRPr="00ED4ACA">
        <w:t>being employed by the organisation undertaking the type of work being assessed and having maintained currency in</w:t>
      </w:r>
      <w:r w:rsidRPr="00ED4ACA">
        <w:t xml:space="preserve"> accordance with that organisation’s policies and procedures </w:t>
      </w:r>
    </w:p>
    <w:p w:rsidR="00000000" w:rsidRPr="00ED4ACA" w:rsidP="00ED4ACA">
      <w:pPr>
        <w:pStyle w:val="ListBullet2"/>
      </w:pPr>
      <w:r w:rsidRPr="00ED4ACA">
        <w:t xml:space="preserve">having consulted/had contact with an organisation undertaking the type of work being assessed within the last twelve months, the consultation/contact being related to assessment </w:t>
      </w:r>
    </w:p>
    <w:p w:rsidR="00000000" w:rsidRPr="00ED4ACA" w:rsidP="00ED4ACA">
      <w:pPr>
        <w:pStyle w:val="ListBullet2"/>
      </w:pPr>
      <w:r w:rsidRPr="00ED4ACA">
        <w:t>conducting on-t</w:t>
      </w:r>
      <w:r w:rsidRPr="00ED4ACA">
        <w:t xml:space="preserve">he-job training/assessments of the type of work being assessed </w:t>
      </w:r>
    </w:p>
    <w:p w:rsidR="00000000" w:rsidRPr="00ED4ACA" w:rsidP="00ED4ACA">
      <w:pPr>
        <w:pStyle w:val="ListBullet2"/>
      </w:pPr>
      <w:r w:rsidRPr="00ED4ACA">
        <w:t>being an active member of a relevant professional body and participating in activities relevant to the assessment of this type of work.</w:t>
      </w:r>
    </w:p>
    <w:p w:rsidR="00000000" w:rsidRPr="00ED4ACA" w:rsidP="00ED4ACA">
      <w:pPr>
        <w:pStyle w:val="AllowPageBreak"/>
      </w:pPr>
    </w:p>
    <w:p w:rsidR="00000000" w:rsidRPr="00ED4ACA" w:rsidP="00ED4ACA">
      <w:pPr>
        <w:pStyle w:val="Heading1"/>
      </w:pPr>
      <w:bookmarkStart w:id="15" w:name="O_909660"/>
      <w:bookmarkEnd w:id="15"/>
      <w:r w:rsidRPr="00ED4ACA">
        <w:t>Links</w:t>
      </w:r>
    </w:p>
    <w:p w:rsidR="00000000" w:rsidRPr="00ED4ACA" w:rsidP="001536C5">
      <w:pPr>
        <w:pStyle w:val="BodyText"/>
      </w:pPr>
      <w:r w:rsidRPr="00ED4ACA">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64351C">
        <w:rPr>
          <w:rStyle w:val="Hyperlink"/>
        </w:rPr>
        <w:t>https://vetnet.gov.au/Pages/TrainingDocs.aspx?q=9fc2cf53-e570-4e9f-ad6a-b228ffdb6875</w:t>
      </w:r>
      <w:r>
        <w:fldChar w:fldCharType="end"/>
      </w:r>
    </w:p>
    <w:p w:rsidR="00000000" w:rsidRPr="00ED4ACA" w:rsidP="00ED4ACA"/>
    <w:sectPr w:rsidSect="00ED4A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A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ACA" w:rsidRPr="001536C5" w:rsidP="001536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A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6C5" w:rsidP="00ED4A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1536C5" w:rsidP="00ED4A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536C5" w:rsidP="00ED4A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ACA" w:rsidP="00ED4ACA">
    <w:pPr>
      <w:pStyle w:val="Footer"/>
      <w:framePr w:wrap="around"/>
    </w:pPr>
    <w:r>
      <w:fldChar w:fldCharType="begin"/>
    </w:r>
    <w:r>
      <w:instrText xml:space="preserve"> DOCPROPERTY  Subject  \* MERGEFORMAT </w:instrText>
    </w:r>
    <w:r>
      <w:fldChar w:fldCharType="separate"/>
    </w:r>
    <w:r w:rsidR="001536C5">
      <w:t>Approved</w:t>
    </w:r>
    <w:r w:rsidR="001536C5">
      <w:fldChar w:fldCharType="end"/>
    </w:r>
    <w:r>
      <w:tab/>
      <w:t xml:space="preserve">Page </w:t>
    </w:r>
    <w:r>
      <w:fldChar w:fldCharType="begin"/>
    </w:r>
    <w:r>
      <w:instrText xml:space="preserve"> PAGE  \* Arabic  \* MERGEFORMAT </w:instrText>
    </w:r>
    <w:r>
      <w:fldChar w:fldCharType="separate"/>
    </w:r>
    <w:r w:rsidR="001536C5">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36C5">
      <w:rPr>
        <w:noProof/>
      </w:rPr>
      <w:t>8</w:t>
    </w:r>
    <w:r>
      <w:rPr>
        <w:noProof/>
      </w:rPr>
      <w:fldChar w:fldCharType="end"/>
    </w:r>
  </w:p>
  <w:p w:rsidR="00ED4ACA" w:rsidP="00ED4ACA">
    <w:pPr>
      <w:pStyle w:val="Footer"/>
      <w:framePr w:wrap="around"/>
    </w:pPr>
    <w:r>
      <w:t xml:space="preserve">© Commonwealth of Australia, </w:t>
    </w:r>
    <w:r>
      <w:fldChar w:fldCharType="begin"/>
    </w:r>
    <w:r>
      <w:instrText xml:space="preserve"> DATE  \@ "yyyy"  \* MERGEFORMAT </w:instrText>
    </w:r>
    <w:r>
      <w:fldChar w:fldCharType="separate"/>
    </w:r>
    <w:r w:rsidR="001536C5">
      <w:rPr>
        <w:noProof/>
      </w:rPr>
      <w:t>2025</w:t>
    </w:r>
    <w:r>
      <w:fldChar w:fldCharType="end"/>
    </w:r>
    <w:r>
      <w:tab/>
    </w:r>
    <w:r>
      <w:fldChar w:fldCharType="begin"/>
    </w:r>
    <w:r>
      <w:instrText xml:space="preserve"> DOCPROPERTY  Author  \* MERGEFORMAT </w:instrText>
    </w:r>
    <w:r>
      <w:fldChar w:fldCharType="separate"/>
    </w:r>
    <w:r w:rsidR="001536C5">
      <w:t>Manufacturing Industry Skills Alliance</w:t>
    </w:r>
    <w:r w:rsidR="001536C5">
      <w:fldChar w:fldCharType="end"/>
    </w:r>
  </w:p>
  <w:p w:rsidR="00ED4ACA" w:rsidP="00ED4A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A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6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4ACA" w:rsidRPr="001536C5" w:rsidP="001536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A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6C5" w:rsidRPr="002D2AF8" w:rsidP="00ED4ACA">
    <w:pPr>
      <w:pStyle w:val="Header"/>
      <w:framePr w:wrap="around"/>
    </w:pPr>
    <w:r>
      <w:fldChar w:fldCharType="begin"/>
    </w:r>
    <w:r>
      <w:instrText xml:space="preserve"> TITLE   \* MERGEFORMAT </w:instrText>
    </w:r>
    <w:r>
      <w:fldChar w:fldCharType="separate"/>
    </w:r>
    <w:r>
      <w:t>PMASUP305 Operate offshore cranes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536C5" w:rsidP="00ED4A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ACA" w:rsidRPr="002D2AF8" w:rsidP="00ED4ACA">
    <w:pPr>
      <w:pStyle w:val="Header"/>
      <w:framePr w:wrap="around"/>
    </w:pPr>
    <w:r>
      <w:fldChar w:fldCharType="begin"/>
    </w:r>
    <w:r>
      <w:instrText xml:space="preserve"> TITLE   \* MERGEFORMAT </w:instrText>
    </w:r>
    <w:r>
      <w:fldChar w:fldCharType="separate"/>
    </w:r>
    <w:r w:rsidR="001536C5">
      <w:t>PMASUP305 Operate offshore cranes</w:t>
    </w:r>
    <w:r w:rsidR="001536C5">
      <w:fldChar w:fldCharType="end"/>
    </w:r>
    <w:r>
      <w:tab/>
      <w:t xml:space="preserve">Date this document was generated: </w:t>
    </w:r>
    <w:r>
      <w:fldChar w:fldCharType="begin"/>
    </w:r>
    <w:r>
      <w:instrText xml:space="preserve"> CREATEDATE  \@ "d MMMM yyyy"  \* MERGEFORMAT </w:instrText>
    </w:r>
    <w:r>
      <w:fldChar w:fldCharType="separate"/>
    </w:r>
    <w:r w:rsidR="001536C5">
      <w:rPr>
        <w:noProof/>
      </w:rPr>
      <w:t>1 March 2025</w:t>
    </w:r>
    <w:r>
      <w:fldChar w:fldCharType="end"/>
    </w:r>
  </w:p>
  <w:p w:rsidR="00ED4ACA" w:rsidP="00ED4A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1684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2CA0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8C5E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A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4ACA"/>
    <w:pPr>
      <w:spacing w:before="360" w:after="60"/>
      <w:outlineLvl w:val="0"/>
    </w:pPr>
    <w:rPr>
      <w:sz w:val="32"/>
    </w:rPr>
  </w:style>
  <w:style w:type="paragraph" w:styleId="Heading2">
    <w:name w:val="heading 2"/>
    <w:basedOn w:val="HeadingBase"/>
    <w:next w:val="BodyText"/>
    <w:link w:val="Heading2Char"/>
    <w:qFormat/>
    <w:rsid w:val="00ED4ACA"/>
    <w:pPr>
      <w:keepLines/>
      <w:spacing w:before="240" w:after="120"/>
      <w:outlineLvl w:val="1"/>
    </w:pPr>
    <w:rPr>
      <w:sz w:val="28"/>
      <w:szCs w:val="40"/>
    </w:rPr>
  </w:style>
  <w:style w:type="paragraph" w:styleId="Heading3">
    <w:name w:val="heading 3"/>
    <w:basedOn w:val="HeadingBase"/>
    <w:next w:val="BodyText"/>
    <w:link w:val="Heading3Char"/>
    <w:qFormat/>
    <w:rsid w:val="00ED4ACA"/>
    <w:pPr>
      <w:spacing w:before="180" w:after="120"/>
      <w:outlineLvl w:val="2"/>
    </w:pPr>
    <w:rPr>
      <w:spacing w:val="-10"/>
      <w:kern w:val="32"/>
    </w:rPr>
  </w:style>
  <w:style w:type="paragraph" w:styleId="Heading4">
    <w:name w:val="heading 4"/>
    <w:basedOn w:val="HeadingBase"/>
    <w:next w:val="BodyText"/>
    <w:link w:val="Heading4Char"/>
    <w:qFormat/>
    <w:rsid w:val="00ED4ACA"/>
    <w:pPr>
      <w:spacing w:before="160" w:after="120"/>
      <w:outlineLvl w:val="3"/>
    </w:pPr>
    <w:rPr>
      <w:sz w:val="22"/>
    </w:rPr>
  </w:style>
  <w:style w:type="paragraph" w:styleId="Heading5">
    <w:name w:val="heading 5"/>
    <w:basedOn w:val="HeadingBase"/>
    <w:next w:val="Normal"/>
    <w:link w:val="Heading5Char"/>
    <w:qFormat/>
    <w:rsid w:val="00ED4ACA"/>
    <w:pPr>
      <w:spacing w:before="80"/>
      <w:outlineLvl w:val="4"/>
    </w:pPr>
    <w:rPr>
      <w:color w:val="918585"/>
      <w:sz w:val="20"/>
    </w:rPr>
  </w:style>
  <w:style w:type="paragraph" w:styleId="Heading6">
    <w:name w:val="heading 6"/>
    <w:basedOn w:val="HeadingBase"/>
    <w:next w:val="Normal"/>
    <w:link w:val="Heading6Char"/>
    <w:qFormat/>
    <w:rsid w:val="00ED4ACA"/>
    <w:pPr>
      <w:spacing w:before="60"/>
      <w:outlineLvl w:val="5"/>
    </w:pPr>
    <w:rPr>
      <w:color w:val="918585"/>
      <w:sz w:val="20"/>
    </w:rPr>
  </w:style>
  <w:style w:type="paragraph" w:styleId="Heading7">
    <w:name w:val="heading 7"/>
    <w:basedOn w:val="Normal"/>
    <w:next w:val="Normal"/>
    <w:link w:val="Heading7Char"/>
    <w:qFormat/>
    <w:rsid w:val="00ED4ACA"/>
    <w:pPr>
      <w:ind w:left="720"/>
      <w:outlineLvl w:val="6"/>
    </w:pPr>
    <w:rPr>
      <w:i/>
    </w:rPr>
  </w:style>
  <w:style w:type="paragraph" w:styleId="Heading8">
    <w:name w:val="heading 8"/>
    <w:basedOn w:val="Normal"/>
    <w:next w:val="Normal"/>
    <w:link w:val="Heading8Char"/>
    <w:qFormat/>
    <w:rsid w:val="00ED4ACA"/>
    <w:pPr>
      <w:ind w:left="720"/>
      <w:outlineLvl w:val="7"/>
    </w:pPr>
    <w:rPr>
      <w:i/>
    </w:rPr>
  </w:style>
  <w:style w:type="paragraph" w:styleId="Heading9">
    <w:name w:val="heading 9"/>
    <w:basedOn w:val="Normal"/>
    <w:next w:val="Normal"/>
    <w:link w:val="Heading9Char"/>
    <w:qFormat/>
    <w:rsid w:val="00ED4ACA"/>
    <w:pPr>
      <w:ind w:left="720"/>
      <w:outlineLvl w:val="8"/>
    </w:pPr>
    <w:rPr>
      <w:i/>
    </w:rPr>
  </w:style>
  <w:style w:type="character" w:default="1" w:styleId="DefaultParagraphFont">
    <w:name w:val="Default Paragraph Font"/>
    <w:uiPriority w:val="1"/>
    <w:unhideWhenUsed/>
    <w:rsid w:val="00ED4A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4ACA"/>
  </w:style>
  <w:style w:type="character" w:customStyle="1" w:styleId="Heading1Char">
    <w:name w:val="Heading 1 Char"/>
    <w:basedOn w:val="DefaultParagraphFont"/>
    <w:link w:val="Heading1"/>
    <w:rsid w:val="00ED4ACA"/>
    <w:rPr>
      <w:rFonts w:ascii="Times New Roman" w:eastAsia="Times New Roman" w:hAnsi="Times New Roman" w:cs="Times New Roman"/>
      <w:b/>
      <w:sz w:val="32"/>
      <w:szCs w:val="20"/>
      <w:lang w:eastAsia="en-US"/>
    </w:rPr>
  </w:style>
  <w:style w:type="paragraph" w:styleId="BodyText">
    <w:name w:val="Body Text"/>
    <w:basedOn w:val="Normal"/>
    <w:link w:val="BodyTextChar"/>
    <w:rsid w:val="00ED4A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4ACA"/>
    <w:rPr>
      <w:rFonts w:ascii="Times New Roman" w:eastAsia="Times New Roman" w:hAnsi="Times New Roman" w:cs="Times New Roman"/>
      <w:sz w:val="24"/>
      <w:lang w:eastAsia="en-US"/>
    </w:rPr>
  </w:style>
  <w:style w:type="paragraph" w:styleId="ListBullet">
    <w:name w:val="List Bullet"/>
    <w:basedOn w:val="List"/>
    <w:rsid w:val="00ED4ACA"/>
    <w:pPr>
      <w:numPr>
        <w:numId w:val="12"/>
      </w:numPr>
      <w:tabs>
        <w:tab w:val="clear" w:pos="340"/>
      </w:tabs>
      <w:spacing w:before="40" w:after="40"/>
    </w:pPr>
  </w:style>
  <w:style w:type="character" w:customStyle="1" w:styleId="SpecialBold">
    <w:name w:val="Special Bold"/>
    <w:basedOn w:val="DefaultParagraphFont"/>
    <w:rsid w:val="00ED4ACA"/>
    <w:rPr>
      <w:b/>
      <w:spacing w:val="0"/>
    </w:rPr>
  </w:style>
  <w:style w:type="paragraph" w:styleId="ListBullet2">
    <w:name w:val="List Bullet 2"/>
    <w:basedOn w:val="List2"/>
    <w:rsid w:val="00ED4ACA"/>
    <w:pPr>
      <w:numPr>
        <w:numId w:val="13"/>
      </w:numPr>
      <w:tabs>
        <w:tab w:val="clear" w:pos="680"/>
      </w:tabs>
    </w:pPr>
  </w:style>
  <w:style w:type="character" w:styleId="Emphasis">
    <w:name w:val="Emphasis"/>
    <w:basedOn w:val="DefaultParagraphFont"/>
    <w:qFormat/>
    <w:rsid w:val="00ED4ACA"/>
    <w:rPr>
      <w:i/>
    </w:rPr>
  </w:style>
  <w:style w:type="paragraph" w:customStyle="1" w:styleId="SuperHeading">
    <w:name w:val="SuperHeading"/>
    <w:basedOn w:val="Normal"/>
    <w:rsid w:val="00ED4ACA"/>
    <w:pPr>
      <w:spacing w:before="240" w:after="120"/>
      <w:outlineLvl w:val="0"/>
    </w:pPr>
    <w:rPr>
      <w:rFonts w:ascii="Times New Roman" w:hAnsi="Times New Roman"/>
      <w:b/>
      <w:sz w:val="32"/>
    </w:rPr>
  </w:style>
  <w:style w:type="paragraph" w:customStyle="1" w:styleId="AllowPageBreak">
    <w:name w:val="AllowPageBreak"/>
    <w:rsid w:val="00ED4A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4A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4A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4A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4A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4A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4A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4A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4ACA"/>
    <w:rPr>
      <w:rFonts w:ascii="Courier New" w:eastAsia="Times New Roman" w:hAnsi="Courier New" w:cs="Times New Roman"/>
      <w:i/>
      <w:szCs w:val="20"/>
      <w:lang w:eastAsia="en-US"/>
    </w:rPr>
  </w:style>
  <w:style w:type="paragraph" w:customStyle="1" w:styleId="HeadingBase">
    <w:name w:val="Heading Base"/>
    <w:rsid w:val="00ED4A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4ACA"/>
    <w:pPr>
      <w:tabs>
        <w:tab w:val="right" w:leader="dot" w:pos="9072"/>
      </w:tabs>
      <w:ind w:left="567"/>
    </w:pPr>
    <w:rPr>
      <w:szCs w:val="22"/>
    </w:rPr>
  </w:style>
  <w:style w:type="paragraph" w:customStyle="1" w:styleId="TOCBase">
    <w:name w:val="TOC Base"/>
    <w:rsid w:val="00ED4A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4ACA"/>
    <w:pPr>
      <w:tabs>
        <w:tab w:val="right" w:leader="dot" w:pos="9072"/>
      </w:tabs>
      <w:spacing w:before="40" w:after="40"/>
      <w:ind w:left="284"/>
    </w:pPr>
    <w:rPr>
      <w:rFonts w:ascii="Times New Roman" w:hAnsi="Times New Roman"/>
    </w:rPr>
  </w:style>
  <w:style w:type="paragraph" w:styleId="TOC1">
    <w:name w:val="toc 1"/>
    <w:basedOn w:val="TOCBase"/>
    <w:next w:val="Normal"/>
    <w:rsid w:val="00ED4A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4A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4ACA"/>
    <w:rPr>
      <w:rFonts w:ascii="Times New Roman" w:eastAsia="Times New Roman" w:hAnsi="Times New Roman" w:cs="Times New Roman"/>
      <w:sz w:val="16"/>
      <w:lang w:eastAsia="en-US"/>
    </w:rPr>
  </w:style>
  <w:style w:type="paragraph" w:styleId="Title">
    <w:name w:val="Title"/>
    <w:basedOn w:val="HeadingBase"/>
    <w:link w:val="TitleChar"/>
    <w:qFormat/>
    <w:rsid w:val="00ED4ACA"/>
    <w:pPr>
      <w:spacing w:before="5040"/>
      <w:jc w:val="center"/>
    </w:pPr>
    <w:rPr>
      <w:sz w:val="48"/>
      <w:szCs w:val="72"/>
      <w:lang w:val="en-US"/>
    </w:rPr>
  </w:style>
  <w:style w:type="character" w:customStyle="1" w:styleId="TitleChar">
    <w:name w:val="Title Char"/>
    <w:basedOn w:val="DefaultParagraphFont"/>
    <w:link w:val="Title"/>
    <w:rsid w:val="00ED4A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4ACA"/>
    <w:pPr>
      <w:tabs>
        <w:tab w:val="left" w:pos="3600"/>
        <w:tab w:val="left" w:pos="3958"/>
      </w:tabs>
    </w:pPr>
  </w:style>
  <w:style w:type="paragraph" w:styleId="List">
    <w:name w:val="List"/>
    <w:basedOn w:val="BodyText"/>
    <w:next w:val="BodyText"/>
    <w:rsid w:val="00ED4ACA"/>
    <w:pPr>
      <w:tabs>
        <w:tab w:val="left" w:pos="340"/>
      </w:tabs>
      <w:spacing w:before="60" w:after="60"/>
      <w:ind w:left="340" w:hanging="340"/>
    </w:pPr>
  </w:style>
  <w:style w:type="paragraph" w:customStyle="1" w:styleId="Note">
    <w:name w:val="Note"/>
    <w:basedOn w:val="BodyText"/>
    <w:rsid w:val="00ED4A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4ACA"/>
    <w:pPr>
      <w:framePr w:wrap="auto" w:hAnchor="text" w:y="6049"/>
    </w:pPr>
    <w:rPr>
      <w:color w:val="000000"/>
      <w:sz w:val="40"/>
    </w:rPr>
  </w:style>
  <w:style w:type="paragraph" w:customStyle="1" w:styleId="TOCTitle">
    <w:name w:val="TOCTitle"/>
    <w:basedOn w:val="Heading1"/>
    <w:rsid w:val="00ED4ACA"/>
    <w:pPr>
      <w:spacing w:after="240"/>
      <w:jc w:val="center"/>
      <w:outlineLvl w:val="9"/>
    </w:pPr>
    <w:rPr>
      <w:caps/>
    </w:rPr>
  </w:style>
  <w:style w:type="paragraph" w:customStyle="1" w:styleId="Version">
    <w:name w:val="Version"/>
    <w:rsid w:val="00ED4A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4ACA"/>
    <w:pPr>
      <w:keepNext w:val="0"/>
      <w:tabs>
        <w:tab w:val="right" w:pos="4176"/>
      </w:tabs>
      <w:ind w:left="198" w:hanging="198"/>
    </w:pPr>
    <w:rPr>
      <w:rFonts w:ascii="Garamond" w:hAnsi="Garamond"/>
    </w:rPr>
  </w:style>
  <w:style w:type="paragraph" w:styleId="IndexHeading">
    <w:name w:val="index heading"/>
    <w:basedOn w:val="Normal"/>
    <w:next w:val="Index1"/>
    <w:semiHidden/>
    <w:rsid w:val="00ED4ACA"/>
    <w:pPr>
      <w:spacing w:before="120" w:after="120"/>
    </w:pPr>
    <w:rPr>
      <w:rFonts w:ascii="Arial" w:hAnsi="Arial"/>
      <w:b/>
      <w:color w:val="918585"/>
      <w:sz w:val="24"/>
    </w:rPr>
  </w:style>
  <w:style w:type="paragraph" w:styleId="Header">
    <w:name w:val="header"/>
    <w:basedOn w:val="Normal"/>
    <w:link w:val="HeaderChar"/>
    <w:rsid w:val="00ED4A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4ACA"/>
    <w:rPr>
      <w:rFonts w:ascii="Times New Roman" w:eastAsia="Times New Roman" w:hAnsi="Times New Roman" w:cs="Times New Roman"/>
      <w:sz w:val="16"/>
      <w:szCs w:val="20"/>
      <w:lang w:val="en-GB" w:eastAsia="en-US"/>
    </w:rPr>
  </w:style>
  <w:style w:type="paragraph" w:customStyle="1" w:styleId="Chapter">
    <w:name w:val="Chapter"/>
    <w:basedOn w:val="Normal"/>
    <w:rsid w:val="00ED4ACA"/>
    <w:pPr>
      <w:spacing w:before="240"/>
    </w:pPr>
    <w:rPr>
      <w:rFonts w:ascii="Times New Roman" w:hAnsi="Times New Roman"/>
      <w:smallCaps/>
      <w:spacing w:val="80"/>
      <w:sz w:val="28"/>
    </w:rPr>
  </w:style>
  <w:style w:type="paragraph" w:customStyle="1" w:styleId="InChapter">
    <w:name w:val="InChapter"/>
    <w:basedOn w:val="Heading3"/>
    <w:rsid w:val="00ED4ACA"/>
    <w:pPr>
      <w:spacing w:after="240"/>
      <w:outlineLvl w:val="9"/>
    </w:pPr>
    <w:rPr>
      <w:noProof/>
    </w:rPr>
  </w:style>
  <w:style w:type="paragraph" w:styleId="Index2">
    <w:name w:val="index 2"/>
    <w:basedOn w:val="Normal"/>
    <w:next w:val="Normal"/>
    <w:semiHidden/>
    <w:rsid w:val="00ED4ACA"/>
    <w:pPr>
      <w:tabs>
        <w:tab w:val="right" w:pos="4176"/>
      </w:tabs>
      <w:ind w:left="568" w:hanging="284"/>
    </w:pPr>
    <w:rPr>
      <w:rFonts w:ascii="Garamond" w:hAnsi="Garamond"/>
    </w:rPr>
  </w:style>
  <w:style w:type="paragraph" w:customStyle="1" w:styleId="Byline">
    <w:name w:val="Byline"/>
    <w:rsid w:val="00ED4A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4ACA"/>
    <w:pPr>
      <w:tabs>
        <w:tab w:val="clear" w:pos="3600"/>
        <w:tab w:val="clear" w:pos="3958"/>
      </w:tabs>
      <w:jc w:val="right"/>
    </w:pPr>
  </w:style>
  <w:style w:type="paragraph" w:styleId="Caption">
    <w:name w:val="caption"/>
    <w:basedOn w:val="BodyText"/>
    <w:next w:val="Normal"/>
    <w:qFormat/>
    <w:rsid w:val="00ED4ACA"/>
    <w:pPr>
      <w:framePr w:w="2268" w:hSpace="181" w:vSpace="181" w:wrap="around" w:vAnchor="text" w:hAnchor="page" w:x="1135" w:y="285" w:anchorLock="1"/>
    </w:pPr>
    <w:rPr>
      <w:i/>
    </w:rPr>
  </w:style>
  <w:style w:type="paragraph" w:customStyle="1" w:styleId="MiniTOCTitle">
    <w:name w:val="MiniTOCTitle"/>
    <w:basedOn w:val="Heading4"/>
    <w:rsid w:val="00ED4ACA"/>
    <w:pPr>
      <w:spacing w:before="240"/>
      <w:outlineLvl w:val="9"/>
    </w:pPr>
    <w:rPr>
      <w:noProof/>
      <w:sz w:val="24"/>
    </w:rPr>
  </w:style>
  <w:style w:type="paragraph" w:customStyle="1" w:styleId="MiniTOCItem">
    <w:name w:val="MiniTOCItem"/>
    <w:basedOn w:val="ListBullet"/>
    <w:rsid w:val="00ED4ACA"/>
    <w:pPr>
      <w:numPr>
        <w:numId w:val="0"/>
      </w:numPr>
      <w:tabs>
        <w:tab w:val="right" w:leader="dot" w:pos="6521"/>
      </w:tabs>
      <w:spacing w:before="0" w:after="0"/>
    </w:pPr>
  </w:style>
  <w:style w:type="paragraph" w:customStyle="1" w:styleId="TOFTitle">
    <w:name w:val="TOFTitle"/>
    <w:basedOn w:val="TOCTitle"/>
    <w:rsid w:val="00ED4ACA"/>
  </w:style>
  <w:style w:type="paragraph" w:styleId="TableofFigures">
    <w:name w:val="table of figures"/>
    <w:basedOn w:val="Normal"/>
    <w:next w:val="Normal"/>
    <w:semiHidden/>
    <w:rsid w:val="00ED4ACA"/>
    <w:pPr>
      <w:tabs>
        <w:tab w:val="right" w:leader="dot" w:pos="9072"/>
      </w:tabs>
      <w:ind w:left="970" w:hanging="403"/>
    </w:pPr>
    <w:rPr>
      <w:rFonts w:ascii="Times New Roman" w:hAnsi="Times New Roman"/>
      <w:b/>
    </w:rPr>
  </w:style>
  <w:style w:type="paragraph" w:styleId="ListNumber">
    <w:name w:val="List Number"/>
    <w:basedOn w:val="List"/>
    <w:rsid w:val="00ED4ACA"/>
    <w:pPr>
      <w:numPr>
        <w:numId w:val="15"/>
      </w:numPr>
      <w:tabs>
        <w:tab w:val="clear" w:pos="340"/>
      </w:tabs>
    </w:pPr>
  </w:style>
  <w:style w:type="character" w:customStyle="1" w:styleId="WingdingSymbols">
    <w:name w:val="Wingding Symbols"/>
    <w:rsid w:val="00ED4ACA"/>
    <w:rPr>
      <w:rFonts w:ascii="Wingdings" w:hAnsi="Wingdings"/>
    </w:rPr>
  </w:style>
  <w:style w:type="paragraph" w:customStyle="1" w:styleId="TableHeading">
    <w:name w:val="Table Heading"/>
    <w:basedOn w:val="HeadingBase"/>
    <w:rsid w:val="00ED4ACA"/>
    <w:pPr>
      <w:keepLines/>
      <w:pBdr>
        <w:bottom w:val="single" w:sz="6" w:space="1" w:color="918585"/>
      </w:pBdr>
      <w:spacing w:before="240"/>
    </w:pPr>
  </w:style>
  <w:style w:type="character" w:customStyle="1" w:styleId="HotSpot">
    <w:name w:val="HotSpot"/>
    <w:rsid w:val="00ED4ACA"/>
    <w:rPr>
      <w:color w:val="0033CC"/>
      <w:u w:val="none"/>
    </w:rPr>
  </w:style>
  <w:style w:type="paragraph" w:customStyle="1" w:styleId="BodyTextRight">
    <w:name w:val="Body Text Right"/>
    <w:basedOn w:val="BodyText"/>
    <w:rsid w:val="00ED4ACA"/>
    <w:pPr>
      <w:spacing w:before="0" w:after="0"/>
      <w:jc w:val="right"/>
    </w:pPr>
  </w:style>
  <w:style w:type="paragraph" w:styleId="Index3">
    <w:name w:val="index 3"/>
    <w:basedOn w:val="ListNumber2"/>
    <w:next w:val="Normal"/>
    <w:semiHidden/>
    <w:rsid w:val="00ED4ACA"/>
    <w:pPr>
      <w:numPr>
        <w:numId w:val="0"/>
      </w:numPr>
      <w:tabs>
        <w:tab w:val="right" w:leader="dot" w:pos="4176"/>
      </w:tabs>
    </w:pPr>
  </w:style>
  <w:style w:type="paragraph" w:styleId="ListNumber2">
    <w:name w:val="List Number 2"/>
    <w:basedOn w:val="List2"/>
    <w:rsid w:val="00ED4ACA"/>
    <w:pPr>
      <w:numPr>
        <w:numId w:val="10"/>
      </w:numPr>
      <w:tabs>
        <w:tab w:val="clear" w:pos="1060"/>
      </w:tabs>
    </w:pPr>
  </w:style>
  <w:style w:type="paragraph" w:customStyle="1" w:styleId="MarginNote">
    <w:name w:val="Margin Note"/>
    <w:basedOn w:val="BodyText"/>
    <w:rsid w:val="00ED4A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4A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4A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4ACA"/>
    <w:rPr>
      <w:sz w:val="32"/>
    </w:rPr>
  </w:style>
  <w:style w:type="paragraph" w:customStyle="1" w:styleId="HeadingProcedure">
    <w:name w:val="Heading Procedure"/>
    <w:basedOn w:val="HeadingBase"/>
    <w:next w:val="Normal"/>
    <w:rsid w:val="00ED4ACA"/>
    <w:pPr>
      <w:tabs>
        <w:tab w:val="left" w:pos="0"/>
      </w:tabs>
      <w:spacing w:before="120" w:after="60"/>
    </w:pPr>
    <w:rPr>
      <w:i/>
      <w:color w:val="918585"/>
      <w:sz w:val="22"/>
    </w:rPr>
  </w:style>
  <w:style w:type="paragraph" w:customStyle="1" w:styleId="TableBodyText">
    <w:name w:val="Table Body Text"/>
    <w:basedOn w:val="BodyText"/>
    <w:rsid w:val="00ED4ACA"/>
    <w:pPr>
      <w:spacing w:before="60" w:after="60"/>
    </w:pPr>
  </w:style>
  <w:style w:type="paragraph" w:styleId="ListContinue">
    <w:name w:val="List Continue"/>
    <w:basedOn w:val="List"/>
    <w:rsid w:val="00ED4ACA"/>
    <w:pPr>
      <w:ind w:firstLine="0"/>
    </w:pPr>
  </w:style>
  <w:style w:type="paragraph" w:customStyle="1" w:styleId="ListNote">
    <w:name w:val="List Note"/>
    <w:basedOn w:val="List"/>
    <w:rsid w:val="00ED4ACA"/>
    <w:pPr>
      <w:pBdr>
        <w:top w:val="single" w:sz="6" w:space="2" w:color="918585"/>
        <w:bottom w:val="single" w:sz="6" w:space="2" w:color="918585"/>
      </w:pBdr>
      <w:tabs>
        <w:tab w:val="left" w:pos="1021"/>
      </w:tabs>
      <w:ind w:firstLine="0"/>
    </w:pPr>
  </w:style>
  <w:style w:type="paragraph" w:customStyle="1" w:styleId="Warning">
    <w:name w:val="Warning"/>
    <w:basedOn w:val="BodyText"/>
    <w:rsid w:val="00ED4ACA"/>
    <w:pPr>
      <w:shd w:val="clear" w:color="auto" w:fill="D9D9D9"/>
      <w:tabs>
        <w:tab w:val="left" w:pos="992"/>
      </w:tabs>
      <w:ind w:left="119" w:right="119"/>
    </w:pPr>
    <w:rPr>
      <w:sz w:val="20"/>
    </w:rPr>
  </w:style>
  <w:style w:type="paragraph" w:customStyle="1" w:styleId="MarginIcons">
    <w:name w:val="Margin Icons"/>
    <w:basedOn w:val="BodyText"/>
    <w:rsid w:val="00ED4A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4ACA"/>
    <w:rPr>
      <w:rFonts w:ascii="Courier New" w:hAnsi="Courier New"/>
    </w:rPr>
  </w:style>
  <w:style w:type="paragraph" w:customStyle="1" w:styleId="NoteBullet">
    <w:name w:val="Note Bullet"/>
    <w:basedOn w:val="Note"/>
    <w:rsid w:val="00ED4ACA"/>
    <w:pPr>
      <w:tabs>
        <w:tab w:val="clear" w:pos="680"/>
      </w:tabs>
      <w:spacing w:before="60" w:after="60"/>
    </w:pPr>
  </w:style>
  <w:style w:type="paragraph" w:customStyle="1" w:styleId="SubHeading2">
    <w:name w:val="SubHeading2"/>
    <w:basedOn w:val="HeadingBase"/>
    <w:rsid w:val="00ED4ACA"/>
    <w:pPr>
      <w:spacing w:before="240" w:after="60"/>
    </w:pPr>
    <w:rPr>
      <w:sz w:val="20"/>
    </w:rPr>
  </w:style>
  <w:style w:type="paragraph" w:customStyle="1" w:styleId="SubHeading1">
    <w:name w:val="SubHeading1"/>
    <w:basedOn w:val="HeadingBase"/>
    <w:rsid w:val="00ED4ACA"/>
    <w:pPr>
      <w:spacing w:before="240" w:after="60"/>
    </w:pPr>
    <w:rPr>
      <w:color w:val="918585"/>
      <w:sz w:val="22"/>
    </w:rPr>
  </w:style>
  <w:style w:type="paragraph" w:customStyle="1" w:styleId="SideHeading">
    <w:name w:val="Side Heading"/>
    <w:basedOn w:val="HeadingBase"/>
    <w:rsid w:val="00ED4A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4ACA"/>
    <w:pPr>
      <w:tabs>
        <w:tab w:val="num" w:pos="360"/>
      </w:tabs>
    </w:pPr>
  </w:style>
  <w:style w:type="paragraph" w:styleId="PlainText">
    <w:name w:val="Plain Text"/>
    <w:basedOn w:val="Normal"/>
    <w:link w:val="PlainTextChar"/>
    <w:rsid w:val="00ED4ACA"/>
    <w:rPr>
      <w:sz w:val="20"/>
    </w:rPr>
  </w:style>
  <w:style w:type="character" w:customStyle="1" w:styleId="PlainTextChar">
    <w:name w:val="Plain Text Char"/>
    <w:basedOn w:val="DefaultParagraphFont"/>
    <w:link w:val="PlainText"/>
    <w:rsid w:val="00ED4ACA"/>
    <w:rPr>
      <w:rFonts w:ascii="Courier New" w:eastAsia="Times New Roman" w:hAnsi="Courier New" w:cs="Times New Roman"/>
      <w:sz w:val="20"/>
      <w:szCs w:val="20"/>
      <w:lang w:eastAsia="en-US"/>
    </w:rPr>
  </w:style>
  <w:style w:type="character" w:customStyle="1" w:styleId="MenuOption">
    <w:name w:val="Menu Option"/>
    <w:basedOn w:val="DefaultParagraphFont"/>
    <w:rsid w:val="00ED4ACA"/>
    <w:rPr>
      <w:b/>
      <w:smallCaps/>
    </w:rPr>
  </w:style>
  <w:style w:type="paragraph" w:customStyle="1" w:styleId="TableListNumber">
    <w:name w:val="Table List Number"/>
    <w:basedOn w:val="ListNumber"/>
    <w:rsid w:val="00ED4ACA"/>
    <w:pPr>
      <w:numPr>
        <w:numId w:val="0"/>
      </w:numPr>
    </w:pPr>
  </w:style>
  <w:style w:type="paragraph" w:styleId="TOC4">
    <w:name w:val="toc 4"/>
    <w:basedOn w:val="TOCBase"/>
    <w:next w:val="Normal"/>
    <w:semiHidden/>
    <w:rsid w:val="00ED4ACA"/>
    <w:pPr>
      <w:tabs>
        <w:tab w:val="right" w:leader="dot" w:pos="9071"/>
      </w:tabs>
      <w:ind w:left="1701"/>
    </w:pPr>
  </w:style>
  <w:style w:type="paragraph" w:customStyle="1" w:styleId="ListAlpha">
    <w:name w:val="List Alpha"/>
    <w:basedOn w:val="List"/>
    <w:rsid w:val="00ED4ACA"/>
    <w:pPr>
      <w:numPr>
        <w:numId w:val="9"/>
      </w:numPr>
    </w:pPr>
  </w:style>
  <w:style w:type="paragraph" w:customStyle="1" w:styleId="ListAlpha2">
    <w:name w:val="List Alpha 2"/>
    <w:basedOn w:val="List2"/>
    <w:rsid w:val="00ED4ACA"/>
    <w:pPr>
      <w:numPr>
        <w:numId w:val="8"/>
      </w:numPr>
    </w:pPr>
  </w:style>
  <w:style w:type="paragraph" w:styleId="List2">
    <w:name w:val="List 2"/>
    <w:basedOn w:val="BodyText"/>
    <w:rsid w:val="00ED4ACA"/>
    <w:pPr>
      <w:tabs>
        <w:tab w:val="left" w:pos="680"/>
      </w:tabs>
      <w:spacing w:before="60" w:after="60"/>
      <w:ind w:left="680" w:hanging="340"/>
    </w:pPr>
  </w:style>
  <w:style w:type="paragraph" w:styleId="List3">
    <w:name w:val="List 3"/>
    <w:basedOn w:val="BodyText"/>
    <w:rsid w:val="00ED4ACA"/>
    <w:pPr>
      <w:tabs>
        <w:tab w:val="left" w:pos="1021"/>
      </w:tabs>
      <w:spacing w:before="60" w:after="60"/>
      <w:ind w:left="1020" w:hanging="340"/>
    </w:pPr>
  </w:style>
  <w:style w:type="paragraph" w:styleId="List4">
    <w:name w:val="List 4"/>
    <w:basedOn w:val="BodyText"/>
    <w:rsid w:val="00ED4ACA"/>
    <w:pPr>
      <w:tabs>
        <w:tab w:val="left" w:pos="1361"/>
      </w:tabs>
      <w:spacing w:before="60" w:after="60"/>
      <w:ind w:left="1361" w:hanging="340"/>
    </w:pPr>
  </w:style>
  <w:style w:type="paragraph" w:styleId="List5">
    <w:name w:val="List 5"/>
    <w:basedOn w:val="BodyText"/>
    <w:rsid w:val="00ED4ACA"/>
    <w:pPr>
      <w:tabs>
        <w:tab w:val="left" w:pos="1701"/>
      </w:tabs>
      <w:spacing w:before="60" w:after="60"/>
      <w:ind w:left="1701" w:hanging="340"/>
    </w:pPr>
  </w:style>
  <w:style w:type="paragraph" w:styleId="ListBullet3">
    <w:name w:val="List Bullet 3"/>
    <w:basedOn w:val="List3"/>
    <w:rsid w:val="00ED4ACA"/>
    <w:pPr>
      <w:numPr>
        <w:numId w:val="14"/>
      </w:numPr>
      <w:tabs>
        <w:tab w:val="clear" w:pos="1021"/>
      </w:tabs>
      <w:ind w:left="1037" w:hanging="357"/>
    </w:pPr>
  </w:style>
  <w:style w:type="paragraph" w:styleId="ListBullet4">
    <w:name w:val="List Bullet 4"/>
    <w:basedOn w:val="List4"/>
    <w:rsid w:val="00ED4ACA"/>
    <w:pPr>
      <w:numPr>
        <w:numId w:val="3"/>
      </w:numPr>
      <w:tabs>
        <w:tab w:val="clear" w:pos="1361"/>
      </w:tabs>
    </w:pPr>
  </w:style>
  <w:style w:type="paragraph" w:styleId="ListBullet5">
    <w:name w:val="List Bullet 5"/>
    <w:basedOn w:val="List5"/>
    <w:rsid w:val="00ED4ACA"/>
    <w:pPr>
      <w:numPr>
        <w:numId w:val="4"/>
      </w:numPr>
    </w:pPr>
  </w:style>
  <w:style w:type="paragraph" w:styleId="ListContinue2">
    <w:name w:val="List Continue 2"/>
    <w:basedOn w:val="List2"/>
    <w:rsid w:val="00ED4ACA"/>
    <w:pPr>
      <w:ind w:firstLine="0"/>
    </w:pPr>
  </w:style>
  <w:style w:type="paragraph" w:styleId="ListContinue3">
    <w:name w:val="List Continue 3"/>
    <w:basedOn w:val="List3"/>
    <w:rsid w:val="00ED4ACA"/>
    <w:pPr>
      <w:ind w:left="1021" w:firstLine="0"/>
    </w:pPr>
  </w:style>
  <w:style w:type="paragraph" w:styleId="ListContinue4">
    <w:name w:val="List Continue 4"/>
    <w:basedOn w:val="List4"/>
    <w:rsid w:val="00ED4ACA"/>
    <w:pPr>
      <w:ind w:firstLine="0"/>
    </w:pPr>
  </w:style>
  <w:style w:type="paragraph" w:styleId="ListContinue5">
    <w:name w:val="List Continue 5"/>
    <w:basedOn w:val="List5"/>
    <w:rsid w:val="00ED4ACA"/>
    <w:pPr>
      <w:ind w:firstLine="0"/>
    </w:pPr>
  </w:style>
  <w:style w:type="paragraph" w:styleId="ListNumber3">
    <w:name w:val="List Number 3"/>
    <w:basedOn w:val="List3"/>
    <w:rsid w:val="00ED4ACA"/>
    <w:pPr>
      <w:numPr>
        <w:numId w:val="5"/>
      </w:numPr>
    </w:pPr>
  </w:style>
  <w:style w:type="paragraph" w:styleId="ListNumber4">
    <w:name w:val="List Number 4"/>
    <w:basedOn w:val="List4"/>
    <w:rsid w:val="00ED4ACA"/>
    <w:pPr>
      <w:numPr>
        <w:numId w:val="6"/>
      </w:numPr>
    </w:pPr>
  </w:style>
  <w:style w:type="paragraph" w:styleId="ListNumber5">
    <w:name w:val="List Number 5"/>
    <w:basedOn w:val="List5"/>
    <w:rsid w:val="00ED4ACA"/>
    <w:pPr>
      <w:numPr>
        <w:numId w:val="7"/>
      </w:numPr>
    </w:pPr>
  </w:style>
  <w:style w:type="paragraph" w:styleId="BlockText">
    <w:name w:val="Block Text"/>
    <w:basedOn w:val="Normal"/>
    <w:rsid w:val="00ED4ACA"/>
    <w:pPr>
      <w:spacing w:after="120"/>
      <w:ind w:left="1440" w:right="1440"/>
    </w:pPr>
  </w:style>
  <w:style w:type="character" w:customStyle="1" w:styleId="Subscript">
    <w:name w:val="Subscript"/>
    <w:basedOn w:val="DefaultParagraphFont"/>
    <w:rsid w:val="00ED4ACA"/>
    <w:rPr>
      <w:sz w:val="16"/>
      <w:vertAlign w:val="subscript"/>
    </w:rPr>
  </w:style>
  <w:style w:type="character" w:customStyle="1" w:styleId="Superscript">
    <w:name w:val="Superscript"/>
    <w:basedOn w:val="DefaultParagraphFont"/>
    <w:rsid w:val="00ED4ACA"/>
    <w:rPr>
      <w:sz w:val="16"/>
      <w:vertAlign w:val="superscript"/>
    </w:rPr>
  </w:style>
  <w:style w:type="character" w:customStyle="1" w:styleId="Symbols">
    <w:name w:val="Symbols"/>
    <w:basedOn w:val="DefaultParagraphFont"/>
    <w:rsid w:val="00ED4ACA"/>
    <w:rPr>
      <w:rFonts w:ascii="Symbol" w:hAnsi="Symbol"/>
    </w:rPr>
  </w:style>
  <w:style w:type="character" w:customStyle="1" w:styleId="MenuOptions">
    <w:name w:val="Menu Options"/>
    <w:basedOn w:val="DefaultParagraphFont"/>
    <w:rsid w:val="00ED4ACA"/>
    <w:rPr>
      <w:rFonts w:ascii="Arial Narrow" w:hAnsi="Arial Narrow"/>
      <w:smallCaps/>
    </w:rPr>
  </w:style>
  <w:style w:type="character" w:customStyle="1" w:styleId="Buttons">
    <w:name w:val="Buttons"/>
    <w:basedOn w:val="DefaultParagraphFont"/>
    <w:rsid w:val="00ED4ACA"/>
    <w:rPr>
      <w:b/>
    </w:rPr>
  </w:style>
  <w:style w:type="character" w:customStyle="1" w:styleId="Underlined">
    <w:name w:val="Underlined"/>
    <w:basedOn w:val="DefaultParagraphFont"/>
    <w:rsid w:val="00ED4ACA"/>
    <w:rPr>
      <w:u w:val="single"/>
    </w:rPr>
  </w:style>
  <w:style w:type="paragraph" w:customStyle="1" w:styleId="TableBodyTextRight">
    <w:name w:val="Table Body Text Right"/>
    <w:basedOn w:val="TableBodyText"/>
    <w:rsid w:val="00ED4ACA"/>
    <w:pPr>
      <w:widowControl w:val="0"/>
      <w:autoSpaceDE w:val="0"/>
      <w:autoSpaceDN w:val="0"/>
      <w:adjustRightInd w:val="0"/>
      <w:jc w:val="right"/>
    </w:pPr>
    <w:rPr>
      <w:rFonts w:cs="Arial"/>
      <w:szCs w:val="18"/>
    </w:rPr>
  </w:style>
  <w:style w:type="paragraph" w:customStyle="1" w:styleId="CopyrightText">
    <w:name w:val="Copyright Text"/>
    <w:basedOn w:val="BodyText"/>
    <w:rsid w:val="00ED4ACA"/>
    <w:rPr>
      <w:sz w:val="18"/>
    </w:rPr>
  </w:style>
  <w:style w:type="paragraph" w:customStyle="1" w:styleId="BodySmallRight">
    <w:name w:val="Body Small Right"/>
    <w:basedOn w:val="BodyTextRight"/>
    <w:rsid w:val="00ED4ACA"/>
    <w:rPr>
      <w:sz w:val="18"/>
      <w:szCs w:val="18"/>
    </w:rPr>
  </w:style>
  <w:style w:type="paragraph" w:customStyle="1" w:styleId="MarginEdition">
    <w:name w:val="Margin Edition"/>
    <w:basedOn w:val="MarginNote"/>
    <w:rsid w:val="00ED4ACA"/>
    <w:pPr>
      <w:spacing w:before="0" w:after="0"/>
    </w:pPr>
    <w:rPr>
      <w:rFonts w:ascii="Times New Roman" w:hAnsi="Times New Roman"/>
      <w:color w:val="999999"/>
    </w:rPr>
  </w:style>
  <w:style w:type="paragraph" w:customStyle="1" w:styleId="Spacer">
    <w:name w:val="Spacer"/>
    <w:basedOn w:val="Normal"/>
    <w:rsid w:val="00ED4ACA"/>
    <w:rPr>
      <w:sz w:val="2"/>
      <w:szCs w:val="2"/>
    </w:rPr>
  </w:style>
  <w:style w:type="character" w:customStyle="1" w:styleId="Small">
    <w:name w:val="Small"/>
    <w:basedOn w:val="DefaultParagraphFont"/>
    <w:rsid w:val="00ED4ACA"/>
    <w:rPr>
      <w:sz w:val="16"/>
    </w:rPr>
  </w:style>
  <w:style w:type="paragraph" w:customStyle="1" w:styleId="WideTable">
    <w:name w:val="Wide Table"/>
    <w:basedOn w:val="Normal"/>
    <w:rsid w:val="00ED4ACA"/>
    <w:pPr>
      <w:ind w:left="-1418"/>
    </w:pPr>
    <w:rPr>
      <w:sz w:val="2"/>
      <w:szCs w:val="2"/>
    </w:rPr>
  </w:style>
  <w:style w:type="character" w:styleId="PageNumber">
    <w:name w:val="page number"/>
    <w:basedOn w:val="DefaultParagraphFont"/>
    <w:rsid w:val="00ED4ACA"/>
  </w:style>
  <w:style w:type="paragraph" w:styleId="Quote">
    <w:name w:val="Quote"/>
    <w:basedOn w:val="Heading1"/>
    <w:link w:val="QuoteChar"/>
    <w:qFormat/>
    <w:rsid w:val="00ED4ACA"/>
    <w:rPr>
      <w:b w:val="0"/>
      <w:sz w:val="72"/>
      <w:szCs w:val="72"/>
      <w:lang w:val="en-NZ"/>
    </w:rPr>
  </w:style>
  <w:style w:type="character" w:customStyle="1" w:styleId="QuoteChar">
    <w:name w:val="Quote Char"/>
    <w:basedOn w:val="DefaultParagraphFont"/>
    <w:link w:val="Quote"/>
    <w:rsid w:val="00ED4A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4ACA"/>
    <w:pPr>
      <w:pageBreakBefore/>
    </w:pPr>
  </w:style>
  <w:style w:type="paragraph" w:customStyle="1" w:styleId="Border">
    <w:name w:val="Border"/>
    <w:basedOn w:val="Normal"/>
    <w:qFormat/>
    <w:rsid w:val="00ED4A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4ACA"/>
    <w:rPr>
      <w:b/>
      <w:bCs/>
      <w:i/>
      <w:iCs/>
      <w:color w:val="auto"/>
    </w:rPr>
  </w:style>
  <w:style w:type="paragraph" w:styleId="IntenseQuote">
    <w:name w:val="Intense Quote"/>
    <w:basedOn w:val="Normal"/>
    <w:next w:val="Normal"/>
    <w:link w:val="IntenseQuoteChar"/>
    <w:uiPriority w:val="30"/>
    <w:qFormat/>
    <w:rsid w:val="00ED4A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4A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4ACA"/>
    <w:rPr>
      <w:smallCaps/>
      <w:color w:val="auto"/>
      <w:u w:val="single"/>
    </w:rPr>
  </w:style>
  <w:style w:type="character" w:styleId="IntenseReference">
    <w:name w:val="Intense Reference"/>
    <w:basedOn w:val="DefaultParagraphFont"/>
    <w:uiPriority w:val="32"/>
    <w:qFormat/>
    <w:rsid w:val="00ED4ACA"/>
    <w:rPr>
      <w:b/>
      <w:bCs/>
      <w:smallCaps/>
      <w:color w:val="auto"/>
      <w:spacing w:val="5"/>
      <w:u w:val="single"/>
    </w:rPr>
  </w:style>
  <w:style w:type="paragraph" w:customStyle="1" w:styleId="2ColumnHeading">
    <w:name w:val="2Column Heading"/>
    <w:basedOn w:val="BodyText"/>
    <w:qFormat/>
    <w:rsid w:val="00ED4ACA"/>
    <w:pPr>
      <w:spacing w:after="60"/>
      <w:ind w:left="-2268"/>
    </w:pPr>
    <w:rPr>
      <w:b/>
    </w:rPr>
  </w:style>
  <w:style w:type="paragraph" w:customStyle="1" w:styleId="Heading1TOC">
    <w:name w:val="Heading1 TOC"/>
    <w:basedOn w:val="Normal"/>
    <w:qFormat/>
    <w:rsid w:val="00ED4ACA"/>
    <w:pPr>
      <w:spacing w:before="240" w:after="120"/>
    </w:pPr>
    <w:rPr>
      <w:rFonts w:ascii="Times New Roman" w:hAnsi="Times New Roman"/>
      <w:b/>
      <w:sz w:val="32"/>
    </w:rPr>
  </w:style>
  <w:style w:type="paragraph" w:customStyle="1" w:styleId="Heading2TOC">
    <w:name w:val="Heading2 TOC"/>
    <w:basedOn w:val="Normal"/>
    <w:qFormat/>
    <w:rsid w:val="00ED4ACA"/>
    <w:pPr>
      <w:spacing w:before="240" w:after="60"/>
    </w:pPr>
    <w:rPr>
      <w:rFonts w:ascii="Times New Roman" w:hAnsi="Times New Roman"/>
      <w:b/>
      <w:sz w:val="28"/>
    </w:rPr>
  </w:style>
  <w:style w:type="character" w:customStyle="1" w:styleId="Underline">
    <w:name w:val="Underline"/>
    <w:basedOn w:val="DefaultParagraphFont"/>
    <w:qFormat/>
    <w:rsid w:val="00ED4ACA"/>
    <w:rPr>
      <w:u w:val="single"/>
    </w:rPr>
  </w:style>
  <w:style w:type="character" w:customStyle="1" w:styleId="BoldandItalics">
    <w:name w:val="Bold and Italics"/>
    <w:qFormat/>
    <w:rsid w:val="00ED4ACA"/>
    <w:rPr>
      <w:b/>
      <w:i/>
      <w:u w:val="none"/>
    </w:rPr>
  </w:style>
  <w:style w:type="paragraph" w:styleId="BalloonText">
    <w:name w:val="Balloon Text"/>
    <w:basedOn w:val="Normal"/>
    <w:link w:val="BalloonTextChar"/>
    <w:rsid w:val="00ED4ACA"/>
    <w:rPr>
      <w:rFonts w:ascii="Tahoma" w:hAnsi="Tahoma" w:cs="Tahoma"/>
      <w:sz w:val="16"/>
      <w:szCs w:val="16"/>
    </w:rPr>
  </w:style>
  <w:style w:type="character" w:customStyle="1" w:styleId="BalloonTextChar">
    <w:name w:val="Balloon Text Char"/>
    <w:basedOn w:val="DefaultParagraphFont"/>
    <w:link w:val="BalloonText"/>
    <w:rsid w:val="00ED4A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4A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4A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4ACA"/>
    <w:rPr>
      <w:b/>
      <w:color w:val="660033"/>
      <w:spacing w:val="0"/>
    </w:rPr>
  </w:style>
  <w:style w:type="paragraph" w:customStyle="1" w:styleId="Nameditemlist">
    <w:name w:val="Named item list"/>
    <w:basedOn w:val="BodyText"/>
    <w:qFormat/>
    <w:rsid w:val="00ED4ACA"/>
    <w:pPr>
      <w:tabs>
        <w:tab w:val="left" w:pos="2835"/>
      </w:tabs>
      <w:ind w:left="2835" w:hanging="2835"/>
    </w:pPr>
  </w:style>
  <w:style w:type="paragraph" w:customStyle="1" w:styleId="BodyTextnopadding">
    <w:name w:val="Body Text no padding"/>
    <w:basedOn w:val="BodyText"/>
    <w:qFormat/>
    <w:rsid w:val="00ED4ACA"/>
    <w:pPr>
      <w:spacing w:before="0" w:after="0"/>
    </w:pPr>
  </w:style>
  <w:style w:type="paragraph" w:customStyle="1" w:styleId="BodyTextBold">
    <w:name w:val="Body Text Bold"/>
    <w:basedOn w:val="BodyText"/>
    <w:qFormat/>
    <w:rsid w:val="00ED4ACA"/>
    <w:rPr>
      <w:b/>
    </w:rPr>
  </w:style>
  <w:style w:type="character" w:styleId="Hyperlink">
    <w:name w:val="Hyperlink"/>
    <w:basedOn w:val="DefaultParagraphFont"/>
    <w:uiPriority w:val="99"/>
    <w:unhideWhenUsed/>
    <w:rsid w:val="001536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1884</Words>
  <Characters>11912</Characters>
  <Application>Microsoft Office Word</Application>
  <DocSecurity>0</DocSecurity>
  <Lines>410</Lines>
  <Paragraphs>270</Paragraphs>
  <ScaleCrop>false</ScaleCrop>
  <Company>Author-it Software Corporation Ltd.</Company>
  <LinksUpToDate>false</LinksUpToDate>
  <CharactersWithSpaces>13526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PMASUP305 Operate offshore cranes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2025-03-01T12:24:00Z</dcterms:created>
  <dcterms:modified xsi:type="dcterms:W3CDTF">2025-03-01T12:24:00Z</dcterms:modified>
</cp:coreProperties>
</file>