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BCF" w:rsidP="00E06BCF">
      <w:pPr>
        <w:pStyle w:val="Title"/>
      </w:pPr>
      <w:r>
        <w:fldChar w:fldCharType="begin"/>
      </w:r>
      <w:r>
        <w:instrText xml:space="preserve"> TITLE   \* MERGEFORMAT </w:instrText>
      </w:r>
      <w:r>
        <w:fldChar w:fldCharType="separate"/>
      </w:r>
      <w:r>
        <w:t>PMASUP244 Prepare and isolate plant</w:t>
      </w:r>
      <w:r>
        <w:fldChar w:fldCharType="end"/>
      </w:r>
    </w:p>
    <w:p w:rsidR="00E06BCF" w:rsidP="00E06BCF">
      <w:pPr>
        <w:pStyle w:val="Version"/>
        <w:sectPr w:rsidSect="006A6D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DC6" w:rsidP="006A6DC6">
      <w:pPr>
        <w:pStyle w:val="SuperHeading"/>
      </w:pPr>
      <w:r w:rsidRPr="006A6DC6">
        <w:t>PMASUP244 Prepare and isolate plant</w:t>
      </w:r>
    </w:p>
    <w:p w:rsidR="00000000" w:rsidRPr="006A6DC6" w:rsidP="006A6DC6">
      <w:pPr>
        <w:pStyle w:val="Heading1"/>
      </w:pPr>
      <w:bookmarkStart w:id="1" w:name="O_909608"/>
      <w:bookmarkEnd w:id="1"/>
      <w:r w:rsidRPr="006A6DC6">
        <w:t>Modification History</w:t>
      </w:r>
    </w:p>
    <w:p w:rsidR="00000000" w:rsidRPr="006A6DC6" w:rsidP="00E06BCF">
      <w:pPr>
        <w:pStyle w:val="BodyText"/>
      </w:pPr>
      <w:r w:rsidRPr="006A6DC6">
        <w:t>Release 1. Supersedes and is equivalent to PMASUP244A Prepare and isolate plant</w:t>
      </w:r>
    </w:p>
    <w:p w:rsidR="00000000" w:rsidRPr="006A6DC6" w:rsidP="006A6DC6">
      <w:pPr>
        <w:pStyle w:val="Heading1"/>
      </w:pPr>
      <w:bookmarkStart w:id="2" w:name="O_909616"/>
      <w:bookmarkEnd w:id="2"/>
      <w:r w:rsidRPr="006A6DC6">
        <w:t>Application</w:t>
      </w:r>
    </w:p>
    <w:p w:rsidR="00000000" w:rsidRPr="006A6DC6" w:rsidP="00E06BCF">
      <w:pPr>
        <w:pStyle w:val="BodyText"/>
      </w:pPr>
      <w:r w:rsidRPr="006A6DC6">
        <w:t xml:space="preserve">This unit of competency covers the skills and knowledge required to isolate and prepare plant for maintenance work and return </w:t>
      </w:r>
      <w:r w:rsidRPr="006A6DC6">
        <w:t>to service.</w:t>
      </w:r>
    </w:p>
    <w:p w:rsidR="00000000" w:rsidRPr="006A6DC6" w:rsidP="00E06BCF">
      <w:pPr>
        <w:pStyle w:val="BodyText"/>
      </w:pPr>
      <w:r w:rsidRPr="006A6DC6">
        <w:t>This unit of competency applies to operators, maintainers, maintenance personnel, and those in similar roles who are required to execute the authorised isolation and preparation plan, hand over plant for work and accept handover after work, ex</w:t>
      </w:r>
      <w:r w:rsidRPr="006A6DC6">
        <w:t xml:space="preserve">ecute authorised return to service plan and complete required paperwork. </w:t>
      </w:r>
    </w:p>
    <w:p w:rsidR="00000000" w:rsidRPr="006A6DC6" w:rsidP="00E06BCF">
      <w:pPr>
        <w:pStyle w:val="BodyText"/>
      </w:pPr>
      <w:r w:rsidRPr="006A6DC6">
        <w:t xml:space="preserve">The person will have detailed operational and process knowledge but is not required to demonstrate </w:t>
      </w:r>
      <w:r>
        <w:t>‘</w:t>
      </w:r>
      <w:r w:rsidRPr="006A6DC6">
        <w:t>hands on</w:t>
      </w:r>
      <w:r>
        <w:t>’</w:t>
      </w:r>
      <w:r w:rsidRPr="006A6DC6">
        <w:t xml:space="preserve"> operation of equipment as part of this competency.</w:t>
      </w:r>
    </w:p>
    <w:p w:rsidR="00000000" w:rsidRPr="006A6DC6" w:rsidP="00E06BCF">
      <w:pPr>
        <w:pStyle w:val="BodyText"/>
      </w:pPr>
      <w:r w:rsidRPr="006A6DC6">
        <w:t>This unit of compet</w:t>
      </w:r>
      <w:r w:rsidRPr="006A6DC6">
        <w:t>ency applies to an individual working alone or as part of a team or group and working in liaison with other shift team members, the control room operator, relevant experts and stakeholders as appropriate. They would be part of a team during start-up and sh</w:t>
      </w:r>
      <w:r w:rsidRPr="006A6DC6">
        <w:t>utdown procedures.</w:t>
      </w:r>
    </w:p>
    <w:p w:rsidR="00000000" w:rsidRPr="006A6DC6" w:rsidP="00E06BCF">
      <w:pPr>
        <w:pStyle w:val="BodyText"/>
      </w:pPr>
      <w:r w:rsidRPr="006A6DC6">
        <w:t>This unit of competency applies to preparation and isolation of hazardous plant, such as a major hazard facility. However, it can also be applied with appropriate contextualisation to the preparation and isolation of lower hazard plants</w:t>
      </w:r>
      <w:r w:rsidRPr="006A6DC6">
        <w:t xml:space="preserve"> and mobile plant.</w:t>
      </w:r>
    </w:p>
    <w:p w:rsidR="00000000" w:rsidRPr="006A6DC6" w:rsidP="00E06BCF">
      <w:pPr>
        <w:pStyle w:val="BodyText"/>
      </w:pPr>
      <w:r w:rsidRPr="006A6DC6">
        <w:t>No licensing, legislative or certification requirements apply to this unit at the time of publication.</w:t>
      </w:r>
    </w:p>
    <w:p w:rsidR="00000000" w:rsidRPr="006A6DC6" w:rsidP="006A6DC6">
      <w:pPr>
        <w:pStyle w:val="Heading1"/>
      </w:pPr>
      <w:bookmarkStart w:id="3" w:name="O_909615"/>
      <w:bookmarkEnd w:id="3"/>
      <w:r w:rsidRPr="006A6DC6">
        <w:t>Pre-requisite Unit</w:t>
      </w:r>
    </w:p>
    <w:p w:rsidR="00000000" w:rsidRPr="006A6DC6" w:rsidP="00E06BCF">
      <w:pPr>
        <w:pStyle w:val="BodyText"/>
      </w:pPr>
      <w:r w:rsidRPr="006A6DC6">
        <w:t>Nil</w:t>
      </w:r>
    </w:p>
    <w:p w:rsidR="00000000" w:rsidRPr="006A6DC6" w:rsidP="006A6DC6">
      <w:pPr>
        <w:pStyle w:val="Heading1"/>
      </w:pPr>
      <w:bookmarkStart w:id="4" w:name="O_909614"/>
      <w:bookmarkEnd w:id="4"/>
      <w:r w:rsidRPr="006A6DC6">
        <w:t>Competency Field</w:t>
      </w:r>
    </w:p>
    <w:p w:rsidR="00000000" w:rsidRPr="006A6DC6" w:rsidP="00E06BCF">
      <w:pPr>
        <w:pStyle w:val="BodyText"/>
      </w:pPr>
      <w:r w:rsidRPr="006A6DC6">
        <w:t>Support</w:t>
      </w:r>
    </w:p>
    <w:p w:rsidR="00000000" w:rsidRPr="006A6DC6" w:rsidP="006A6DC6">
      <w:pPr>
        <w:pStyle w:val="Heading1"/>
      </w:pPr>
      <w:bookmarkStart w:id="5" w:name="O_909613"/>
      <w:bookmarkEnd w:id="5"/>
      <w:r w:rsidRPr="006A6DC6">
        <w:t>Unit Sector</w:t>
      </w:r>
    </w:p>
    <w:p w:rsidR="00000000" w:rsidRPr="006A6DC6" w:rsidP="006A6DC6">
      <w:pPr>
        <w:pStyle w:val="Heading1"/>
      </w:pPr>
      <w:bookmarkStart w:id="6" w:name="O_909612"/>
      <w:bookmarkEnd w:id="6"/>
      <w:r w:rsidRPr="006A6DC6">
        <w:t>Elemen</w:t>
      </w:r>
      <w:r w:rsidRPr="006A6DC6">
        <w:t>ts and Performance Criteria</w:t>
      </w:r>
    </w:p>
    <w:tbl>
      <w:tblPr>
        <w:tblW w:w="0" w:type="auto"/>
        <w:tblLayout w:type="fixed"/>
        <w:tblCellMar>
          <w:left w:w="62" w:type="dxa"/>
          <w:right w:w="62" w:type="dxa"/>
        </w:tblCellMar>
        <w:tblLook w:val="0000"/>
      </w:tblPr>
      <w:tblGrid>
        <w:gridCol w:w="678"/>
        <w:gridCol w:w="1962"/>
        <w:gridCol w:w="770"/>
        <w:gridCol w:w="5610"/>
      </w:tblGrid>
      <w:tr w:rsidTr="006A6DC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Performance criteria describe the performance needed to demonstrate achievement of the element.</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1</w:t>
            </w:r>
          </w:p>
        </w:tc>
        <w:tc>
          <w:tcPr>
            <w:tcW w:w="1962" w:type="dxa"/>
            <w:vMerge w:val="restart"/>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rPr>
                <w:rStyle w:val="SpecialBold"/>
              </w:rPr>
              <w:t>Perform the isolations</w:t>
            </w: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1.1</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Communicate with panel operator and other stakeholders</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1.2</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Execute authorised isolation plan</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1.3</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Remove materials and energy, as required</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1.4</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Control any releases to the environment in accordance with plant procedures</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1.5</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Prove the effectiveness of the isolation</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1.6</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Decontaminate plant and equipment, as required</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1.7</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Recognise and take action on any inconsistencies</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1.8</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Test for residual hazards</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1.9</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Complete required paperwork</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1.10</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Sign-off isolations, as required</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1.11</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Hand over to/from shift, as required</w:t>
            </w:r>
          </w:p>
        </w:tc>
      </w:tr>
      <w:tr w:rsidTr="006A6D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6DC6">
            <w:pPr>
              <w:pStyle w:val="BodyText"/>
              <w:rPr>
                <w:lang w:val="en-NZ"/>
              </w:rPr>
            </w:pP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2</w:t>
            </w:r>
          </w:p>
        </w:tc>
        <w:tc>
          <w:tcPr>
            <w:tcW w:w="1962" w:type="dxa"/>
            <w:vMerge w:val="restart"/>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rPr>
                <w:rStyle w:val="SpecialBold"/>
              </w:rPr>
              <w:t>Prepare plant for the work</w:t>
            </w: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2.1</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Execute authorised preparation plan</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2.2</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Recognise and take action on any inconsistencies</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2.3</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Confirm plant is ready for the work</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2.4</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Hand over plant to the work party</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2.5</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Monitor work and plant, as required</w:t>
            </w:r>
          </w:p>
        </w:tc>
      </w:tr>
      <w:tr w:rsidTr="006A6D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A6DC6">
            <w:pPr>
              <w:pStyle w:val="BodyText"/>
              <w:rPr>
                <w:lang w:val="en-NZ"/>
              </w:rPr>
            </w:pP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3</w:t>
            </w:r>
          </w:p>
        </w:tc>
        <w:tc>
          <w:tcPr>
            <w:tcW w:w="1962" w:type="dxa"/>
            <w:vMerge w:val="restart"/>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rPr>
                <w:rStyle w:val="SpecialBold"/>
              </w:rPr>
              <w:t>Prepare plant for return to service</w:t>
            </w: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3.1</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Confirm work is complete and site/plant has been left in acceptable condition</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3.2</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Accept handover from work party</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3.3</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Obtain authority to de-isolate</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3.4</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Execute authorised de-isolation plan</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3.5</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Sign off the de-isolation, as required</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3.6</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Reverse purge as required by plan for return to service</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3.7</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Execute authorised plan for return to service</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3.8</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Test readiness for return to service</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3.9</w:t>
            </w:r>
          </w:p>
        </w:tc>
        <w:tc>
          <w:tcPr>
            <w:tcW w:w="561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Advise plant is ready for service</w:t>
            </w:r>
          </w:p>
        </w:tc>
      </w:tr>
      <w:tr w:rsidTr="006A6D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3.10</w:t>
            </w:r>
          </w:p>
        </w:tc>
        <w:tc>
          <w:tcPr>
            <w:tcW w:w="5610" w:type="dxa"/>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Complete required paperwork</w:t>
            </w:r>
          </w:p>
        </w:tc>
      </w:tr>
    </w:tbl>
    <w:p w:rsidR="00000000" w:rsidRPr="006A6DC6" w:rsidP="006A6DC6">
      <w:pPr>
        <w:pStyle w:val="BodyText"/>
      </w:pPr>
    </w:p>
    <w:p w:rsidR="00000000" w:rsidRPr="006A6DC6" w:rsidP="006A6DC6">
      <w:pPr>
        <w:pStyle w:val="AllowPageBreak"/>
      </w:pPr>
    </w:p>
    <w:p w:rsidR="00000000" w:rsidRPr="006A6DC6" w:rsidP="006A6DC6">
      <w:pPr>
        <w:pStyle w:val="Heading1"/>
      </w:pPr>
      <w:bookmarkStart w:id="7" w:name="O_909611"/>
      <w:bookmarkEnd w:id="7"/>
      <w:r w:rsidRPr="006A6DC6">
        <w:t>Foundation Skills</w:t>
      </w:r>
    </w:p>
    <w:p w:rsidR="00000000" w:rsidRPr="006A6DC6" w:rsidP="00E06BCF">
      <w:pPr>
        <w:pStyle w:val="BodyText"/>
      </w:pPr>
      <w:r w:rsidRPr="006A6DC6">
        <w:t>This section describes those language, literacy, numeracy and employment skills that are essential to performance.</w:t>
      </w:r>
    </w:p>
    <w:p w:rsidR="00000000" w:rsidRPr="006A6DC6" w:rsidP="00E06BCF">
      <w:pPr>
        <w:pStyle w:val="BodyText"/>
      </w:pPr>
      <w:r w:rsidRPr="006A6DC6">
        <w:t>Foundation skills essential to pe</w:t>
      </w:r>
      <w:r w:rsidRPr="006A6DC6">
        <w:t>rformance are explicit in the performance criteria of this unit of competency.</w:t>
      </w:r>
    </w:p>
    <w:p w:rsidR="00000000" w:rsidRPr="006A6DC6" w:rsidP="006A6DC6">
      <w:pPr>
        <w:pStyle w:val="Heading1"/>
      </w:pPr>
      <w:bookmarkStart w:id="8" w:name="O_909610"/>
      <w:bookmarkEnd w:id="8"/>
      <w:r w:rsidRPr="006A6DC6">
        <w:t>Range of Conditions</w:t>
      </w:r>
    </w:p>
    <w:tbl>
      <w:tblPr>
        <w:tblW w:w="0" w:type="auto"/>
        <w:tblCellMar>
          <w:left w:w="62" w:type="dxa"/>
          <w:right w:w="62" w:type="dxa"/>
        </w:tblCellMar>
        <w:tblLook w:val="0000"/>
      </w:tblPr>
      <w:tblGrid>
        <w:gridCol w:w="2163"/>
        <w:gridCol w:w="7033"/>
      </w:tblGrid>
      <w:tr w:rsidTr="00E06B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t>This field allows for different work environments and conditions that may affect performance. Essential operating conditions that may be pre</w:t>
            </w:r>
            <w:r w:rsidRPr="006A6DC6">
              <w:t>sent (depending on the work situation, needs of the candidate, accessibility of the item, and local industry and regional contexts) are included.</w:t>
            </w:r>
          </w:p>
        </w:tc>
      </w:tr>
      <w:tr w:rsidTr="00E06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The latest version of all legislation, regulations, industry codes of practice and Australian/international standards, or the version specified by the local regulatory authority, must be used, and include one or more of the following:</w:t>
            </w:r>
          </w:p>
          <w:p w:rsidR="00000000" w:rsidRPr="006A6DC6" w:rsidP="006A6DC6">
            <w:pPr>
              <w:pStyle w:val="ListBullet"/>
            </w:pPr>
            <w:r w:rsidRPr="006A6DC6">
              <w:t>legislative requirem</w:t>
            </w:r>
            <w:r w:rsidRPr="006A6DC6">
              <w:t>ents, including work health and safety (WHS)</w:t>
            </w:r>
          </w:p>
          <w:p w:rsidR="00000000" w:rsidRPr="006A6DC6" w:rsidP="006A6DC6">
            <w:pPr>
              <w:pStyle w:val="ListBullet"/>
            </w:pPr>
            <w:r w:rsidRPr="006A6DC6">
              <w:t>industry codes of practice and guidelines</w:t>
            </w:r>
          </w:p>
          <w:p w:rsidR="00000000" w:rsidRPr="006A6DC6" w:rsidP="006A6DC6">
            <w:pPr>
              <w:pStyle w:val="ListBullet"/>
            </w:pPr>
            <w:r w:rsidRPr="006A6DC6">
              <w:t xml:space="preserve">environmental regulations and guidelines </w:t>
            </w:r>
          </w:p>
          <w:p w:rsidR="00000000" w:rsidRPr="006A6DC6" w:rsidP="006A6DC6">
            <w:pPr>
              <w:pStyle w:val="ListBullet"/>
            </w:pPr>
            <w:r w:rsidRPr="006A6DC6">
              <w:t>Australian and other standards</w:t>
            </w:r>
          </w:p>
          <w:p w:rsidR="00000000" w:rsidRPr="006A6DC6" w:rsidP="006A6DC6">
            <w:pPr>
              <w:pStyle w:val="ListBullet"/>
            </w:pPr>
            <w:r w:rsidRPr="006A6DC6">
              <w:t xml:space="preserve">licence and certification requirements </w:t>
            </w:r>
          </w:p>
          <w:p w:rsidR="00000000" w:rsidRPr="006A6DC6" w:rsidP="006A6DC6">
            <w:pPr>
              <w:pStyle w:val="BodyText"/>
            </w:pPr>
          </w:p>
          <w:p w:rsidR="00000000" w:rsidRPr="006A6DC6" w:rsidP="006A6DC6">
            <w:pPr>
              <w:pStyle w:val="BodyText"/>
            </w:pPr>
            <w:r w:rsidRPr="006A6DC6">
              <w:t>All operations to which this unit applies are subject t</w:t>
            </w:r>
            <w:r w:rsidRPr="006A6DC6">
              <w:t>o stringent health, safety and environment (HSE) requirements, which may be imposed through state/territory or federal legislation, and these must not be compromised at any time. Where there is an apparent conflict between performance criteria and HSE requ</w:t>
            </w:r>
            <w:r w:rsidRPr="006A6DC6">
              <w:t>irements, the HSE requirements take precedence.</w:t>
            </w:r>
          </w:p>
          <w:p w:rsidR="00000000" w:rsidP="006A6DC6">
            <w:pPr>
              <w:pStyle w:val="BodyText"/>
              <w:rPr>
                <w:lang w:val="en-NZ"/>
              </w:rPr>
            </w:pPr>
          </w:p>
        </w:tc>
      </w:tr>
      <w:tr w:rsidTr="00E06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All operations must be performed in accordance with relevant procedures.</w:t>
            </w:r>
          </w:p>
          <w:p w:rsidR="00000000" w:rsidRPr="006A6DC6" w:rsidP="006A6DC6">
            <w:pPr>
              <w:pStyle w:val="BodyText"/>
            </w:pPr>
          </w:p>
          <w:p w:rsidR="00000000" w:rsidRPr="006A6DC6" w:rsidP="006A6DC6">
            <w:pPr>
              <w:pStyle w:val="BodyText"/>
            </w:pPr>
            <w:r w:rsidRPr="006A6DC6">
              <w:t>Procedures are written, verbal, visual, computer-based or in some other form, include one or more of the following:</w:t>
            </w:r>
          </w:p>
          <w:p w:rsidR="00000000" w:rsidRPr="006A6DC6" w:rsidP="006A6DC6">
            <w:pPr>
              <w:pStyle w:val="ListBullet"/>
            </w:pPr>
            <w:r w:rsidRPr="006A6DC6">
              <w:t>emergency procedures</w:t>
            </w:r>
          </w:p>
          <w:p w:rsidR="00000000" w:rsidRPr="006A6DC6" w:rsidP="006A6DC6">
            <w:pPr>
              <w:pStyle w:val="ListBullet"/>
            </w:pPr>
            <w:r w:rsidRPr="006A6DC6">
              <w:t>work instructions</w:t>
            </w:r>
          </w:p>
          <w:p w:rsidR="00000000" w:rsidRPr="006A6DC6" w:rsidP="006A6DC6">
            <w:pPr>
              <w:pStyle w:val="ListBullet"/>
            </w:pPr>
            <w:r w:rsidRPr="006A6DC6">
              <w:t>standard operating procedures (SOPs)</w:t>
            </w:r>
          </w:p>
          <w:p w:rsidR="00000000" w:rsidRPr="006A6DC6" w:rsidP="006A6DC6">
            <w:pPr>
              <w:pStyle w:val="ListBullet"/>
            </w:pPr>
            <w:r w:rsidRPr="006A6DC6">
              <w:t>safe work method statements (SWMS)</w:t>
            </w:r>
          </w:p>
          <w:p w:rsidR="00000000" w:rsidRPr="006A6DC6" w:rsidP="006A6DC6">
            <w:pPr>
              <w:pStyle w:val="ListBullet"/>
            </w:pPr>
            <w:r w:rsidRPr="006A6DC6">
              <w:t>formulas/recipes</w:t>
            </w:r>
          </w:p>
          <w:p w:rsidR="00000000" w:rsidRPr="006A6DC6" w:rsidP="006A6DC6">
            <w:pPr>
              <w:pStyle w:val="ListBullet"/>
            </w:pPr>
            <w:r w:rsidRPr="006A6DC6">
              <w:t>batch sheets</w:t>
            </w:r>
          </w:p>
          <w:p w:rsidR="00000000" w:rsidRPr="006A6DC6" w:rsidP="006A6DC6">
            <w:pPr>
              <w:pStyle w:val="ListBullet"/>
            </w:pPr>
            <w:r w:rsidRPr="006A6DC6">
              <w:t>temporary instructions</w:t>
            </w:r>
          </w:p>
          <w:p w:rsidR="00000000" w:rsidRPr="006A6DC6" w:rsidP="006A6DC6">
            <w:pPr>
              <w:pStyle w:val="ListBullet"/>
            </w:pPr>
            <w:r w:rsidRPr="006A6DC6">
              <w:t>any similar instructions provided for the smooth running of the plant</w:t>
            </w:r>
          </w:p>
          <w:p w:rsidR="00000000" w:rsidP="006A6DC6">
            <w:pPr>
              <w:pStyle w:val="BodyText"/>
              <w:rPr>
                <w:lang w:val="en-NZ"/>
              </w:rPr>
            </w:pPr>
          </w:p>
        </w:tc>
      </w:tr>
      <w:tr w:rsidTr="00E06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Hazards incl</w:t>
            </w:r>
            <w:r w:rsidRPr="006A6DC6">
              <w:t>ude one or more of the following:</w:t>
            </w:r>
          </w:p>
          <w:p w:rsidR="00000000" w:rsidRPr="006A6DC6" w:rsidP="006A6DC6">
            <w:pPr>
              <w:pStyle w:val="ListBullet"/>
            </w:pPr>
            <w:r w:rsidRPr="006A6DC6">
              <w:t>electricity</w:t>
            </w:r>
          </w:p>
          <w:p w:rsidR="00000000" w:rsidRPr="006A6DC6" w:rsidP="006A6DC6">
            <w:pPr>
              <w:pStyle w:val="ListBullet"/>
            </w:pPr>
            <w:r w:rsidRPr="006A6DC6">
              <w:t xml:space="preserve">gases and liquids under pressure </w:t>
            </w:r>
          </w:p>
          <w:p w:rsidR="00000000" w:rsidRPr="006A6DC6" w:rsidP="006A6DC6">
            <w:pPr>
              <w:pStyle w:val="ListBullet"/>
            </w:pPr>
            <w:r w:rsidRPr="006A6DC6">
              <w:t>structural hazards</w:t>
            </w:r>
          </w:p>
          <w:p w:rsidR="00000000" w:rsidRPr="006A6DC6" w:rsidP="006A6DC6">
            <w:pPr>
              <w:pStyle w:val="ListBullet"/>
            </w:pPr>
            <w:r w:rsidRPr="006A6DC6">
              <w:t>structural collapse</w:t>
            </w:r>
          </w:p>
          <w:p w:rsidR="00000000" w:rsidRPr="006A6DC6" w:rsidP="006A6DC6">
            <w:pPr>
              <w:pStyle w:val="ListBullet"/>
            </w:pPr>
            <w:r w:rsidRPr="006A6DC6">
              <w:t>equipment failures</w:t>
            </w:r>
          </w:p>
          <w:p w:rsidR="00000000" w:rsidRPr="006A6DC6" w:rsidP="006A6DC6">
            <w:pPr>
              <w:pStyle w:val="ListBullet"/>
            </w:pPr>
            <w:r w:rsidRPr="006A6DC6">
              <w:t>industrial (machinery, equipment and product)</w:t>
            </w:r>
          </w:p>
          <w:p w:rsidR="00000000" w:rsidRPr="006A6DC6" w:rsidP="006A6DC6">
            <w:pPr>
              <w:pStyle w:val="ListBullet"/>
            </w:pPr>
            <w:r w:rsidRPr="006A6DC6">
              <w:t>equipment or product mass</w:t>
            </w:r>
          </w:p>
          <w:p w:rsidR="00000000" w:rsidRPr="006A6DC6" w:rsidP="006A6DC6">
            <w:pPr>
              <w:pStyle w:val="ListBullet"/>
            </w:pPr>
            <w:r w:rsidRPr="006A6DC6">
              <w:t>noise, rotational equipment or vibration</w:t>
            </w:r>
          </w:p>
          <w:p w:rsidR="00000000" w:rsidRPr="006A6DC6" w:rsidP="006A6DC6">
            <w:pPr>
              <w:pStyle w:val="ListBullet"/>
            </w:pPr>
            <w:r w:rsidRPr="006A6DC6">
              <w:t>plant services (steam, condensate and cooling water)</w:t>
            </w:r>
          </w:p>
          <w:p w:rsidR="00000000" w:rsidRPr="006A6DC6" w:rsidP="006A6DC6">
            <w:pPr>
              <w:pStyle w:val="ListBullet"/>
            </w:pPr>
            <w:r w:rsidRPr="006A6DC6">
              <w:t xml:space="preserve">limited head spaces or overhangs </w:t>
            </w:r>
          </w:p>
          <w:p w:rsidR="00000000" w:rsidRPr="006A6DC6" w:rsidP="006A6DC6">
            <w:pPr>
              <w:pStyle w:val="ListBullet"/>
            </w:pPr>
            <w:r w:rsidRPr="006A6DC6">
              <w:t>working at heights, in restricted or confined spaces, or in environments subjected to heat, dusts or vapours</w:t>
            </w:r>
          </w:p>
          <w:p w:rsidR="00000000" w:rsidRPr="006A6DC6" w:rsidP="006A6DC6">
            <w:pPr>
              <w:pStyle w:val="ListBullet"/>
            </w:pPr>
            <w:r w:rsidRPr="006A6DC6">
              <w:t>flammability and explosivity</w:t>
            </w:r>
          </w:p>
          <w:p w:rsidR="00000000" w:rsidRPr="006A6DC6" w:rsidP="006A6DC6">
            <w:pPr>
              <w:pStyle w:val="ListBullet"/>
            </w:pPr>
            <w:r w:rsidRPr="006A6DC6">
              <w:t>hazardous products and material</w:t>
            </w:r>
            <w:r w:rsidRPr="006A6DC6">
              <w:t>s</w:t>
            </w:r>
          </w:p>
          <w:p w:rsidR="00000000" w:rsidRPr="006A6DC6" w:rsidP="006A6DC6">
            <w:pPr>
              <w:pStyle w:val="ListBullet"/>
            </w:pPr>
            <w:r w:rsidRPr="006A6DC6">
              <w:t>unauthorised personnel</w:t>
            </w:r>
          </w:p>
          <w:p w:rsidR="00000000" w:rsidRPr="006A6DC6" w:rsidP="006A6DC6">
            <w:pPr>
              <w:pStyle w:val="ListBullet"/>
            </w:pPr>
            <w:r w:rsidRPr="006A6DC6">
              <w:t>sharp edges, protrusions or obstructions</w:t>
            </w:r>
          </w:p>
          <w:p w:rsidR="00000000" w:rsidRPr="006A6DC6" w:rsidP="006A6DC6">
            <w:pPr>
              <w:pStyle w:val="ListBullet"/>
            </w:pPr>
            <w:r w:rsidRPr="006A6DC6">
              <w:t>slippery surfaces, spills or leaks</w:t>
            </w:r>
          </w:p>
          <w:p w:rsidR="00000000" w:rsidRPr="006A6DC6" w:rsidP="006A6DC6">
            <w:pPr>
              <w:pStyle w:val="ListBullet"/>
            </w:pPr>
            <w:r w:rsidRPr="006A6DC6">
              <w:t>extreme weather</w:t>
            </w:r>
          </w:p>
          <w:p w:rsidR="00000000" w:rsidRPr="006A6DC6" w:rsidP="006A6DC6">
            <w:pPr>
              <w:pStyle w:val="ListBullet"/>
            </w:pPr>
            <w:r w:rsidRPr="006A6DC6">
              <w:t>other hazards that might arise</w:t>
            </w:r>
          </w:p>
          <w:p w:rsidR="00000000" w:rsidP="006A6DC6">
            <w:pPr>
              <w:pStyle w:val="BodyText"/>
              <w:rPr>
                <w:lang w:val="en-NZ"/>
              </w:rPr>
            </w:pPr>
          </w:p>
        </w:tc>
      </w:tr>
      <w:tr w:rsidTr="00E06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rPr>
                <w:rStyle w:val="SpecialBold"/>
              </w:rPr>
              <w:t>Isolation</w:t>
            </w:r>
          </w:p>
        </w:tc>
        <w:tc>
          <w:tcPr>
            <w:tcW w:w="0" w:type="auto"/>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Isolation is a process for ensuring no energy or material can enter the isolated area.</w:t>
            </w:r>
          </w:p>
          <w:p w:rsidR="00000000" w:rsidP="006A6DC6">
            <w:pPr>
              <w:pStyle w:val="BodyText"/>
              <w:rPr>
                <w:lang w:val="en-NZ"/>
              </w:rPr>
            </w:pPr>
          </w:p>
        </w:tc>
      </w:tr>
      <w:tr w:rsidTr="00E06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rPr>
                <w:rStyle w:val="SpecialBold"/>
              </w:rPr>
              <w:t>Plant energy sources</w:t>
            </w:r>
          </w:p>
        </w:tc>
        <w:tc>
          <w:tcPr>
            <w:tcW w:w="0" w:type="auto"/>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Plant energy sources include, as appropriate to the plant, one or more of the following:</w:t>
            </w:r>
          </w:p>
          <w:p w:rsidR="00000000" w:rsidRPr="006A6DC6" w:rsidP="006A6DC6">
            <w:pPr>
              <w:pStyle w:val="ListBullet"/>
            </w:pPr>
            <w:r w:rsidRPr="006A6DC6">
              <w:t>electricity (mains, solar and by generator)</w:t>
            </w:r>
          </w:p>
          <w:p w:rsidR="00000000" w:rsidRPr="006A6DC6" w:rsidP="006A6DC6">
            <w:pPr>
              <w:pStyle w:val="ListBullet"/>
            </w:pPr>
            <w:r w:rsidRPr="006A6DC6">
              <w:t>chemicals and fuels</w:t>
            </w:r>
          </w:p>
          <w:p w:rsidR="00000000" w:rsidRPr="006A6DC6" w:rsidP="006A6DC6">
            <w:pPr>
              <w:pStyle w:val="ListBullet"/>
            </w:pPr>
            <w:r w:rsidRPr="006A6DC6">
              <w:t>heat and steam</w:t>
            </w:r>
          </w:p>
          <w:p w:rsidR="00000000" w:rsidRPr="006A6DC6" w:rsidP="006A6DC6">
            <w:pPr>
              <w:pStyle w:val="ListBullet"/>
            </w:pPr>
            <w:r w:rsidRPr="006A6DC6">
              <w:t>pressure, such as compressed air and water, hydraulic oil and othe</w:t>
            </w:r>
            <w:r w:rsidRPr="006A6DC6">
              <w:t>r fluids under pressure</w:t>
            </w:r>
          </w:p>
          <w:p w:rsidR="00000000" w:rsidRPr="006A6DC6" w:rsidP="006A6DC6">
            <w:pPr>
              <w:pStyle w:val="ListBullet"/>
            </w:pPr>
            <w:r w:rsidRPr="006A6DC6">
              <w:t>energy storing devices, such as batteries, springs, flywheels, accumulators and capacitors</w:t>
            </w:r>
          </w:p>
          <w:p w:rsidR="00000000" w:rsidRPr="006A6DC6" w:rsidP="006A6DC6">
            <w:pPr>
              <w:pStyle w:val="ListBullet"/>
            </w:pPr>
            <w:r w:rsidRPr="006A6DC6">
              <w:t>gravity (and its ability to cause items to fall)</w:t>
            </w:r>
          </w:p>
          <w:p w:rsidR="00000000" w:rsidRPr="006A6DC6" w:rsidP="006A6DC6">
            <w:pPr>
              <w:pStyle w:val="ListBullet"/>
            </w:pPr>
            <w:r w:rsidRPr="006A6DC6">
              <w:t>radiation</w:t>
            </w:r>
          </w:p>
          <w:p w:rsidR="00000000" w:rsidP="006A6DC6">
            <w:pPr>
              <w:pStyle w:val="BodyText"/>
              <w:rPr>
                <w:lang w:val="en-NZ"/>
              </w:rPr>
            </w:pPr>
          </w:p>
        </w:tc>
      </w:tr>
      <w:tr w:rsidTr="00E06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rPr>
                <w:rStyle w:val="SpecialBold"/>
              </w:rPr>
              <w:t>Control release procedures</w:t>
            </w:r>
          </w:p>
        </w:tc>
        <w:tc>
          <w:tcPr>
            <w:tcW w:w="0" w:type="auto"/>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Control release procedures will define the release action to be taken for the plant and/or any specified conditions, including one or more of the following:</w:t>
            </w:r>
          </w:p>
          <w:p w:rsidR="00000000" w:rsidRPr="006A6DC6" w:rsidP="006A6DC6">
            <w:pPr>
              <w:pStyle w:val="ListBullet"/>
            </w:pPr>
            <w:r w:rsidRPr="006A6DC6">
              <w:t>preventing any release</w:t>
            </w:r>
          </w:p>
          <w:p w:rsidR="00000000" w:rsidRPr="006A6DC6" w:rsidP="006A6DC6">
            <w:pPr>
              <w:pStyle w:val="ListBullet"/>
            </w:pPr>
            <w:r w:rsidRPr="006A6DC6">
              <w:t>containing any release</w:t>
            </w:r>
          </w:p>
          <w:p w:rsidR="00000000" w:rsidRPr="006A6DC6" w:rsidP="006A6DC6">
            <w:pPr>
              <w:pStyle w:val="ListBullet"/>
            </w:pPr>
            <w:r w:rsidRPr="006A6DC6">
              <w:t>recovery and reuse or disposal of any release</w:t>
            </w:r>
          </w:p>
          <w:p w:rsidR="00000000" w:rsidP="006A6DC6">
            <w:pPr>
              <w:pStyle w:val="BodyText"/>
              <w:rPr>
                <w:lang w:val="en-NZ"/>
              </w:rPr>
            </w:pPr>
          </w:p>
        </w:tc>
      </w:tr>
      <w:tr w:rsidTr="00E06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rPr>
                <w:rStyle w:val="SpecialBold"/>
              </w:rPr>
              <w:t>Prep</w:t>
            </w:r>
            <w:r w:rsidRPr="006A6DC6">
              <w:rPr>
                <w:rStyle w:val="SpecialBold"/>
              </w:rPr>
              <w:t>aration plan</w:t>
            </w:r>
          </w:p>
        </w:tc>
        <w:tc>
          <w:tcPr>
            <w:tcW w:w="0" w:type="auto"/>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Preparation plan will define processes to ensure plant and equipment is in a safe and appropriate condition for the required work, including as appropriate to the plant:</w:t>
            </w:r>
          </w:p>
          <w:p w:rsidR="00000000" w:rsidRPr="006A6DC6" w:rsidP="006A6DC6">
            <w:pPr>
              <w:pStyle w:val="ListBullet"/>
            </w:pPr>
            <w:r w:rsidRPr="006A6DC6">
              <w:t>draining</w:t>
            </w:r>
          </w:p>
          <w:p w:rsidR="00000000" w:rsidRPr="006A6DC6" w:rsidP="006A6DC6">
            <w:pPr>
              <w:pStyle w:val="ListBullet"/>
            </w:pPr>
            <w:r w:rsidRPr="006A6DC6">
              <w:t>purging</w:t>
            </w:r>
          </w:p>
          <w:p w:rsidR="00000000" w:rsidRPr="006A6DC6" w:rsidP="006A6DC6">
            <w:pPr>
              <w:pStyle w:val="ListBullet"/>
            </w:pPr>
            <w:r w:rsidRPr="006A6DC6">
              <w:t>inerting</w:t>
            </w:r>
          </w:p>
          <w:p w:rsidR="00000000" w:rsidRPr="006A6DC6" w:rsidP="006A6DC6">
            <w:pPr>
              <w:pStyle w:val="ListBullet"/>
            </w:pPr>
            <w:r w:rsidRPr="006A6DC6">
              <w:t>ventilating</w:t>
            </w:r>
          </w:p>
          <w:p w:rsidR="00000000" w:rsidRPr="006A6DC6" w:rsidP="006A6DC6">
            <w:pPr>
              <w:pStyle w:val="ListBullet"/>
            </w:pPr>
            <w:r w:rsidRPr="006A6DC6">
              <w:t>controlling atmosphere (e.g. to en</w:t>
            </w:r>
            <w:r w:rsidRPr="006A6DC6">
              <w:t>sure it is breathable and is not within the flammable range)</w:t>
            </w:r>
          </w:p>
          <w:p w:rsidR="00000000" w:rsidRPr="006A6DC6" w:rsidP="006A6DC6">
            <w:pPr>
              <w:pStyle w:val="ListBullet"/>
            </w:pPr>
            <w:r w:rsidRPr="006A6DC6">
              <w:t>adjusting temperature to make a workable environment</w:t>
            </w:r>
          </w:p>
          <w:p w:rsidR="00000000" w:rsidRPr="006A6DC6" w:rsidP="006A6DC6">
            <w:pPr>
              <w:pStyle w:val="ListBullet"/>
            </w:pPr>
            <w:r w:rsidRPr="006A6DC6">
              <w:t>adjusting pressure (usually to atmospheric)</w:t>
            </w:r>
          </w:p>
          <w:p w:rsidR="00000000" w:rsidRPr="006A6DC6" w:rsidP="006A6DC6">
            <w:pPr>
              <w:pStyle w:val="ListBullet"/>
            </w:pPr>
            <w:r w:rsidRPr="006A6DC6">
              <w:t>ensuring adequate access and egress</w:t>
            </w:r>
          </w:p>
          <w:p w:rsidR="00000000" w:rsidP="006A6DC6">
            <w:pPr>
              <w:pStyle w:val="BodyText"/>
              <w:rPr>
                <w:lang w:val="en-NZ"/>
              </w:rPr>
            </w:pPr>
          </w:p>
        </w:tc>
      </w:tr>
      <w:tr w:rsidTr="00E06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rPr>
                <w:rStyle w:val="SpecialBold"/>
              </w:rPr>
              <w:t>Isolation plan</w:t>
            </w:r>
          </w:p>
        </w:tc>
        <w:tc>
          <w:tcPr>
            <w:tcW w:w="0" w:type="auto"/>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Execution of the isolation plan includes, as appropriate to the plant:</w:t>
            </w:r>
          </w:p>
          <w:p w:rsidR="00000000" w:rsidRPr="006A6DC6" w:rsidP="006A6DC6">
            <w:pPr>
              <w:pStyle w:val="ListBullet"/>
            </w:pPr>
            <w:r w:rsidRPr="006A6DC6">
              <w:t>confirming availability of plant, equipment and/or systems</w:t>
            </w:r>
          </w:p>
          <w:p w:rsidR="00000000" w:rsidRPr="006A6DC6" w:rsidP="006A6DC6">
            <w:pPr>
              <w:pStyle w:val="ListBullet"/>
            </w:pPr>
            <w:r w:rsidRPr="006A6DC6">
              <w:t>verifying plant, equipment and/or systems</w:t>
            </w:r>
          </w:p>
          <w:p w:rsidR="00000000" w:rsidRPr="006A6DC6" w:rsidP="006A6DC6">
            <w:pPr>
              <w:pStyle w:val="ListBullet"/>
            </w:pPr>
            <w:r w:rsidRPr="006A6DC6">
              <w:t>verifying isolation location</w:t>
            </w:r>
          </w:p>
          <w:p w:rsidR="00000000" w:rsidRPr="006A6DC6" w:rsidP="006A6DC6">
            <w:pPr>
              <w:pStyle w:val="ListBullet"/>
            </w:pPr>
            <w:r w:rsidRPr="006A6DC6">
              <w:t>securing and identifying isolation points</w:t>
            </w:r>
          </w:p>
          <w:p w:rsidR="00000000" w:rsidRPr="006A6DC6" w:rsidP="006A6DC6">
            <w:pPr>
              <w:pStyle w:val="ListBullet"/>
            </w:pPr>
            <w:r w:rsidRPr="006A6DC6">
              <w:t>labelling is</w:t>
            </w:r>
            <w:r w:rsidRPr="006A6DC6">
              <w:t>olation points</w:t>
            </w:r>
          </w:p>
          <w:p w:rsidR="00000000" w:rsidRPr="006A6DC6" w:rsidP="006A6DC6">
            <w:pPr>
              <w:pStyle w:val="ListBullet"/>
            </w:pPr>
            <w:r w:rsidRPr="006A6DC6">
              <w:t>doing the isolations</w:t>
            </w:r>
          </w:p>
          <w:p w:rsidR="00000000" w:rsidRPr="006A6DC6" w:rsidP="006A6DC6">
            <w:pPr>
              <w:pStyle w:val="ListBullet"/>
            </w:pPr>
            <w:r w:rsidRPr="006A6DC6">
              <w:t>managing the isolations</w:t>
            </w:r>
          </w:p>
          <w:p w:rsidR="00000000" w:rsidRPr="006A6DC6" w:rsidP="006A6DC6">
            <w:pPr>
              <w:pStyle w:val="ListBullet"/>
            </w:pPr>
            <w:r w:rsidRPr="006A6DC6">
              <w:t>managing lock out/tag out to procedure</w:t>
            </w:r>
          </w:p>
          <w:p w:rsidR="00000000" w:rsidRPr="006A6DC6" w:rsidP="006A6DC6">
            <w:pPr>
              <w:pStyle w:val="ListBullet"/>
            </w:pPr>
            <w:r w:rsidRPr="006A6DC6">
              <w:t>cross checking isolations</w:t>
            </w:r>
          </w:p>
          <w:p w:rsidR="00000000" w:rsidRPr="006A6DC6" w:rsidP="006A6DC6">
            <w:pPr>
              <w:pStyle w:val="ListBullet"/>
            </w:pPr>
            <w:r w:rsidRPr="006A6DC6">
              <w:t>undertaking self-isolation, were appropriate</w:t>
            </w:r>
          </w:p>
          <w:p w:rsidR="00000000" w:rsidP="006A6DC6">
            <w:pPr>
              <w:pStyle w:val="BodyText"/>
              <w:rPr>
                <w:lang w:val="en-NZ"/>
              </w:rPr>
            </w:pPr>
          </w:p>
        </w:tc>
      </w:tr>
      <w:tr w:rsidTr="00E06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rPr>
                <w:rStyle w:val="SpecialBold"/>
              </w:rPr>
              <w:t>Remove materials and energy</w:t>
            </w:r>
          </w:p>
        </w:tc>
        <w:tc>
          <w:tcPr>
            <w:tcW w:w="0" w:type="auto"/>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Removing materials and energy includes, as appropriate to the plant:</w:t>
            </w:r>
          </w:p>
          <w:p w:rsidR="00000000" w:rsidRPr="006A6DC6" w:rsidP="006A6DC6">
            <w:pPr>
              <w:pStyle w:val="ListBullet"/>
            </w:pPr>
            <w:r w:rsidRPr="006A6DC6">
              <w:t>draining, purging and venting of process materials</w:t>
            </w:r>
          </w:p>
          <w:p w:rsidR="00000000" w:rsidRPr="006A6DC6" w:rsidP="006A6DC6">
            <w:pPr>
              <w:pStyle w:val="ListBullet"/>
            </w:pPr>
            <w:r w:rsidRPr="006A6DC6">
              <w:t>mitigation of stored energy</w:t>
            </w:r>
          </w:p>
          <w:p w:rsidR="00000000" w:rsidRPr="006A6DC6" w:rsidP="006A6DC6">
            <w:pPr>
              <w:pStyle w:val="ListBullet"/>
            </w:pPr>
            <w:r w:rsidRPr="006A6DC6">
              <w:t>appropriately catching and disposing of any removed materials</w:t>
            </w:r>
          </w:p>
          <w:p w:rsidR="00000000" w:rsidP="006A6DC6">
            <w:pPr>
              <w:pStyle w:val="BodyText"/>
              <w:rPr>
                <w:lang w:val="en-NZ"/>
              </w:rPr>
            </w:pPr>
          </w:p>
        </w:tc>
      </w:tr>
      <w:tr w:rsidTr="00E06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rPr>
                <w:rStyle w:val="SpecialBold"/>
              </w:rPr>
              <w:t>Effectiveness of isolation</w:t>
            </w:r>
          </w:p>
        </w:tc>
        <w:tc>
          <w:tcPr>
            <w:tcW w:w="0" w:type="auto"/>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Proving the effe</w:t>
            </w:r>
            <w:r w:rsidRPr="006A6DC6">
              <w:t>ctiveness of the isolation includes, as appropriate to the plant:</w:t>
            </w:r>
          </w:p>
          <w:p w:rsidR="00000000" w:rsidRPr="006A6DC6" w:rsidP="006A6DC6">
            <w:pPr>
              <w:pStyle w:val="ListBullet"/>
            </w:pPr>
            <w:r w:rsidRPr="006A6DC6">
              <w:t>checking that any leaks are acceptable</w:t>
            </w:r>
          </w:p>
          <w:p w:rsidR="00000000" w:rsidRPr="006A6DC6" w:rsidP="006A6DC6">
            <w:pPr>
              <w:pStyle w:val="ListBullet"/>
            </w:pPr>
            <w:r w:rsidRPr="006A6DC6">
              <w:t>proving depressuring</w:t>
            </w:r>
          </w:p>
          <w:p w:rsidR="00000000" w:rsidRPr="006A6DC6" w:rsidP="006A6DC6">
            <w:pPr>
              <w:pStyle w:val="ListBullet"/>
            </w:pPr>
            <w:r w:rsidRPr="006A6DC6">
              <w:t>proving purging</w:t>
            </w:r>
          </w:p>
          <w:p w:rsidR="00000000" w:rsidRPr="006A6DC6" w:rsidP="006A6DC6">
            <w:pPr>
              <w:pStyle w:val="ListBullet"/>
            </w:pPr>
            <w:r w:rsidRPr="006A6DC6">
              <w:t>checking bleed from double block and bleed, where appropriate</w:t>
            </w:r>
          </w:p>
          <w:p w:rsidR="00000000" w:rsidRPr="006A6DC6" w:rsidP="006A6DC6">
            <w:pPr>
              <w:pStyle w:val="ListBullet"/>
            </w:pPr>
            <w:r w:rsidRPr="006A6DC6">
              <w:t>proving the atmosphere is as required</w:t>
            </w:r>
          </w:p>
          <w:p w:rsidR="00000000" w:rsidRPr="006A6DC6" w:rsidP="006A6DC6">
            <w:pPr>
              <w:pStyle w:val="ListBullet"/>
            </w:pPr>
            <w:r w:rsidRPr="006A6DC6">
              <w:t>using gas det</w:t>
            </w:r>
            <w:r w:rsidRPr="006A6DC6">
              <w:t>ectors/meters</w:t>
            </w:r>
          </w:p>
          <w:p w:rsidR="00000000" w:rsidRPr="006A6DC6" w:rsidP="006A6DC6">
            <w:pPr>
              <w:pStyle w:val="ListBullet"/>
            </w:pPr>
            <w:r w:rsidRPr="006A6DC6">
              <w:t>proving the isolation is effective</w:t>
            </w:r>
          </w:p>
          <w:p w:rsidR="00000000" w:rsidRPr="006A6DC6" w:rsidP="006A6DC6">
            <w:pPr>
              <w:pStyle w:val="ListBullet"/>
            </w:pPr>
            <w:r w:rsidRPr="006A6DC6">
              <w:t>surveillance of isolations</w:t>
            </w:r>
          </w:p>
          <w:p w:rsidR="00000000" w:rsidP="006A6DC6">
            <w:pPr>
              <w:pStyle w:val="BodyText"/>
              <w:rPr>
                <w:lang w:val="en-NZ"/>
              </w:rPr>
            </w:pPr>
          </w:p>
        </w:tc>
      </w:tr>
      <w:tr w:rsidTr="00E06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rPr>
                <w:rStyle w:val="SpecialBold"/>
              </w:rPr>
              <w:t>Test readiness for return to service</w:t>
            </w:r>
          </w:p>
        </w:tc>
        <w:tc>
          <w:tcPr>
            <w:tcW w:w="0" w:type="auto"/>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Testing readiness for return to service includes, as appropriate to the plant:</w:t>
            </w:r>
          </w:p>
          <w:p w:rsidR="00000000" w:rsidRPr="006A6DC6" w:rsidP="006A6DC6">
            <w:pPr>
              <w:pStyle w:val="ListBullet"/>
            </w:pPr>
            <w:r w:rsidRPr="006A6DC6">
              <w:t>pressure and leak testing</w:t>
            </w:r>
          </w:p>
          <w:p w:rsidR="00000000" w:rsidRPr="006A6DC6" w:rsidP="006A6DC6">
            <w:pPr>
              <w:pStyle w:val="ListBullet"/>
            </w:pPr>
            <w:r w:rsidRPr="006A6DC6">
              <w:t>atmosphere/gas testing</w:t>
            </w:r>
          </w:p>
          <w:p w:rsidR="00000000" w:rsidRPr="006A6DC6" w:rsidP="006A6DC6">
            <w:pPr>
              <w:pStyle w:val="ListBullet"/>
            </w:pPr>
            <w:r w:rsidRPr="006A6DC6">
              <w:t>testing the restoration of utilities and services</w:t>
            </w:r>
          </w:p>
          <w:p w:rsidR="00000000" w:rsidP="006A6DC6">
            <w:pPr>
              <w:pStyle w:val="BodyText"/>
              <w:rPr>
                <w:lang w:val="en-NZ"/>
              </w:rPr>
            </w:pPr>
          </w:p>
        </w:tc>
      </w:tr>
      <w:tr w:rsidTr="00E06B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A6DC6">
            <w:pPr>
              <w:pStyle w:val="BodyText"/>
              <w:rPr>
                <w:lang w:val="en-NZ"/>
              </w:rPr>
            </w:pPr>
            <w:r w:rsidRPr="006A6DC6">
              <w:rPr>
                <w:rStyle w:val="SpecialBold"/>
              </w:rPr>
              <w:t>Required paperwork</w:t>
            </w:r>
          </w:p>
        </w:tc>
        <w:tc>
          <w:tcPr>
            <w:tcW w:w="0" w:type="auto"/>
            <w:tcBorders>
              <w:top w:val="nil"/>
              <w:left w:val="nil"/>
              <w:bottom w:val="nil"/>
              <w:right w:val="nil"/>
            </w:tcBorders>
            <w:tcMar>
              <w:top w:w="0" w:type="dxa"/>
              <w:left w:w="62" w:type="dxa"/>
              <w:bottom w:w="0" w:type="dxa"/>
              <w:right w:w="62" w:type="dxa"/>
            </w:tcMar>
          </w:tcPr>
          <w:p w:rsidR="00000000" w:rsidRPr="006A6DC6" w:rsidP="006A6DC6">
            <w:pPr>
              <w:pStyle w:val="BodyText"/>
            </w:pPr>
            <w:r w:rsidRPr="006A6DC6">
              <w:t xml:space="preserve">Required paperwork will conform to site requirements and document control systems and are paper, electronic or other approved format. </w:t>
            </w:r>
          </w:p>
          <w:p w:rsidR="00000000" w:rsidRPr="006A6DC6" w:rsidP="006A6DC6">
            <w:pPr>
              <w:pStyle w:val="BodyText"/>
            </w:pPr>
          </w:p>
          <w:p w:rsidR="00000000" w:rsidRPr="006A6DC6" w:rsidP="006A6DC6">
            <w:pPr>
              <w:pStyle w:val="BodyText"/>
            </w:pPr>
            <w:r w:rsidRPr="006A6DC6">
              <w:t xml:space="preserve">Paperwork must include: </w:t>
            </w:r>
          </w:p>
          <w:p w:rsidR="00000000" w:rsidRPr="006A6DC6" w:rsidP="006A6DC6">
            <w:pPr>
              <w:pStyle w:val="ListBullet"/>
            </w:pPr>
            <w:r w:rsidRPr="006A6DC6">
              <w:t xml:space="preserve">isolation register </w:t>
            </w:r>
          </w:p>
          <w:p w:rsidR="00000000" w:rsidRPr="006A6DC6" w:rsidP="006A6DC6">
            <w:pPr>
              <w:pStyle w:val="ListBullet"/>
            </w:pPr>
            <w:r w:rsidRPr="006A6DC6">
              <w:t>loc</w:t>
            </w:r>
            <w:r w:rsidRPr="006A6DC6">
              <w:t>k out/tag out register</w:t>
            </w:r>
          </w:p>
          <w:p w:rsidR="00000000" w:rsidRPr="006A6DC6" w:rsidP="006A6DC6">
            <w:pPr>
              <w:pStyle w:val="ListBullet"/>
            </w:pPr>
            <w:r w:rsidRPr="006A6DC6">
              <w:t>sign-offs</w:t>
            </w:r>
          </w:p>
          <w:p w:rsidR="00000000" w:rsidRPr="006A6DC6" w:rsidP="006A6DC6">
            <w:pPr>
              <w:pStyle w:val="ListBullet"/>
            </w:pPr>
            <w:r w:rsidRPr="006A6DC6">
              <w:t>any reports, permits/work packs, documentation required by the job/organisation</w:t>
            </w:r>
          </w:p>
          <w:p w:rsidR="00000000" w:rsidRPr="006A6DC6" w:rsidP="006A6DC6">
            <w:pPr>
              <w:pStyle w:val="ListBullet"/>
            </w:pPr>
            <w:r w:rsidRPr="006A6DC6">
              <w:t>filing of documentation</w:t>
            </w:r>
          </w:p>
          <w:p w:rsidR="00000000" w:rsidRPr="006A6DC6" w:rsidP="006A6DC6">
            <w:pPr>
              <w:pStyle w:val="BodyText"/>
            </w:pPr>
          </w:p>
        </w:tc>
      </w:tr>
    </w:tbl>
    <w:p w:rsidR="00000000" w:rsidRPr="006A6DC6" w:rsidP="006A6DC6">
      <w:pPr>
        <w:pStyle w:val="BodyText"/>
      </w:pPr>
    </w:p>
    <w:p w:rsidR="00000000" w:rsidRPr="006A6DC6" w:rsidP="006A6DC6">
      <w:pPr>
        <w:pStyle w:val="AllowPageBreak"/>
      </w:pPr>
    </w:p>
    <w:p w:rsidR="00000000" w:rsidRPr="006A6DC6" w:rsidP="006A6DC6">
      <w:pPr>
        <w:pStyle w:val="Heading1"/>
      </w:pPr>
      <w:bookmarkStart w:id="9" w:name="O_909609"/>
      <w:bookmarkEnd w:id="9"/>
      <w:r w:rsidRPr="006A6DC6">
        <w:t>Unit Mapping Information</w:t>
      </w:r>
    </w:p>
    <w:p w:rsidR="00000000" w:rsidRPr="006A6DC6" w:rsidP="00E06BCF">
      <w:pPr>
        <w:pStyle w:val="BodyText"/>
      </w:pPr>
      <w:r w:rsidRPr="006A6DC6">
        <w:t>Re</w:t>
      </w:r>
      <w:r w:rsidRPr="006A6DC6">
        <w:t>lease 1. Supersedes and is equivalent to PMASUP244A Prepare and isolate plant</w:t>
      </w:r>
    </w:p>
    <w:p w:rsidR="00000000" w:rsidRPr="006A6DC6" w:rsidP="006A6DC6">
      <w:pPr>
        <w:pStyle w:val="Heading1"/>
      </w:pPr>
      <w:bookmarkStart w:id="10" w:name="O_909602"/>
      <w:bookmarkEnd w:id="10"/>
      <w:r w:rsidRPr="006A6DC6">
        <w:t>Links</w:t>
      </w:r>
    </w:p>
    <w:p w:rsidR="00000000" w:rsidRPr="006A6DC6" w:rsidP="00E06BCF">
      <w:pPr>
        <w:pStyle w:val="BodyText"/>
      </w:pPr>
      <w:r w:rsidRPr="006A6DC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AC59C3">
        <w:rPr>
          <w:rStyle w:val="Hyperlink"/>
        </w:rPr>
        <w:t>https://vetnet.gov.au/Pages/TrainingDocs.aspx?q=9fc2cf53-e570-4e9f-ad6a-b228ffdb6875</w:t>
      </w:r>
      <w:r>
        <w:fldChar w:fldCharType="end"/>
      </w:r>
    </w:p>
    <w:p w:rsidR="00000000" w:rsidRPr="006A6DC6" w:rsidP="006A6DC6"/>
    <w:sectPr w:rsidSect="006A6D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DC6" w:rsidRPr="00E06BCF" w:rsidP="00E06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CF" w:rsidP="006A6D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06BCF" w:rsidP="006A6D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6BCF" w:rsidP="006A6D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6DC6" w:rsidRPr="00E06BCF" w:rsidP="00E06B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CF" w:rsidRPr="002D2AF8" w:rsidP="006A6DC6">
    <w:pPr>
      <w:pStyle w:val="Header"/>
      <w:framePr w:wrap="around"/>
    </w:pPr>
    <w:r>
      <w:fldChar w:fldCharType="begin"/>
    </w:r>
    <w:r>
      <w:instrText xml:space="preserve"> TITLE   \* MERGEFORMAT </w:instrText>
    </w:r>
    <w:r>
      <w:fldChar w:fldCharType="separate"/>
    </w:r>
    <w:r>
      <w:t>PMASUP244 Prepare and isolate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E06BCF" w:rsidP="006A6D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8EF6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6E2A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D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DC6"/>
    <w:pPr>
      <w:spacing w:before="360" w:after="60"/>
      <w:outlineLvl w:val="0"/>
    </w:pPr>
    <w:rPr>
      <w:sz w:val="32"/>
    </w:rPr>
  </w:style>
  <w:style w:type="paragraph" w:styleId="Heading2">
    <w:name w:val="heading 2"/>
    <w:basedOn w:val="HeadingBase"/>
    <w:next w:val="BodyText"/>
    <w:link w:val="Heading2Char"/>
    <w:qFormat/>
    <w:rsid w:val="006A6DC6"/>
    <w:pPr>
      <w:keepLines/>
      <w:spacing w:before="240" w:after="120"/>
      <w:outlineLvl w:val="1"/>
    </w:pPr>
    <w:rPr>
      <w:sz w:val="28"/>
      <w:szCs w:val="40"/>
    </w:rPr>
  </w:style>
  <w:style w:type="paragraph" w:styleId="Heading3">
    <w:name w:val="heading 3"/>
    <w:basedOn w:val="HeadingBase"/>
    <w:next w:val="BodyText"/>
    <w:link w:val="Heading3Char"/>
    <w:qFormat/>
    <w:rsid w:val="006A6DC6"/>
    <w:pPr>
      <w:spacing w:before="180" w:after="120"/>
      <w:outlineLvl w:val="2"/>
    </w:pPr>
    <w:rPr>
      <w:spacing w:val="-10"/>
      <w:kern w:val="32"/>
    </w:rPr>
  </w:style>
  <w:style w:type="paragraph" w:styleId="Heading4">
    <w:name w:val="heading 4"/>
    <w:basedOn w:val="HeadingBase"/>
    <w:next w:val="BodyText"/>
    <w:link w:val="Heading4Char"/>
    <w:qFormat/>
    <w:rsid w:val="006A6DC6"/>
    <w:pPr>
      <w:spacing w:before="160" w:after="120"/>
      <w:outlineLvl w:val="3"/>
    </w:pPr>
    <w:rPr>
      <w:sz w:val="22"/>
    </w:rPr>
  </w:style>
  <w:style w:type="paragraph" w:styleId="Heading5">
    <w:name w:val="heading 5"/>
    <w:basedOn w:val="HeadingBase"/>
    <w:next w:val="Normal"/>
    <w:link w:val="Heading5Char"/>
    <w:qFormat/>
    <w:rsid w:val="006A6DC6"/>
    <w:pPr>
      <w:spacing w:before="80"/>
      <w:outlineLvl w:val="4"/>
    </w:pPr>
    <w:rPr>
      <w:color w:val="918585"/>
      <w:sz w:val="20"/>
    </w:rPr>
  </w:style>
  <w:style w:type="paragraph" w:styleId="Heading6">
    <w:name w:val="heading 6"/>
    <w:basedOn w:val="HeadingBase"/>
    <w:next w:val="Normal"/>
    <w:link w:val="Heading6Char"/>
    <w:qFormat/>
    <w:rsid w:val="006A6DC6"/>
    <w:pPr>
      <w:spacing w:before="60"/>
      <w:outlineLvl w:val="5"/>
    </w:pPr>
    <w:rPr>
      <w:color w:val="918585"/>
      <w:sz w:val="20"/>
    </w:rPr>
  </w:style>
  <w:style w:type="paragraph" w:styleId="Heading7">
    <w:name w:val="heading 7"/>
    <w:basedOn w:val="Normal"/>
    <w:next w:val="Normal"/>
    <w:link w:val="Heading7Char"/>
    <w:qFormat/>
    <w:rsid w:val="006A6DC6"/>
    <w:pPr>
      <w:ind w:left="720"/>
      <w:outlineLvl w:val="6"/>
    </w:pPr>
    <w:rPr>
      <w:i/>
    </w:rPr>
  </w:style>
  <w:style w:type="paragraph" w:styleId="Heading8">
    <w:name w:val="heading 8"/>
    <w:basedOn w:val="Normal"/>
    <w:next w:val="Normal"/>
    <w:link w:val="Heading8Char"/>
    <w:qFormat/>
    <w:rsid w:val="006A6DC6"/>
    <w:pPr>
      <w:ind w:left="720"/>
      <w:outlineLvl w:val="7"/>
    </w:pPr>
    <w:rPr>
      <w:i/>
    </w:rPr>
  </w:style>
  <w:style w:type="paragraph" w:styleId="Heading9">
    <w:name w:val="heading 9"/>
    <w:basedOn w:val="Normal"/>
    <w:next w:val="Normal"/>
    <w:link w:val="Heading9Char"/>
    <w:qFormat/>
    <w:rsid w:val="006A6DC6"/>
    <w:pPr>
      <w:ind w:left="720"/>
      <w:outlineLvl w:val="8"/>
    </w:pPr>
    <w:rPr>
      <w:i/>
    </w:rPr>
  </w:style>
  <w:style w:type="character" w:default="1" w:styleId="DefaultParagraphFont">
    <w:name w:val="Default Paragraph Font"/>
    <w:uiPriority w:val="1"/>
    <w:unhideWhenUsed/>
    <w:rsid w:val="006A6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DC6"/>
  </w:style>
  <w:style w:type="character" w:customStyle="1" w:styleId="Heading1Char">
    <w:name w:val="Heading 1 Char"/>
    <w:basedOn w:val="DefaultParagraphFont"/>
    <w:link w:val="Heading1"/>
    <w:rsid w:val="006A6DC6"/>
    <w:rPr>
      <w:rFonts w:ascii="Times New Roman" w:eastAsia="Times New Roman" w:hAnsi="Times New Roman" w:cs="Times New Roman"/>
      <w:b/>
      <w:sz w:val="32"/>
      <w:szCs w:val="20"/>
      <w:lang w:eastAsia="en-US"/>
    </w:rPr>
  </w:style>
  <w:style w:type="paragraph" w:styleId="BodyText">
    <w:name w:val="Body Text"/>
    <w:basedOn w:val="Normal"/>
    <w:link w:val="BodyTextChar"/>
    <w:rsid w:val="006A6D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6DC6"/>
    <w:rPr>
      <w:rFonts w:ascii="Times New Roman" w:eastAsia="Times New Roman" w:hAnsi="Times New Roman" w:cs="Times New Roman"/>
      <w:sz w:val="24"/>
      <w:lang w:eastAsia="en-US"/>
    </w:rPr>
  </w:style>
  <w:style w:type="paragraph" w:styleId="ListBullet">
    <w:name w:val="List Bullet"/>
    <w:basedOn w:val="List"/>
    <w:rsid w:val="006A6DC6"/>
    <w:pPr>
      <w:numPr>
        <w:numId w:val="11"/>
      </w:numPr>
      <w:tabs>
        <w:tab w:val="clear" w:pos="340"/>
      </w:tabs>
      <w:spacing w:before="40" w:after="40"/>
    </w:pPr>
  </w:style>
  <w:style w:type="character" w:customStyle="1" w:styleId="SpecialBold">
    <w:name w:val="Special Bold"/>
    <w:basedOn w:val="DefaultParagraphFont"/>
    <w:rsid w:val="006A6DC6"/>
    <w:rPr>
      <w:b/>
      <w:spacing w:val="0"/>
    </w:rPr>
  </w:style>
  <w:style w:type="paragraph" w:customStyle="1" w:styleId="SuperHeading">
    <w:name w:val="SuperHeading"/>
    <w:basedOn w:val="Normal"/>
    <w:rsid w:val="006A6DC6"/>
    <w:pPr>
      <w:spacing w:before="240" w:after="120"/>
      <w:outlineLvl w:val="0"/>
    </w:pPr>
    <w:rPr>
      <w:rFonts w:ascii="Times New Roman" w:hAnsi="Times New Roman"/>
      <w:b/>
      <w:sz w:val="32"/>
    </w:rPr>
  </w:style>
  <w:style w:type="paragraph" w:customStyle="1" w:styleId="AllowPageBreak">
    <w:name w:val="AllowPageBreak"/>
    <w:rsid w:val="006A6D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6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D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D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D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D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DC6"/>
    <w:rPr>
      <w:rFonts w:ascii="Courier New" w:eastAsia="Times New Roman" w:hAnsi="Courier New" w:cs="Times New Roman"/>
      <w:i/>
      <w:szCs w:val="20"/>
      <w:lang w:eastAsia="en-US"/>
    </w:rPr>
  </w:style>
  <w:style w:type="paragraph" w:customStyle="1" w:styleId="HeadingBase">
    <w:name w:val="Heading Base"/>
    <w:rsid w:val="006A6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DC6"/>
    <w:pPr>
      <w:tabs>
        <w:tab w:val="right" w:leader="dot" w:pos="9072"/>
      </w:tabs>
      <w:ind w:left="567"/>
    </w:pPr>
    <w:rPr>
      <w:szCs w:val="22"/>
    </w:rPr>
  </w:style>
  <w:style w:type="paragraph" w:customStyle="1" w:styleId="TOCBase">
    <w:name w:val="TOC Base"/>
    <w:rsid w:val="006A6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DC6"/>
    <w:pPr>
      <w:tabs>
        <w:tab w:val="right" w:leader="dot" w:pos="9072"/>
      </w:tabs>
      <w:spacing w:before="40" w:after="40"/>
      <w:ind w:left="284"/>
    </w:pPr>
    <w:rPr>
      <w:rFonts w:ascii="Times New Roman" w:hAnsi="Times New Roman"/>
    </w:rPr>
  </w:style>
  <w:style w:type="paragraph" w:styleId="TOC1">
    <w:name w:val="toc 1"/>
    <w:basedOn w:val="TOCBase"/>
    <w:next w:val="Normal"/>
    <w:rsid w:val="006A6D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6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DC6"/>
    <w:rPr>
      <w:rFonts w:ascii="Times New Roman" w:eastAsia="Times New Roman" w:hAnsi="Times New Roman" w:cs="Times New Roman"/>
      <w:sz w:val="16"/>
      <w:lang w:eastAsia="en-US"/>
    </w:rPr>
  </w:style>
  <w:style w:type="paragraph" w:styleId="Title">
    <w:name w:val="Title"/>
    <w:basedOn w:val="HeadingBase"/>
    <w:link w:val="TitleChar"/>
    <w:qFormat/>
    <w:rsid w:val="006A6DC6"/>
    <w:pPr>
      <w:spacing w:before="5040"/>
      <w:jc w:val="center"/>
    </w:pPr>
    <w:rPr>
      <w:sz w:val="48"/>
      <w:szCs w:val="72"/>
      <w:lang w:val="en-US"/>
    </w:rPr>
  </w:style>
  <w:style w:type="character" w:customStyle="1" w:styleId="TitleChar">
    <w:name w:val="Title Char"/>
    <w:basedOn w:val="DefaultParagraphFont"/>
    <w:link w:val="Title"/>
    <w:rsid w:val="006A6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DC6"/>
    <w:pPr>
      <w:tabs>
        <w:tab w:val="left" w:pos="3600"/>
        <w:tab w:val="left" w:pos="3958"/>
      </w:tabs>
    </w:pPr>
  </w:style>
  <w:style w:type="paragraph" w:styleId="List">
    <w:name w:val="List"/>
    <w:basedOn w:val="BodyText"/>
    <w:next w:val="BodyText"/>
    <w:rsid w:val="006A6DC6"/>
    <w:pPr>
      <w:tabs>
        <w:tab w:val="left" w:pos="340"/>
      </w:tabs>
      <w:spacing w:before="60" w:after="60"/>
      <w:ind w:left="340" w:hanging="340"/>
    </w:pPr>
  </w:style>
  <w:style w:type="paragraph" w:customStyle="1" w:styleId="Note">
    <w:name w:val="Note"/>
    <w:basedOn w:val="BodyText"/>
    <w:rsid w:val="006A6D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DC6"/>
    <w:pPr>
      <w:framePr w:wrap="auto" w:hAnchor="text" w:y="6049"/>
    </w:pPr>
    <w:rPr>
      <w:color w:val="000000"/>
      <w:sz w:val="40"/>
    </w:rPr>
  </w:style>
  <w:style w:type="paragraph" w:customStyle="1" w:styleId="TOCTitle">
    <w:name w:val="TOCTitle"/>
    <w:basedOn w:val="Heading1"/>
    <w:rsid w:val="006A6DC6"/>
    <w:pPr>
      <w:spacing w:after="240"/>
      <w:jc w:val="center"/>
      <w:outlineLvl w:val="9"/>
    </w:pPr>
    <w:rPr>
      <w:caps/>
    </w:rPr>
  </w:style>
  <w:style w:type="paragraph" w:customStyle="1" w:styleId="Version">
    <w:name w:val="Version"/>
    <w:rsid w:val="006A6D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DC6"/>
    <w:pPr>
      <w:numPr>
        <w:numId w:val="12"/>
      </w:numPr>
      <w:tabs>
        <w:tab w:val="clear" w:pos="680"/>
      </w:tabs>
    </w:pPr>
  </w:style>
  <w:style w:type="paragraph" w:styleId="Index1">
    <w:name w:val="index 1"/>
    <w:basedOn w:val="Normal"/>
    <w:next w:val="Normal"/>
    <w:semiHidden/>
    <w:rsid w:val="006A6DC6"/>
    <w:pPr>
      <w:keepNext w:val="0"/>
      <w:tabs>
        <w:tab w:val="right" w:pos="4176"/>
      </w:tabs>
      <w:ind w:left="198" w:hanging="198"/>
    </w:pPr>
    <w:rPr>
      <w:rFonts w:ascii="Garamond" w:hAnsi="Garamond"/>
    </w:rPr>
  </w:style>
  <w:style w:type="paragraph" w:styleId="IndexHeading">
    <w:name w:val="index heading"/>
    <w:basedOn w:val="Normal"/>
    <w:next w:val="Index1"/>
    <w:semiHidden/>
    <w:rsid w:val="006A6DC6"/>
    <w:pPr>
      <w:spacing w:before="120" w:after="120"/>
    </w:pPr>
    <w:rPr>
      <w:rFonts w:ascii="Arial" w:hAnsi="Arial"/>
      <w:b/>
      <w:color w:val="918585"/>
      <w:sz w:val="24"/>
    </w:rPr>
  </w:style>
  <w:style w:type="paragraph" w:styleId="Header">
    <w:name w:val="header"/>
    <w:basedOn w:val="Normal"/>
    <w:link w:val="HeaderChar"/>
    <w:rsid w:val="006A6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DC6"/>
    <w:rPr>
      <w:rFonts w:ascii="Times New Roman" w:eastAsia="Times New Roman" w:hAnsi="Times New Roman" w:cs="Times New Roman"/>
      <w:sz w:val="16"/>
      <w:szCs w:val="20"/>
      <w:lang w:val="en-GB" w:eastAsia="en-US"/>
    </w:rPr>
  </w:style>
  <w:style w:type="paragraph" w:customStyle="1" w:styleId="Chapter">
    <w:name w:val="Chapter"/>
    <w:basedOn w:val="Normal"/>
    <w:rsid w:val="006A6DC6"/>
    <w:pPr>
      <w:spacing w:before="240"/>
    </w:pPr>
    <w:rPr>
      <w:rFonts w:ascii="Times New Roman" w:hAnsi="Times New Roman"/>
      <w:smallCaps/>
      <w:spacing w:val="80"/>
      <w:sz w:val="28"/>
    </w:rPr>
  </w:style>
  <w:style w:type="paragraph" w:customStyle="1" w:styleId="InChapter">
    <w:name w:val="InChapter"/>
    <w:basedOn w:val="Heading3"/>
    <w:rsid w:val="006A6DC6"/>
    <w:pPr>
      <w:spacing w:after="240"/>
      <w:outlineLvl w:val="9"/>
    </w:pPr>
    <w:rPr>
      <w:noProof/>
    </w:rPr>
  </w:style>
  <w:style w:type="paragraph" w:styleId="Index2">
    <w:name w:val="index 2"/>
    <w:basedOn w:val="Normal"/>
    <w:next w:val="Normal"/>
    <w:semiHidden/>
    <w:rsid w:val="006A6DC6"/>
    <w:pPr>
      <w:tabs>
        <w:tab w:val="right" w:pos="4176"/>
      </w:tabs>
      <w:ind w:left="568" w:hanging="284"/>
    </w:pPr>
    <w:rPr>
      <w:rFonts w:ascii="Garamond" w:hAnsi="Garamond"/>
    </w:rPr>
  </w:style>
  <w:style w:type="paragraph" w:customStyle="1" w:styleId="Byline">
    <w:name w:val="Byline"/>
    <w:rsid w:val="006A6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DC6"/>
    <w:pPr>
      <w:tabs>
        <w:tab w:val="clear" w:pos="3600"/>
        <w:tab w:val="clear" w:pos="3958"/>
      </w:tabs>
      <w:jc w:val="right"/>
    </w:pPr>
  </w:style>
  <w:style w:type="character" w:styleId="Emphasis">
    <w:name w:val="Emphasis"/>
    <w:basedOn w:val="DefaultParagraphFont"/>
    <w:qFormat/>
    <w:rsid w:val="006A6DC6"/>
    <w:rPr>
      <w:i/>
    </w:rPr>
  </w:style>
  <w:style w:type="paragraph" w:styleId="Caption">
    <w:name w:val="caption"/>
    <w:basedOn w:val="BodyText"/>
    <w:next w:val="Normal"/>
    <w:qFormat/>
    <w:rsid w:val="006A6DC6"/>
    <w:pPr>
      <w:framePr w:w="2268" w:hSpace="181" w:vSpace="181" w:wrap="around" w:vAnchor="text" w:hAnchor="page" w:x="1135" w:y="285" w:anchorLock="1"/>
    </w:pPr>
    <w:rPr>
      <w:i/>
    </w:rPr>
  </w:style>
  <w:style w:type="paragraph" w:customStyle="1" w:styleId="MiniTOCTitle">
    <w:name w:val="MiniTOCTitle"/>
    <w:basedOn w:val="Heading4"/>
    <w:rsid w:val="006A6DC6"/>
    <w:pPr>
      <w:spacing w:before="240"/>
      <w:outlineLvl w:val="9"/>
    </w:pPr>
    <w:rPr>
      <w:noProof/>
      <w:sz w:val="24"/>
    </w:rPr>
  </w:style>
  <w:style w:type="paragraph" w:customStyle="1" w:styleId="MiniTOCItem">
    <w:name w:val="MiniTOCItem"/>
    <w:basedOn w:val="ListBullet"/>
    <w:rsid w:val="006A6DC6"/>
    <w:pPr>
      <w:numPr>
        <w:numId w:val="0"/>
      </w:numPr>
      <w:tabs>
        <w:tab w:val="right" w:leader="dot" w:pos="6521"/>
      </w:tabs>
      <w:spacing w:before="0" w:after="0"/>
    </w:pPr>
  </w:style>
  <w:style w:type="paragraph" w:customStyle="1" w:styleId="TOFTitle">
    <w:name w:val="TOFTitle"/>
    <w:basedOn w:val="TOCTitle"/>
    <w:rsid w:val="006A6DC6"/>
  </w:style>
  <w:style w:type="paragraph" w:styleId="TableofFigures">
    <w:name w:val="table of figures"/>
    <w:basedOn w:val="Normal"/>
    <w:next w:val="Normal"/>
    <w:semiHidden/>
    <w:rsid w:val="006A6DC6"/>
    <w:pPr>
      <w:tabs>
        <w:tab w:val="right" w:leader="dot" w:pos="9072"/>
      </w:tabs>
      <w:ind w:left="970" w:hanging="403"/>
    </w:pPr>
    <w:rPr>
      <w:rFonts w:ascii="Times New Roman" w:hAnsi="Times New Roman"/>
      <w:b/>
    </w:rPr>
  </w:style>
  <w:style w:type="paragraph" w:styleId="ListNumber">
    <w:name w:val="List Number"/>
    <w:basedOn w:val="List"/>
    <w:rsid w:val="006A6DC6"/>
    <w:pPr>
      <w:numPr>
        <w:numId w:val="14"/>
      </w:numPr>
      <w:tabs>
        <w:tab w:val="clear" w:pos="340"/>
      </w:tabs>
    </w:pPr>
  </w:style>
  <w:style w:type="character" w:customStyle="1" w:styleId="WingdingSymbols">
    <w:name w:val="Wingding Symbols"/>
    <w:rsid w:val="006A6DC6"/>
    <w:rPr>
      <w:rFonts w:ascii="Wingdings" w:hAnsi="Wingdings"/>
    </w:rPr>
  </w:style>
  <w:style w:type="paragraph" w:customStyle="1" w:styleId="TableHeading">
    <w:name w:val="Table Heading"/>
    <w:basedOn w:val="HeadingBase"/>
    <w:rsid w:val="006A6DC6"/>
    <w:pPr>
      <w:keepLines/>
      <w:pBdr>
        <w:bottom w:val="single" w:sz="6" w:space="1" w:color="918585"/>
      </w:pBdr>
      <w:spacing w:before="240"/>
    </w:pPr>
  </w:style>
  <w:style w:type="character" w:customStyle="1" w:styleId="HotSpot">
    <w:name w:val="HotSpot"/>
    <w:rsid w:val="006A6DC6"/>
    <w:rPr>
      <w:color w:val="0033CC"/>
      <w:u w:val="none"/>
    </w:rPr>
  </w:style>
  <w:style w:type="paragraph" w:customStyle="1" w:styleId="BodyTextRight">
    <w:name w:val="Body Text Right"/>
    <w:basedOn w:val="BodyText"/>
    <w:rsid w:val="006A6DC6"/>
    <w:pPr>
      <w:spacing w:before="0" w:after="0"/>
      <w:jc w:val="right"/>
    </w:pPr>
  </w:style>
  <w:style w:type="paragraph" w:styleId="Index3">
    <w:name w:val="index 3"/>
    <w:basedOn w:val="ListNumber2"/>
    <w:next w:val="Normal"/>
    <w:semiHidden/>
    <w:rsid w:val="006A6DC6"/>
    <w:pPr>
      <w:numPr>
        <w:numId w:val="0"/>
      </w:numPr>
      <w:tabs>
        <w:tab w:val="right" w:leader="dot" w:pos="4176"/>
      </w:tabs>
    </w:pPr>
  </w:style>
  <w:style w:type="paragraph" w:styleId="ListNumber2">
    <w:name w:val="List Number 2"/>
    <w:basedOn w:val="List2"/>
    <w:rsid w:val="006A6DC6"/>
    <w:pPr>
      <w:numPr>
        <w:numId w:val="9"/>
      </w:numPr>
      <w:tabs>
        <w:tab w:val="clear" w:pos="1060"/>
      </w:tabs>
    </w:pPr>
  </w:style>
  <w:style w:type="paragraph" w:customStyle="1" w:styleId="MarginNote">
    <w:name w:val="Margin Note"/>
    <w:basedOn w:val="BodyText"/>
    <w:rsid w:val="006A6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D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DC6"/>
    <w:rPr>
      <w:sz w:val="32"/>
    </w:rPr>
  </w:style>
  <w:style w:type="paragraph" w:customStyle="1" w:styleId="HeadingProcedure">
    <w:name w:val="Heading Procedure"/>
    <w:basedOn w:val="HeadingBase"/>
    <w:next w:val="Normal"/>
    <w:rsid w:val="006A6DC6"/>
    <w:pPr>
      <w:tabs>
        <w:tab w:val="left" w:pos="0"/>
      </w:tabs>
      <w:spacing w:before="120" w:after="60"/>
    </w:pPr>
    <w:rPr>
      <w:i/>
      <w:color w:val="918585"/>
      <w:sz w:val="22"/>
    </w:rPr>
  </w:style>
  <w:style w:type="paragraph" w:customStyle="1" w:styleId="TableBodyText">
    <w:name w:val="Table Body Text"/>
    <w:basedOn w:val="BodyText"/>
    <w:rsid w:val="006A6DC6"/>
    <w:pPr>
      <w:spacing w:before="60" w:after="60"/>
    </w:pPr>
  </w:style>
  <w:style w:type="paragraph" w:styleId="ListContinue">
    <w:name w:val="List Continue"/>
    <w:basedOn w:val="List"/>
    <w:rsid w:val="006A6DC6"/>
    <w:pPr>
      <w:ind w:firstLine="0"/>
    </w:pPr>
  </w:style>
  <w:style w:type="paragraph" w:customStyle="1" w:styleId="ListNote">
    <w:name w:val="List Note"/>
    <w:basedOn w:val="List"/>
    <w:rsid w:val="006A6DC6"/>
    <w:pPr>
      <w:pBdr>
        <w:top w:val="single" w:sz="6" w:space="2" w:color="918585"/>
        <w:bottom w:val="single" w:sz="6" w:space="2" w:color="918585"/>
      </w:pBdr>
      <w:tabs>
        <w:tab w:val="left" w:pos="1021"/>
      </w:tabs>
      <w:ind w:firstLine="0"/>
    </w:pPr>
  </w:style>
  <w:style w:type="paragraph" w:customStyle="1" w:styleId="Warning">
    <w:name w:val="Warning"/>
    <w:basedOn w:val="BodyText"/>
    <w:rsid w:val="006A6DC6"/>
    <w:pPr>
      <w:shd w:val="clear" w:color="auto" w:fill="D9D9D9"/>
      <w:tabs>
        <w:tab w:val="left" w:pos="992"/>
      </w:tabs>
      <w:ind w:left="119" w:right="119"/>
    </w:pPr>
    <w:rPr>
      <w:sz w:val="20"/>
    </w:rPr>
  </w:style>
  <w:style w:type="paragraph" w:customStyle="1" w:styleId="MarginIcons">
    <w:name w:val="Margin Icons"/>
    <w:basedOn w:val="BodyText"/>
    <w:rsid w:val="006A6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DC6"/>
    <w:rPr>
      <w:rFonts w:ascii="Courier New" w:hAnsi="Courier New"/>
    </w:rPr>
  </w:style>
  <w:style w:type="paragraph" w:customStyle="1" w:styleId="NoteBullet">
    <w:name w:val="Note Bullet"/>
    <w:basedOn w:val="Note"/>
    <w:rsid w:val="006A6DC6"/>
    <w:pPr>
      <w:tabs>
        <w:tab w:val="clear" w:pos="680"/>
      </w:tabs>
      <w:spacing w:before="60" w:after="60"/>
    </w:pPr>
  </w:style>
  <w:style w:type="paragraph" w:customStyle="1" w:styleId="SubHeading2">
    <w:name w:val="SubHeading2"/>
    <w:basedOn w:val="HeadingBase"/>
    <w:rsid w:val="006A6DC6"/>
    <w:pPr>
      <w:spacing w:before="240" w:after="60"/>
    </w:pPr>
    <w:rPr>
      <w:sz w:val="20"/>
    </w:rPr>
  </w:style>
  <w:style w:type="paragraph" w:customStyle="1" w:styleId="SubHeading1">
    <w:name w:val="SubHeading1"/>
    <w:basedOn w:val="HeadingBase"/>
    <w:rsid w:val="006A6DC6"/>
    <w:pPr>
      <w:spacing w:before="240" w:after="60"/>
    </w:pPr>
    <w:rPr>
      <w:color w:val="918585"/>
      <w:sz w:val="22"/>
    </w:rPr>
  </w:style>
  <w:style w:type="paragraph" w:customStyle="1" w:styleId="SideHeading">
    <w:name w:val="Side Heading"/>
    <w:basedOn w:val="HeadingBase"/>
    <w:rsid w:val="006A6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DC6"/>
    <w:pPr>
      <w:numPr>
        <w:numId w:val="10"/>
      </w:numPr>
    </w:pPr>
  </w:style>
  <w:style w:type="paragraph" w:styleId="PlainText">
    <w:name w:val="Plain Text"/>
    <w:basedOn w:val="Normal"/>
    <w:link w:val="PlainTextChar"/>
    <w:rsid w:val="006A6DC6"/>
    <w:rPr>
      <w:sz w:val="20"/>
    </w:rPr>
  </w:style>
  <w:style w:type="character" w:customStyle="1" w:styleId="PlainTextChar">
    <w:name w:val="Plain Text Char"/>
    <w:basedOn w:val="DefaultParagraphFont"/>
    <w:link w:val="PlainText"/>
    <w:rsid w:val="006A6DC6"/>
    <w:rPr>
      <w:rFonts w:ascii="Courier New" w:eastAsia="Times New Roman" w:hAnsi="Courier New" w:cs="Times New Roman"/>
      <w:sz w:val="20"/>
      <w:szCs w:val="20"/>
      <w:lang w:eastAsia="en-US"/>
    </w:rPr>
  </w:style>
  <w:style w:type="character" w:customStyle="1" w:styleId="MenuOption">
    <w:name w:val="Menu Option"/>
    <w:basedOn w:val="DefaultParagraphFont"/>
    <w:rsid w:val="006A6DC6"/>
    <w:rPr>
      <w:b/>
      <w:smallCaps/>
    </w:rPr>
  </w:style>
  <w:style w:type="paragraph" w:customStyle="1" w:styleId="TableListNumber">
    <w:name w:val="Table List Number"/>
    <w:basedOn w:val="ListNumber"/>
    <w:rsid w:val="006A6DC6"/>
    <w:pPr>
      <w:numPr>
        <w:numId w:val="0"/>
      </w:numPr>
    </w:pPr>
  </w:style>
  <w:style w:type="paragraph" w:styleId="TOC4">
    <w:name w:val="toc 4"/>
    <w:basedOn w:val="TOCBase"/>
    <w:next w:val="Normal"/>
    <w:semiHidden/>
    <w:rsid w:val="006A6DC6"/>
    <w:pPr>
      <w:tabs>
        <w:tab w:val="right" w:leader="dot" w:pos="9071"/>
      </w:tabs>
      <w:ind w:left="1701"/>
    </w:pPr>
  </w:style>
  <w:style w:type="paragraph" w:customStyle="1" w:styleId="ListAlpha">
    <w:name w:val="List Alpha"/>
    <w:basedOn w:val="List"/>
    <w:rsid w:val="006A6DC6"/>
    <w:pPr>
      <w:numPr>
        <w:numId w:val="8"/>
      </w:numPr>
    </w:pPr>
  </w:style>
  <w:style w:type="paragraph" w:customStyle="1" w:styleId="ListAlpha2">
    <w:name w:val="List Alpha 2"/>
    <w:basedOn w:val="List2"/>
    <w:rsid w:val="006A6DC6"/>
    <w:pPr>
      <w:numPr>
        <w:numId w:val="7"/>
      </w:numPr>
    </w:pPr>
  </w:style>
  <w:style w:type="paragraph" w:styleId="List2">
    <w:name w:val="List 2"/>
    <w:basedOn w:val="BodyText"/>
    <w:rsid w:val="006A6DC6"/>
    <w:pPr>
      <w:tabs>
        <w:tab w:val="left" w:pos="680"/>
      </w:tabs>
      <w:spacing w:before="60" w:after="60"/>
      <w:ind w:left="680" w:hanging="340"/>
    </w:pPr>
  </w:style>
  <w:style w:type="paragraph" w:styleId="List3">
    <w:name w:val="List 3"/>
    <w:basedOn w:val="BodyText"/>
    <w:rsid w:val="006A6DC6"/>
    <w:pPr>
      <w:tabs>
        <w:tab w:val="left" w:pos="1021"/>
      </w:tabs>
      <w:spacing w:before="60" w:after="60"/>
      <w:ind w:left="1020" w:hanging="340"/>
    </w:pPr>
  </w:style>
  <w:style w:type="paragraph" w:styleId="List4">
    <w:name w:val="List 4"/>
    <w:basedOn w:val="BodyText"/>
    <w:rsid w:val="006A6DC6"/>
    <w:pPr>
      <w:tabs>
        <w:tab w:val="left" w:pos="1361"/>
      </w:tabs>
      <w:spacing w:before="60" w:after="60"/>
      <w:ind w:left="1361" w:hanging="340"/>
    </w:pPr>
  </w:style>
  <w:style w:type="paragraph" w:styleId="List5">
    <w:name w:val="List 5"/>
    <w:basedOn w:val="BodyText"/>
    <w:rsid w:val="006A6DC6"/>
    <w:pPr>
      <w:tabs>
        <w:tab w:val="left" w:pos="1701"/>
      </w:tabs>
      <w:spacing w:before="60" w:after="60"/>
      <w:ind w:left="1701" w:hanging="340"/>
    </w:pPr>
  </w:style>
  <w:style w:type="paragraph" w:styleId="ListBullet3">
    <w:name w:val="List Bullet 3"/>
    <w:basedOn w:val="List3"/>
    <w:rsid w:val="006A6DC6"/>
    <w:pPr>
      <w:numPr>
        <w:numId w:val="13"/>
      </w:numPr>
      <w:tabs>
        <w:tab w:val="clear" w:pos="1021"/>
      </w:tabs>
      <w:ind w:left="1037" w:hanging="357"/>
    </w:pPr>
  </w:style>
  <w:style w:type="paragraph" w:styleId="ListBullet4">
    <w:name w:val="List Bullet 4"/>
    <w:basedOn w:val="List4"/>
    <w:rsid w:val="006A6DC6"/>
    <w:pPr>
      <w:numPr>
        <w:numId w:val="2"/>
      </w:numPr>
      <w:tabs>
        <w:tab w:val="clear" w:pos="1361"/>
      </w:tabs>
    </w:pPr>
  </w:style>
  <w:style w:type="paragraph" w:styleId="ListBullet5">
    <w:name w:val="List Bullet 5"/>
    <w:basedOn w:val="List5"/>
    <w:rsid w:val="006A6DC6"/>
    <w:pPr>
      <w:numPr>
        <w:numId w:val="3"/>
      </w:numPr>
    </w:pPr>
  </w:style>
  <w:style w:type="paragraph" w:styleId="ListContinue2">
    <w:name w:val="List Continue 2"/>
    <w:basedOn w:val="List2"/>
    <w:rsid w:val="006A6DC6"/>
    <w:pPr>
      <w:ind w:firstLine="0"/>
    </w:pPr>
  </w:style>
  <w:style w:type="paragraph" w:styleId="ListContinue3">
    <w:name w:val="List Continue 3"/>
    <w:basedOn w:val="List3"/>
    <w:rsid w:val="006A6DC6"/>
    <w:pPr>
      <w:ind w:left="1021" w:firstLine="0"/>
    </w:pPr>
  </w:style>
  <w:style w:type="paragraph" w:styleId="ListContinue4">
    <w:name w:val="List Continue 4"/>
    <w:basedOn w:val="List4"/>
    <w:rsid w:val="006A6DC6"/>
    <w:pPr>
      <w:ind w:firstLine="0"/>
    </w:pPr>
  </w:style>
  <w:style w:type="paragraph" w:styleId="ListContinue5">
    <w:name w:val="List Continue 5"/>
    <w:basedOn w:val="List5"/>
    <w:rsid w:val="006A6DC6"/>
    <w:pPr>
      <w:ind w:firstLine="0"/>
    </w:pPr>
  </w:style>
  <w:style w:type="paragraph" w:styleId="ListNumber3">
    <w:name w:val="List Number 3"/>
    <w:basedOn w:val="List3"/>
    <w:rsid w:val="006A6DC6"/>
    <w:pPr>
      <w:numPr>
        <w:numId w:val="4"/>
      </w:numPr>
    </w:pPr>
  </w:style>
  <w:style w:type="paragraph" w:styleId="ListNumber4">
    <w:name w:val="List Number 4"/>
    <w:basedOn w:val="List4"/>
    <w:rsid w:val="006A6DC6"/>
    <w:pPr>
      <w:numPr>
        <w:numId w:val="5"/>
      </w:numPr>
    </w:pPr>
  </w:style>
  <w:style w:type="paragraph" w:styleId="ListNumber5">
    <w:name w:val="List Number 5"/>
    <w:basedOn w:val="List5"/>
    <w:rsid w:val="006A6DC6"/>
    <w:pPr>
      <w:numPr>
        <w:numId w:val="6"/>
      </w:numPr>
    </w:pPr>
  </w:style>
  <w:style w:type="paragraph" w:styleId="BlockText">
    <w:name w:val="Block Text"/>
    <w:basedOn w:val="Normal"/>
    <w:rsid w:val="006A6DC6"/>
    <w:pPr>
      <w:spacing w:after="120"/>
      <w:ind w:left="1440" w:right="1440"/>
    </w:pPr>
  </w:style>
  <w:style w:type="character" w:customStyle="1" w:styleId="Subscript">
    <w:name w:val="Subscript"/>
    <w:basedOn w:val="DefaultParagraphFont"/>
    <w:rsid w:val="006A6DC6"/>
    <w:rPr>
      <w:sz w:val="16"/>
      <w:vertAlign w:val="subscript"/>
    </w:rPr>
  </w:style>
  <w:style w:type="character" w:customStyle="1" w:styleId="Superscript">
    <w:name w:val="Superscript"/>
    <w:basedOn w:val="DefaultParagraphFont"/>
    <w:rsid w:val="006A6DC6"/>
    <w:rPr>
      <w:sz w:val="16"/>
      <w:vertAlign w:val="superscript"/>
    </w:rPr>
  </w:style>
  <w:style w:type="character" w:customStyle="1" w:styleId="Symbols">
    <w:name w:val="Symbols"/>
    <w:basedOn w:val="DefaultParagraphFont"/>
    <w:rsid w:val="006A6DC6"/>
    <w:rPr>
      <w:rFonts w:ascii="Symbol" w:hAnsi="Symbol"/>
    </w:rPr>
  </w:style>
  <w:style w:type="character" w:customStyle="1" w:styleId="MenuOptions">
    <w:name w:val="Menu Options"/>
    <w:basedOn w:val="DefaultParagraphFont"/>
    <w:rsid w:val="006A6DC6"/>
    <w:rPr>
      <w:rFonts w:ascii="Arial Narrow" w:hAnsi="Arial Narrow"/>
      <w:smallCaps/>
    </w:rPr>
  </w:style>
  <w:style w:type="character" w:customStyle="1" w:styleId="Buttons">
    <w:name w:val="Buttons"/>
    <w:basedOn w:val="DefaultParagraphFont"/>
    <w:rsid w:val="006A6DC6"/>
    <w:rPr>
      <w:b/>
    </w:rPr>
  </w:style>
  <w:style w:type="character" w:customStyle="1" w:styleId="Underlined">
    <w:name w:val="Underlined"/>
    <w:basedOn w:val="DefaultParagraphFont"/>
    <w:rsid w:val="006A6DC6"/>
    <w:rPr>
      <w:u w:val="single"/>
    </w:rPr>
  </w:style>
  <w:style w:type="paragraph" w:customStyle="1" w:styleId="TableBodyTextRight">
    <w:name w:val="Table Body Text Right"/>
    <w:basedOn w:val="TableBodyText"/>
    <w:rsid w:val="006A6DC6"/>
    <w:pPr>
      <w:widowControl w:val="0"/>
      <w:autoSpaceDE w:val="0"/>
      <w:autoSpaceDN w:val="0"/>
      <w:adjustRightInd w:val="0"/>
      <w:jc w:val="right"/>
    </w:pPr>
    <w:rPr>
      <w:rFonts w:cs="Arial"/>
      <w:szCs w:val="18"/>
    </w:rPr>
  </w:style>
  <w:style w:type="paragraph" w:customStyle="1" w:styleId="CopyrightText">
    <w:name w:val="Copyright Text"/>
    <w:basedOn w:val="BodyText"/>
    <w:rsid w:val="006A6DC6"/>
    <w:rPr>
      <w:sz w:val="18"/>
    </w:rPr>
  </w:style>
  <w:style w:type="paragraph" w:customStyle="1" w:styleId="BodySmallRight">
    <w:name w:val="Body Small Right"/>
    <w:basedOn w:val="BodyTextRight"/>
    <w:rsid w:val="006A6DC6"/>
    <w:rPr>
      <w:sz w:val="18"/>
      <w:szCs w:val="18"/>
    </w:rPr>
  </w:style>
  <w:style w:type="paragraph" w:customStyle="1" w:styleId="MarginEdition">
    <w:name w:val="Margin Edition"/>
    <w:basedOn w:val="MarginNote"/>
    <w:rsid w:val="006A6DC6"/>
    <w:pPr>
      <w:spacing w:before="0" w:after="0"/>
    </w:pPr>
    <w:rPr>
      <w:rFonts w:ascii="Times New Roman" w:hAnsi="Times New Roman"/>
      <w:color w:val="999999"/>
    </w:rPr>
  </w:style>
  <w:style w:type="paragraph" w:customStyle="1" w:styleId="Spacer">
    <w:name w:val="Spacer"/>
    <w:basedOn w:val="Normal"/>
    <w:rsid w:val="006A6DC6"/>
    <w:rPr>
      <w:sz w:val="2"/>
      <w:szCs w:val="2"/>
    </w:rPr>
  </w:style>
  <w:style w:type="character" w:customStyle="1" w:styleId="Small">
    <w:name w:val="Small"/>
    <w:basedOn w:val="DefaultParagraphFont"/>
    <w:rsid w:val="006A6DC6"/>
    <w:rPr>
      <w:sz w:val="16"/>
    </w:rPr>
  </w:style>
  <w:style w:type="paragraph" w:customStyle="1" w:styleId="WideTable">
    <w:name w:val="Wide Table"/>
    <w:basedOn w:val="Normal"/>
    <w:rsid w:val="006A6DC6"/>
    <w:pPr>
      <w:ind w:left="-1418"/>
    </w:pPr>
    <w:rPr>
      <w:sz w:val="2"/>
      <w:szCs w:val="2"/>
    </w:rPr>
  </w:style>
  <w:style w:type="character" w:styleId="PageNumber">
    <w:name w:val="page number"/>
    <w:basedOn w:val="DefaultParagraphFont"/>
    <w:rsid w:val="006A6DC6"/>
  </w:style>
  <w:style w:type="paragraph" w:styleId="Quote">
    <w:name w:val="Quote"/>
    <w:basedOn w:val="Heading1"/>
    <w:link w:val="QuoteChar"/>
    <w:qFormat/>
    <w:rsid w:val="006A6DC6"/>
    <w:rPr>
      <w:b w:val="0"/>
      <w:sz w:val="72"/>
      <w:szCs w:val="72"/>
      <w:lang w:val="en-NZ"/>
    </w:rPr>
  </w:style>
  <w:style w:type="character" w:customStyle="1" w:styleId="QuoteChar">
    <w:name w:val="Quote Char"/>
    <w:basedOn w:val="DefaultParagraphFont"/>
    <w:link w:val="Quote"/>
    <w:rsid w:val="006A6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DC6"/>
    <w:pPr>
      <w:pageBreakBefore/>
    </w:pPr>
  </w:style>
  <w:style w:type="paragraph" w:customStyle="1" w:styleId="Border">
    <w:name w:val="Border"/>
    <w:basedOn w:val="Normal"/>
    <w:qFormat/>
    <w:rsid w:val="006A6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DC6"/>
    <w:rPr>
      <w:b/>
      <w:bCs/>
      <w:i/>
      <w:iCs/>
      <w:color w:val="auto"/>
    </w:rPr>
  </w:style>
  <w:style w:type="paragraph" w:styleId="IntenseQuote">
    <w:name w:val="Intense Quote"/>
    <w:basedOn w:val="Normal"/>
    <w:next w:val="Normal"/>
    <w:link w:val="IntenseQuoteChar"/>
    <w:uiPriority w:val="30"/>
    <w:qFormat/>
    <w:rsid w:val="006A6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D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DC6"/>
    <w:rPr>
      <w:smallCaps/>
      <w:color w:val="auto"/>
      <w:u w:val="single"/>
    </w:rPr>
  </w:style>
  <w:style w:type="character" w:styleId="IntenseReference">
    <w:name w:val="Intense Reference"/>
    <w:basedOn w:val="DefaultParagraphFont"/>
    <w:uiPriority w:val="32"/>
    <w:qFormat/>
    <w:rsid w:val="006A6DC6"/>
    <w:rPr>
      <w:b/>
      <w:bCs/>
      <w:smallCaps/>
      <w:color w:val="auto"/>
      <w:spacing w:val="5"/>
      <w:u w:val="single"/>
    </w:rPr>
  </w:style>
  <w:style w:type="paragraph" w:customStyle="1" w:styleId="2ColumnHeading">
    <w:name w:val="2Column Heading"/>
    <w:basedOn w:val="BodyText"/>
    <w:qFormat/>
    <w:rsid w:val="006A6DC6"/>
    <w:pPr>
      <w:spacing w:after="60"/>
      <w:ind w:left="-2268"/>
    </w:pPr>
    <w:rPr>
      <w:b/>
    </w:rPr>
  </w:style>
  <w:style w:type="paragraph" w:customStyle="1" w:styleId="Heading1TOC">
    <w:name w:val="Heading1 TOC"/>
    <w:basedOn w:val="Normal"/>
    <w:qFormat/>
    <w:rsid w:val="006A6DC6"/>
    <w:pPr>
      <w:spacing w:before="240" w:after="120"/>
    </w:pPr>
    <w:rPr>
      <w:rFonts w:ascii="Times New Roman" w:hAnsi="Times New Roman"/>
      <w:b/>
      <w:sz w:val="32"/>
    </w:rPr>
  </w:style>
  <w:style w:type="paragraph" w:customStyle="1" w:styleId="Heading2TOC">
    <w:name w:val="Heading2 TOC"/>
    <w:basedOn w:val="Normal"/>
    <w:qFormat/>
    <w:rsid w:val="006A6DC6"/>
    <w:pPr>
      <w:spacing w:before="240" w:after="60"/>
    </w:pPr>
    <w:rPr>
      <w:rFonts w:ascii="Times New Roman" w:hAnsi="Times New Roman"/>
      <w:b/>
      <w:sz w:val="28"/>
    </w:rPr>
  </w:style>
  <w:style w:type="character" w:customStyle="1" w:styleId="Underline">
    <w:name w:val="Underline"/>
    <w:basedOn w:val="DefaultParagraphFont"/>
    <w:qFormat/>
    <w:rsid w:val="006A6DC6"/>
    <w:rPr>
      <w:u w:val="single"/>
    </w:rPr>
  </w:style>
  <w:style w:type="character" w:customStyle="1" w:styleId="BoldandItalics">
    <w:name w:val="Bold and Italics"/>
    <w:qFormat/>
    <w:rsid w:val="006A6DC6"/>
    <w:rPr>
      <w:b/>
      <w:i/>
      <w:u w:val="none"/>
    </w:rPr>
  </w:style>
  <w:style w:type="paragraph" w:styleId="BalloonText">
    <w:name w:val="Balloon Text"/>
    <w:basedOn w:val="Normal"/>
    <w:link w:val="BalloonTextChar"/>
    <w:rsid w:val="006A6DC6"/>
    <w:rPr>
      <w:rFonts w:ascii="Tahoma" w:hAnsi="Tahoma" w:cs="Tahoma"/>
      <w:sz w:val="16"/>
      <w:szCs w:val="16"/>
    </w:rPr>
  </w:style>
  <w:style w:type="character" w:customStyle="1" w:styleId="BalloonTextChar">
    <w:name w:val="Balloon Text Char"/>
    <w:basedOn w:val="DefaultParagraphFont"/>
    <w:link w:val="BalloonText"/>
    <w:rsid w:val="006A6D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D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6D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DC6"/>
    <w:rPr>
      <w:b/>
      <w:color w:val="660033"/>
      <w:spacing w:val="0"/>
    </w:rPr>
  </w:style>
  <w:style w:type="paragraph" w:customStyle="1" w:styleId="Nameditemlist">
    <w:name w:val="Named item list"/>
    <w:basedOn w:val="BodyText"/>
    <w:qFormat/>
    <w:rsid w:val="006A6DC6"/>
    <w:pPr>
      <w:tabs>
        <w:tab w:val="left" w:pos="2835"/>
      </w:tabs>
      <w:ind w:left="2835" w:hanging="2835"/>
    </w:pPr>
  </w:style>
  <w:style w:type="paragraph" w:customStyle="1" w:styleId="BodyTextnopadding">
    <w:name w:val="Body Text no padding"/>
    <w:basedOn w:val="BodyText"/>
    <w:qFormat/>
    <w:rsid w:val="006A6DC6"/>
    <w:pPr>
      <w:spacing w:before="0" w:after="0"/>
    </w:pPr>
  </w:style>
  <w:style w:type="paragraph" w:customStyle="1" w:styleId="BodyTextBold">
    <w:name w:val="Body Text Bold"/>
    <w:basedOn w:val="BodyText"/>
    <w:qFormat/>
    <w:rsid w:val="006A6DC6"/>
    <w:rPr>
      <w:b/>
    </w:rPr>
  </w:style>
  <w:style w:type="character" w:styleId="Hyperlink">
    <w:name w:val="Hyperlink"/>
    <w:basedOn w:val="DefaultParagraphFont"/>
    <w:uiPriority w:val="99"/>
    <w:unhideWhenUsed/>
    <w:rsid w:val="00E06B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1250</Words>
  <Characters>7615</Characters>
  <Application>Microsoft Office Word</Application>
  <DocSecurity>0</DocSecurity>
  <Lines>331</Lines>
  <Paragraphs>227</Paragraphs>
  <ScaleCrop>false</ScaleCrop>
  <Company>Author-it Software Corporation Ltd.</Company>
  <LinksUpToDate>false</LinksUpToDate>
  <CharactersWithSpaces>8638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PMASUP244 Prepare and isolate plant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2022-09-21T04:52:00Z</dcterms:created>
  <dcterms:modified xsi:type="dcterms:W3CDTF">2022-09-21T04:53:00Z</dcterms:modified>
</cp:coreProperties>
</file>