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291" w:rsidP="00012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PMASUP244 Prepare and isolate plant</w:t>
      </w:r>
      <w:r>
        <w:fldChar w:fldCharType="end"/>
      </w:r>
    </w:p>
    <w:p w:rsidR="00012291" w:rsidP="00012291">
      <w:pPr>
        <w:pStyle w:val="Version"/>
        <w:sectPr w:rsidSect="00544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4651" w:rsidP="00544651">
      <w:pPr>
        <w:pStyle w:val="SuperHeading"/>
      </w:pPr>
      <w:r w:rsidRPr="00544651">
        <w:t>Assessment Requirements for PMASUP244 Prepare and isolate plant</w:t>
      </w:r>
    </w:p>
    <w:p w:rsidR="00000000" w:rsidRPr="00544651" w:rsidP="00544651">
      <w:pPr>
        <w:pStyle w:val="Heading1"/>
      </w:pPr>
      <w:bookmarkStart w:id="1" w:name="O_909604"/>
      <w:bookmarkEnd w:id="1"/>
      <w:r w:rsidRPr="00544651">
        <w:t>Modification History</w:t>
      </w:r>
    </w:p>
    <w:p w:rsidR="00000000" w:rsidRPr="00544651" w:rsidP="00012291">
      <w:pPr>
        <w:pStyle w:val="BodyText"/>
      </w:pPr>
      <w:r w:rsidRPr="00544651">
        <w:t>Release 1. Supersedes and is equivalent to PMASUP244A Prepare and isolate plant</w:t>
      </w:r>
    </w:p>
    <w:p w:rsidR="00000000" w:rsidRPr="00544651" w:rsidP="00544651">
      <w:pPr>
        <w:pStyle w:val="Heading1"/>
      </w:pPr>
      <w:bookmarkStart w:id="2" w:name="O_909607"/>
      <w:bookmarkEnd w:id="2"/>
      <w:r w:rsidRPr="00544651">
        <w:t>Performance Evidence</w:t>
      </w:r>
    </w:p>
    <w:p w:rsidR="00000000" w:rsidRPr="00544651" w:rsidP="00012291">
      <w:pPr>
        <w:pStyle w:val="BodyText"/>
      </w:pPr>
      <w:r w:rsidRPr="00544651">
        <w:t>Evidence required to demonstrate competence in this unit must be relevant to and satisfy the requirements of the elements and performance criteria, and include the ability to:</w:t>
      </w:r>
    </w:p>
    <w:p w:rsidR="00000000" w:rsidRPr="00544651" w:rsidP="00544651">
      <w:pPr>
        <w:pStyle w:val="ListBullet"/>
      </w:pPr>
      <w:r w:rsidRPr="00544651">
        <w:t>implement prepared isolation/de-isolation plan</w:t>
      </w:r>
    </w:p>
    <w:p w:rsidR="00000000" w:rsidRPr="00544651" w:rsidP="00544651">
      <w:pPr>
        <w:pStyle w:val="ListBullet"/>
      </w:pPr>
      <w:r w:rsidRPr="00544651">
        <w:t>read and interpret technical doc</w:t>
      </w:r>
      <w:r w:rsidRPr="00544651">
        <w:t>umentation and drawings/graphics</w:t>
      </w:r>
    </w:p>
    <w:p w:rsidR="00000000" w:rsidRPr="00544651" w:rsidP="00544651">
      <w:pPr>
        <w:pStyle w:val="ListBullet"/>
      </w:pPr>
      <w:r w:rsidRPr="00544651">
        <w:t>interpret safety data sheets (SDS)</w:t>
      </w:r>
    </w:p>
    <w:p w:rsidR="00000000" w:rsidRPr="00544651" w:rsidP="00544651">
      <w:pPr>
        <w:pStyle w:val="ListBullet"/>
      </w:pPr>
      <w:r w:rsidRPr="00544651">
        <w:t xml:space="preserve">undertake tests and interpret test results </w:t>
      </w:r>
    </w:p>
    <w:p w:rsidR="00000000" w:rsidRPr="00544651" w:rsidP="00544651">
      <w:pPr>
        <w:pStyle w:val="ListBullet"/>
      </w:pPr>
      <w:r w:rsidRPr="00544651">
        <w:t xml:space="preserve">complete required paperwork </w:t>
      </w:r>
    </w:p>
    <w:p w:rsidR="00000000" w:rsidRPr="00544651" w:rsidP="00544651">
      <w:pPr>
        <w:pStyle w:val="ListBullet"/>
      </w:pPr>
      <w:r w:rsidRPr="00544651">
        <w:t>apply procedures to control releases and remove energy and materials.</w:t>
      </w:r>
    </w:p>
    <w:p w:rsidR="00000000" w:rsidRPr="00544651" w:rsidP="00544651">
      <w:pPr>
        <w:pStyle w:val="AllowPageBreak"/>
      </w:pPr>
    </w:p>
    <w:p w:rsidR="00000000" w:rsidRPr="00544651" w:rsidP="00544651">
      <w:pPr>
        <w:pStyle w:val="Heading1"/>
      </w:pPr>
      <w:bookmarkStart w:id="3" w:name="O_909606"/>
      <w:bookmarkEnd w:id="3"/>
      <w:r w:rsidRPr="00544651">
        <w:t>Knowledge Evidence</w:t>
      </w:r>
    </w:p>
    <w:p w:rsidR="00000000" w:rsidRPr="00544651" w:rsidP="00012291">
      <w:pPr>
        <w:pStyle w:val="BodyText"/>
      </w:pPr>
      <w:r w:rsidRPr="00544651">
        <w:t xml:space="preserve">Evidence </w:t>
      </w:r>
      <w:r w:rsidRPr="00544651">
        <w:t>must be provided that demonstrates knowledge of:</w:t>
      </w:r>
    </w:p>
    <w:p w:rsidR="00000000" w:rsidRPr="00544651" w:rsidP="00544651">
      <w:pPr>
        <w:pStyle w:val="ListBullet"/>
      </w:pPr>
      <w:r w:rsidRPr="00544651">
        <w:t>isolation philosophy of organisation</w:t>
      </w:r>
    </w:p>
    <w:p w:rsidR="00000000" w:rsidRPr="00544651" w:rsidP="00544651">
      <w:pPr>
        <w:pStyle w:val="ListBullet"/>
      </w:pPr>
      <w:r w:rsidRPr="00544651">
        <w:t>isolation and preparation plan for work</w:t>
      </w:r>
    </w:p>
    <w:p w:rsidR="00000000" w:rsidRPr="00544651" w:rsidP="00544651">
      <w:pPr>
        <w:pStyle w:val="ListBullet"/>
      </w:pPr>
      <w:r w:rsidRPr="00544651">
        <w:t>plant energy sources and their methods of being de-energised and isolated</w:t>
      </w:r>
    </w:p>
    <w:p w:rsidR="00000000" w:rsidRPr="00544651" w:rsidP="00544651">
      <w:pPr>
        <w:pStyle w:val="ListBullet"/>
      </w:pPr>
      <w:r w:rsidRPr="00544651">
        <w:t>hierarchy of isolations</w:t>
      </w:r>
    </w:p>
    <w:p w:rsidR="00000000" w:rsidRPr="00544651" w:rsidP="00544651">
      <w:pPr>
        <w:pStyle w:val="ListBullet"/>
      </w:pPr>
      <w:r w:rsidRPr="00544651">
        <w:t>methods of proving isolations</w:t>
      </w:r>
    </w:p>
    <w:p w:rsidR="00000000" w:rsidRPr="00544651" w:rsidP="00544651">
      <w:pPr>
        <w:pStyle w:val="ListBullet"/>
      </w:pPr>
      <w:r w:rsidRPr="00544651">
        <w:t>m</w:t>
      </w:r>
      <w:r w:rsidRPr="00544651">
        <w:t>ethods and equipment used for purging and ventilation</w:t>
      </w:r>
    </w:p>
    <w:p w:rsidR="00000000" w:rsidRPr="00544651" w:rsidP="00544651">
      <w:pPr>
        <w:pStyle w:val="ListBullet"/>
      </w:pPr>
      <w:r w:rsidRPr="00544651">
        <w:t>decontamination methods and requirements for various materials and situations</w:t>
      </w:r>
    </w:p>
    <w:p w:rsidR="00000000" w:rsidRPr="00544651" w:rsidP="00544651">
      <w:pPr>
        <w:pStyle w:val="ListBullet"/>
      </w:pPr>
      <w:r w:rsidRPr="00544651">
        <w:t xml:space="preserve">as low as reasonably practicable (ALARP) concept </w:t>
      </w:r>
    </w:p>
    <w:p w:rsidR="00000000" w:rsidRPr="00544651" w:rsidP="00544651">
      <w:pPr>
        <w:pStyle w:val="ListBullet"/>
      </w:pPr>
      <w:r w:rsidRPr="00544651">
        <w:t>importance of appropriate rates of change for pressure and temperature for vessels and other plant</w:t>
      </w:r>
    </w:p>
    <w:p w:rsidR="00000000" w:rsidRPr="00544651" w:rsidP="00544651">
      <w:pPr>
        <w:pStyle w:val="ListBullet"/>
      </w:pPr>
      <w:r w:rsidRPr="00544651">
        <w:t>significance of time allowed for draining, purging and ventilation</w:t>
      </w:r>
    </w:p>
    <w:p w:rsidR="00000000" w:rsidRPr="00544651" w:rsidP="00544651">
      <w:pPr>
        <w:pStyle w:val="ListBullet"/>
      </w:pPr>
      <w:r w:rsidRPr="00544651">
        <w:t>fluid dynamics relating specifically to draining piping systems, including:</w:t>
      </w:r>
    </w:p>
    <w:p w:rsidR="00000000" w:rsidRPr="00544651" w:rsidP="00544651">
      <w:pPr>
        <w:pStyle w:val="ListBullet2"/>
      </w:pPr>
      <w:r w:rsidRPr="00544651">
        <w:t>the ability o</w:t>
      </w:r>
      <w:r w:rsidRPr="00544651">
        <w:t>f a liquid to ‘hang-up’ in pipework, the importance of identifying high point vents to release gas/vapours and low point drains to release liquids</w:t>
      </w:r>
    </w:p>
    <w:p w:rsidR="00000000" w:rsidRPr="00544651" w:rsidP="00544651">
      <w:pPr>
        <w:pStyle w:val="ListBullet2"/>
      </w:pPr>
      <w:r w:rsidRPr="00544651">
        <w:t>determining the amount of liquid drained from a piping section to ascertain that draining has been effective/</w:t>
      </w:r>
      <w:r w:rsidRPr="00544651">
        <w:t>prove drainage</w:t>
      </w:r>
    </w:p>
    <w:p w:rsidR="00000000" w:rsidRPr="00544651" w:rsidP="00544651">
      <w:pPr>
        <w:pStyle w:val="ListBullet2"/>
      </w:pPr>
      <w:r w:rsidRPr="00544651">
        <w:t>the potential effects (e.g. damage to tanks or vessels) of vacuum by not draining correctly (e.g. by pulling a vacuum behind a slug of liquid)</w:t>
      </w:r>
    </w:p>
    <w:p w:rsidR="00000000" w:rsidRPr="00544651" w:rsidP="00544651">
      <w:pPr>
        <w:pStyle w:val="ListBullet"/>
      </w:pPr>
      <w:r w:rsidRPr="00544651">
        <w:t>organisation procedures, including those covering:</w:t>
      </w:r>
    </w:p>
    <w:p w:rsidR="00000000" w:rsidRPr="00544651" w:rsidP="00544651">
      <w:pPr>
        <w:pStyle w:val="ListBullet2"/>
      </w:pPr>
      <w:r w:rsidRPr="00544651">
        <w:t>safety, emergency and hazard control</w:t>
      </w:r>
    </w:p>
    <w:p w:rsidR="00000000" w:rsidRPr="00544651" w:rsidP="00544651">
      <w:pPr>
        <w:pStyle w:val="ListBullet2"/>
      </w:pPr>
      <w:r w:rsidRPr="00544651">
        <w:t>work per</w:t>
      </w:r>
      <w:r w:rsidRPr="00544651">
        <w:t>mit systems</w:t>
      </w:r>
    </w:p>
    <w:p w:rsidR="00000000" w:rsidRPr="00544651" w:rsidP="00544651">
      <w:pPr>
        <w:pStyle w:val="ListBullet2"/>
      </w:pPr>
      <w:r w:rsidRPr="00544651">
        <w:t>communications</w:t>
      </w:r>
    </w:p>
    <w:p w:rsidR="00000000" w:rsidRPr="00544651" w:rsidP="00544651">
      <w:pPr>
        <w:pStyle w:val="ListBullet2"/>
      </w:pPr>
      <w:r w:rsidRPr="00544651">
        <w:t>environmental management</w:t>
      </w:r>
    </w:p>
    <w:p w:rsidR="00000000" w:rsidRPr="00544651" w:rsidP="00544651">
      <w:pPr>
        <w:pStyle w:val="ListBullet2"/>
      </w:pPr>
      <w:r w:rsidRPr="00544651">
        <w:t>standard operating procedures (SOPs).</w:t>
      </w:r>
    </w:p>
    <w:p w:rsidR="00000000" w:rsidRPr="00544651" w:rsidP="00544651">
      <w:pPr>
        <w:pStyle w:val="AllowPageBreak"/>
      </w:pPr>
    </w:p>
    <w:p w:rsidR="00000000" w:rsidRPr="00544651" w:rsidP="00544651">
      <w:pPr>
        <w:pStyle w:val="Heading1"/>
      </w:pPr>
      <w:bookmarkStart w:id="4" w:name="O_909605"/>
      <w:bookmarkEnd w:id="4"/>
      <w:r w:rsidRPr="00544651">
        <w:t>Assessment Conditions</w:t>
      </w:r>
    </w:p>
    <w:p w:rsidR="00000000" w:rsidRPr="00544651" w:rsidP="00544651">
      <w:pPr>
        <w:pStyle w:val="ListBullet"/>
      </w:pPr>
      <w:r w:rsidRPr="00544651">
        <w:t xml:space="preserve">The unit should be assessed holistically and the judgement of competence based on a holistic assessment of the evidence. </w:t>
      </w:r>
    </w:p>
    <w:p w:rsidR="00000000" w:rsidRPr="00544651" w:rsidP="00544651">
      <w:pPr>
        <w:pStyle w:val="ListBullet"/>
      </w:pPr>
      <w:r w:rsidRPr="00544651">
        <w:t>The collection of performance evidence is best done from a report and/or folio of evidence drawn from:</w:t>
      </w:r>
    </w:p>
    <w:p w:rsidR="00000000" w:rsidRPr="00544651" w:rsidP="00544651">
      <w:pPr>
        <w:pStyle w:val="ListBullet2"/>
      </w:pPr>
      <w:r w:rsidRPr="00544651">
        <w:t>a single project which provides sufficient evidence of the requirements of all the elements and performance criteria</w:t>
      </w:r>
    </w:p>
    <w:p w:rsidR="00000000" w:rsidRPr="00544651" w:rsidP="00544651">
      <w:pPr>
        <w:pStyle w:val="ListBullet2"/>
      </w:pPr>
      <w:r w:rsidRPr="00544651">
        <w:t>multiple smaller projects which tog</w:t>
      </w:r>
      <w:r w:rsidRPr="00544651">
        <w:t>ether provide sufficient evidence of the requirements of all the elements and performance criteria.</w:t>
      </w:r>
    </w:p>
    <w:p w:rsidR="00000000" w:rsidRPr="00544651" w:rsidP="00544651">
      <w:pPr>
        <w:pStyle w:val="ListBullet"/>
      </w:pPr>
      <w:r w:rsidRPr="00544651">
        <w:t>A third-party report, or similar, may be needed to testify to the work done by the individual, particularly when the project has been done as part of a pro</w:t>
      </w:r>
      <w:r w:rsidRPr="00544651">
        <w:t>ject team.</w:t>
      </w:r>
    </w:p>
    <w:p w:rsidR="00000000" w:rsidRPr="00544651" w:rsidP="00544651">
      <w:pPr>
        <w:pStyle w:val="ListBullet"/>
      </w:pPr>
      <w:r w:rsidRPr="00544651">
        <w:t>Assessment should use a real project in an operational workplace. Where this is not possible or practical, assessment must occur using a sufficiently rigorous simulated environment reflecting realistic operational workplace conditions. This must</w:t>
      </w:r>
      <w:r w:rsidRPr="00544651">
        <w:t xml:space="preserve"> cover all aspects of workplace performance, including environment, task skills, task management skills, contingency management skills and job role environment skills. </w:t>
      </w:r>
    </w:p>
    <w:p w:rsidR="00000000" w:rsidRPr="00544651" w:rsidP="00544651">
      <w:pPr>
        <w:pStyle w:val="ListBullet"/>
      </w:pPr>
      <w:r w:rsidRPr="00544651">
        <w:t>Knowledge evidence may be collected concurrently with performance evidence or through a</w:t>
      </w:r>
      <w:r w:rsidRPr="00544651">
        <w:t>n independent process, such as workbooks, written assessments or interviews (provided a record is kept).</w:t>
      </w:r>
    </w:p>
    <w:p w:rsidR="00000000" w:rsidRPr="00544651" w:rsidP="00544651">
      <w:pPr>
        <w:pStyle w:val="ListBullet"/>
      </w:pPr>
      <w:r w:rsidRPr="00544651">
        <w:t>Assessment processes and techniques must be appropriate to the language, literacy and numeracy requirements of the work being performed and the needs o</w:t>
      </w:r>
      <w:r w:rsidRPr="00544651">
        <w:t>f the candidate.</w:t>
      </w:r>
    </w:p>
    <w:p w:rsidR="00000000" w:rsidRPr="00544651" w:rsidP="00544651">
      <w:pPr>
        <w:pStyle w:val="ListBullet"/>
      </w:pPr>
      <w:r w:rsidRPr="0054465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544651" w:rsidP="00544651">
      <w:pPr>
        <w:pStyle w:val="ListBullet"/>
      </w:pPr>
      <w:r w:rsidRPr="00544651">
        <w:t>The regulatory framew</w:t>
      </w:r>
      <w:r w:rsidRPr="00544651">
        <w:t>ork will be reflected in workplace policies and procedures and is not required to be independently assessed.</w:t>
      </w:r>
    </w:p>
    <w:p w:rsidR="00000000" w:rsidRPr="00544651" w:rsidP="00544651">
      <w:pPr>
        <w:pStyle w:val="ListBullet"/>
      </w:pPr>
      <w:r w:rsidRPr="00544651">
        <w:t>Foundation skills are integral to competent performance of the unit and should not be assessed separately.</w:t>
      </w:r>
    </w:p>
    <w:p w:rsidR="00000000" w:rsidRPr="00544651" w:rsidP="00544651">
      <w:pPr>
        <w:pStyle w:val="ListBullet"/>
      </w:pPr>
      <w:r w:rsidRPr="00544651">
        <w:t>Assessors must satisfy the assessor comp</w:t>
      </w:r>
      <w:r w:rsidRPr="00544651">
        <w:t>etency requirements that are in place at the time of the assessment as set by the VET regulator.</w:t>
      </w:r>
    </w:p>
    <w:p w:rsidR="00000000" w:rsidRPr="00544651" w:rsidP="00544651">
      <w:pPr>
        <w:pStyle w:val="ListBullet"/>
      </w:pPr>
      <w:r w:rsidRPr="00544651">
        <w:t>In addition, the assessor or anyone acting in subject matter expert role in assessment must demonstrate both technical competency and currency. If the assessor</w:t>
      </w:r>
      <w:r w:rsidRPr="00544651">
        <w:t xml:space="preserve"> cannot demonstrate technical competency and currency they must assess with a subject matter expert who does meet these requirements. </w:t>
      </w:r>
    </w:p>
    <w:p w:rsidR="00000000" w:rsidRPr="00544651" w:rsidP="00544651">
      <w:pPr>
        <w:pStyle w:val="ListBullet"/>
      </w:pPr>
      <w:r w:rsidRPr="00544651">
        <w:t>Technical competence can be demonstrated through one or more of:</w:t>
      </w:r>
    </w:p>
    <w:p w:rsidR="00000000" w:rsidRPr="00544651" w:rsidP="00544651">
      <w:pPr>
        <w:pStyle w:val="ListBullet2"/>
      </w:pPr>
      <w:r w:rsidRPr="00544651">
        <w:t xml:space="preserve">relevant VET or other qualification/Statement of Attainment </w:t>
      </w:r>
    </w:p>
    <w:p w:rsidR="00000000" w:rsidRPr="00544651" w:rsidP="00544651">
      <w:pPr>
        <w:pStyle w:val="ListBullet2"/>
      </w:pPr>
      <w:r w:rsidRPr="00544651">
        <w:t xml:space="preserve">appropriate workplace experience undertaking the type of work being assessed under routine and non-routine conditions </w:t>
      </w:r>
    </w:p>
    <w:p w:rsidR="00000000" w:rsidRPr="00544651" w:rsidP="00544651">
      <w:pPr>
        <w:pStyle w:val="ListBullet2"/>
      </w:pPr>
      <w:r w:rsidRPr="00544651">
        <w:t>appropriate workplace experience supervising/evaluating the type of work bei</w:t>
      </w:r>
      <w:r w:rsidRPr="00544651">
        <w:t>ng assessed under routine and non-routine conditions</w:t>
      </w:r>
    </w:p>
    <w:p w:rsidR="00000000" w:rsidRPr="00544651" w:rsidP="00544651">
      <w:pPr>
        <w:pStyle w:val="ListBullet"/>
      </w:pPr>
      <w:r w:rsidRPr="00544651">
        <w:t>Currency can be demonstrated through one or more of:</w:t>
      </w:r>
    </w:p>
    <w:p w:rsidR="00000000" w:rsidRPr="00544651" w:rsidP="00544651">
      <w:pPr>
        <w:pStyle w:val="ListBullet2"/>
      </w:pPr>
      <w:r w:rsidRPr="00544651">
        <w:t xml:space="preserve">being currently employed undertaking the type of work being assessed </w:t>
      </w:r>
    </w:p>
    <w:p w:rsidR="00000000" w:rsidRPr="00544651" w:rsidP="00544651">
      <w:pPr>
        <w:pStyle w:val="ListBullet2"/>
      </w:pPr>
      <w:r w:rsidRPr="00544651">
        <w:t>being employed by the organisation undertaking the type of work being assessed</w:t>
      </w:r>
      <w:r w:rsidRPr="00544651">
        <w:t xml:space="preserve"> and having maintained currency in accordance with that organisation’s policies and procedures </w:t>
      </w:r>
    </w:p>
    <w:p w:rsidR="00000000" w:rsidRPr="00544651" w:rsidP="00544651">
      <w:pPr>
        <w:pStyle w:val="ListBullet2"/>
      </w:pPr>
      <w:r w:rsidRPr="00544651">
        <w:t>having consulted/had contact with an organisation undertaking the type of work being assessed within the last twelve months, the consultation/contact being rela</w:t>
      </w:r>
      <w:r w:rsidRPr="00544651">
        <w:t xml:space="preserve">ted to assessment </w:t>
      </w:r>
    </w:p>
    <w:p w:rsidR="00000000" w:rsidRPr="00544651" w:rsidP="00544651">
      <w:pPr>
        <w:pStyle w:val="ListBullet2"/>
      </w:pPr>
      <w:r w:rsidRPr="00544651">
        <w:t xml:space="preserve">conducting on-the-job training/assessments of the type of work being assessed </w:t>
      </w:r>
    </w:p>
    <w:p w:rsidR="00000000" w:rsidRPr="00544651" w:rsidP="00544651">
      <w:pPr>
        <w:pStyle w:val="ListBullet2"/>
      </w:pPr>
      <w:r w:rsidRPr="00544651">
        <w:t>being an active member of a relevant professional body and participating in activities relevant to the assessment of this type of work</w:t>
      </w:r>
    </w:p>
    <w:p w:rsidR="00000000" w:rsidRPr="00544651" w:rsidP="00544651">
      <w:pPr>
        <w:pStyle w:val="AllowPageBreak"/>
      </w:pPr>
    </w:p>
    <w:p w:rsidR="00000000" w:rsidRPr="00544651" w:rsidP="00544651">
      <w:pPr>
        <w:pStyle w:val="Heading1"/>
      </w:pPr>
      <w:bookmarkStart w:id="5" w:name="O_909603"/>
      <w:bookmarkEnd w:id="5"/>
      <w:r w:rsidRPr="00544651">
        <w:t>Links</w:t>
      </w:r>
    </w:p>
    <w:p w:rsidR="00000000" w:rsidRPr="00544651" w:rsidP="00012291">
      <w:pPr>
        <w:pStyle w:val="BodyText"/>
      </w:pPr>
      <w:r w:rsidRPr="005446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C4C3B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44651" w:rsidP="00544651"/>
    <w:sectPr w:rsidSect="005446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51" w:rsidRPr="00012291" w:rsidP="00012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91" w:rsidP="00544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291" w:rsidP="00544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2291" w:rsidP="00544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651" w:rsidRPr="00012291" w:rsidP="000122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91" w:rsidRPr="002D2AF8" w:rsidP="00544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PMASUP244 Prepare and isolate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012291" w:rsidP="00544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FC2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5831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5C91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651"/>
  </w:style>
  <w:style w:type="character" w:customStyle="1" w:styleId="Heading1Char">
    <w:name w:val="Heading 1 Char"/>
    <w:basedOn w:val="DefaultParagraphFont"/>
    <w:link w:val="Heading1"/>
    <w:rsid w:val="00544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6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46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46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4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4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4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6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46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4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4651"/>
    <w:rPr>
      <w:b/>
      <w:spacing w:val="0"/>
    </w:rPr>
  </w:style>
  <w:style w:type="paragraph" w:customStyle="1" w:styleId="SuperTitle">
    <w:name w:val="SuperTitle"/>
    <w:basedOn w:val="Title"/>
    <w:rsid w:val="00544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4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6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4651"/>
    <w:rPr>
      <w:i/>
    </w:rPr>
  </w:style>
  <w:style w:type="paragraph" w:styleId="Caption">
    <w:name w:val="caption"/>
    <w:basedOn w:val="BodyText"/>
    <w:next w:val="Normal"/>
    <w:qFormat/>
    <w:rsid w:val="00544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651"/>
  </w:style>
  <w:style w:type="paragraph" w:styleId="TableofFigures">
    <w:name w:val="table of figures"/>
    <w:basedOn w:val="Normal"/>
    <w:next w:val="Normal"/>
    <w:semiHidden/>
    <w:rsid w:val="00544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6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4651"/>
    <w:rPr>
      <w:rFonts w:ascii="Wingdings" w:hAnsi="Wingdings"/>
    </w:rPr>
  </w:style>
  <w:style w:type="paragraph" w:customStyle="1" w:styleId="TableHeading">
    <w:name w:val="Table Heading"/>
    <w:basedOn w:val="HeadingBase"/>
    <w:rsid w:val="00544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4651"/>
    <w:rPr>
      <w:color w:val="0033CC"/>
      <w:u w:val="none"/>
    </w:rPr>
  </w:style>
  <w:style w:type="paragraph" w:customStyle="1" w:styleId="BodyTextRight">
    <w:name w:val="Body Text Right"/>
    <w:basedOn w:val="BodyText"/>
    <w:rsid w:val="00544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6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651"/>
    <w:rPr>
      <w:sz w:val="32"/>
    </w:rPr>
  </w:style>
  <w:style w:type="paragraph" w:customStyle="1" w:styleId="HeadingProcedure">
    <w:name w:val="Heading Procedure"/>
    <w:basedOn w:val="HeadingBase"/>
    <w:next w:val="Normal"/>
    <w:rsid w:val="00544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651"/>
    <w:pPr>
      <w:spacing w:before="60" w:after="60"/>
    </w:pPr>
  </w:style>
  <w:style w:type="paragraph" w:styleId="ListContinue">
    <w:name w:val="List Continue"/>
    <w:basedOn w:val="List"/>
    <w:rsid w:val="00544651"/>
    <w:pPr>
      <w:ind w:firstLine="0"/>
    </w:pPr>
  </w:style>
  <w:style w:type="paragraph" w:customStyle="1" w:styleId="ListNote">
    <w:name w:val="List Note"/>
    <w:basedOn w:val="List"/>
    <w:rsid w:val="00544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651"/>
    <w:rPr>
      <w:rFonts w:ascii="Courier New" w:hAnsi="Courier New"/>
    </w:rPr>
  </w:style>
  <w:style w:type="paragraph" w:customStyle="1" w:styleId="NoteBullet">
    <w:name w:val="Note Bullet"/>
    <w:basedOn w:val="Note"/>
    <w:rsid w:val="00544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6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4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651"/>
    <w:rPr>
      <w:b/>
      <w:smallCaps/>
    </w:rPr>
  </w:style>
  <w:style w:type="paragraph" w:customStyle="1" w:styleId="TableListNumber">
    <w:name w:val="Table List Number"/>
    <w:basedOn w:val="ListNumber"/>
    <w:rsid w:val="00544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651"/>
    <w:pPr>
      <w:numPr>
        <w:numId w:val="9"/>
      </w:numPr>
    </w:pPr>
  </w:style>
  <w:style w:type="paragraph" w:customStyle="1" w:styleId="ListAlpha2">
    <w:name w:val="List Alpha 2"/>
    <w:basedOn w:val="List2"/>
    <w:rsid w:val="00544651"/>
    <w:pPr>
      <w:numPr>
        <w:numId w:val="8"/>
      </w:numPr>
    </w:pPr>
  </w:style>
  <w:style w:type="paragraph" w:styleId="List2">
    <w:name w:val="List 2"/>
    <w:basedOn w:val="BodyText"/>
    <w:rsid w:val="00544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6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6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4651"/>
    <w:pPr>
      <w:numPr>
        <w:numId w:val="4"/>
      </w:numPr>
    </w:pPr>
  </w:style>
  <w:style w:type="paragraph" w:styleId="ListContinue2">
    <w:name w:val="List Continue 2"/>
    <w:basedOn w:val="List2"/>
    <w:rsid w:val="00544651"/>
    <w:pPr>
      <w:ind w:firstLine="0"/>
    </w:pPr>
  </w:style>
  <w:style w:type="paragraph" w:styleId="ListContinue3">
    <w:name w:val="List Continue 3"/>
    <w:basedOn w:val="List3"/>
    <w:rsid w:val="00544651"/>
    <w:pPr>
      <w:ind w:left="1021" w:firstLine="0"/>
    </w:pPr>
  </w:style>
  <w:style w:type="paragraph" w:styleId="ListContinue4">
    <w:name w:val="List Continue 4"/>
    <w:basedOn w:val="List4"/>
    <w:rsid w:val="00544651"/>
    <w:pPr>
      <w:ind w:firstLine="0"/>
    </w:pPr>
  </w:style>
  <w:style w:type="paragraph" w:styleId="ListContinue5">
    <w:name w:val="List Continue 5"/>
    <w:basedOn w:val="List5"/>
    <w:rsid w:val="00544651"/>
    <w:pPr>
      <w:ind w:firstLine="0"/>
    </w:pPr>
  </w:style>
  <w:style w:type="paragraph" w:styleId="ListNumber3">
    <w:name w:val="List Number 3"/>
    <w:basedOn w:val="List3"/>
    <w:rsid w:val="00544651"/>
    <w:pPr>
      <w:numPr>
        <w:numId w:val="5"/>
      </w:numPr>
    </w:pPr>
  </w:style>
  <w:style w:type="paragraph" w:styleId="ListNumber4">
    <w:name w:val="List Number 4"/>
    <w:basedOn w:val="List4"/>
    <w:rsid w:val="00544651"/>
    <w:pPr>
      <w:numPr>
        <w:numId w:val="6"/>
      </w:numPr>
    </w:pPr>
  </w:style>
  <w:style w:type="paragraph" w:styleId="ListNumber5">
    <w:name w:val="List Number 5"/>
    <w:basedOn w:val="List5"/>
    <w:rsid w:val="00544651"/>
    <w:pPr>
      <w:numPr>
        <w:numId w:val="7"/>
      </w:numPr>
    </w:pPr>
  </w:style>
  <w:style w:type="paragraph" w:styleId="BlockText">
    <w:name w:val="Block Text"/>
    <w:basedOn w:val="Normal"/>
    <w:rsid w:val="00544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651"/>
    <w:rPr>
      <w:sz w:val="16"/>
      <w:vertAlign w:val="superscript"/>
    </w:rPr>
  </w:style>
  <w:style w:type="character" w:customStyle="1" w:styleId="Symbols">
    <w:name w:val="Symbols"/>
    <w:basedOn w:val="DefaultParagraphFont"/>
    <w:rsid w:val="00544651"/>
    <w:rPr>
      <w:rFonts w:ascii="Symbol" w:hAnsi="Symbol"/>
    </w:rPr>
  </w:style>
  <w:style w:type="character" w:customStyle="1" w:styleId="MenuOptions">
    <w:name w:val="Menu Options"/>
    <w:basedOn w:val="DefaultParagraphFont"/>
    <w:rsid w:val="00544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651"/>
    <w:rPr>
      <w:b/>
    </w:rPr>
  </w:style>
  <w:style w:type="character" w:customStyle="1" w:styleId="Underlined">
    <w:name w:val="Underlined"/>
    <w:basedOn w:val="DefaultParagraphFont"/>
    <w:rsid w:val="00544651"/>
    <w:rPr>
      <w:u w:val="single"/>
    </w:rPr>
  </w:style>
  <w:style w:type="paragraph" w:customStyle="1" w:styleId="TableBodyTextRight">
    <w:name w:val="Table Body Text Right"/>
    <w:basedOn w:val="TableBodyText"/>
    <w:rsid w:val="00544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651"/>
    <w:rPr>
      <w:sz w:val="18"/>
    </w:rPr>
  </w:style>
  <w:style w:type="paragraph" w:customStyle="1" w:styleId="BodySmallRight">
    <w:name w:val="Body Small Right"/>
    <w:basedOn w:val="BodyTextRight"/>
    <w:rsid w:val="00544651"/>
    <w:rPr>
      <w:sz w:val="18"/>
      <w:szCs w:val="18"/>
    </w:rPr>
  </w:style>
  <w:style w:type="paragraph" w:customStyle="1" w:styleId="MarginEdition">
    <w:name w:val="Margin Edition"/>
    <w:basedOn w:val="MarginNote"/>
    <w:rsid w:val="00544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651"/>
    <w:rPr>
      <w:sz w:val="2"/>
      <w:szCs w:val="2"/>
    </w:rPr>
  </w:style>
  <w:style w:type="character" w:customStyle="1" w:styleId="Small">
    <w:name w:val="Small"/>
    <w:basedOn w:val="DefaultParagraphFont"/>
    <w:rsid w:val="00544651"/>
    <w:rPr>
      <w:sz w:val="16"/>
    </w:rPr>
  </w:style>
  <w:style w:type="paragraph" w:customStyle="1" w:styleId="WideTable">
    <w:name w:val="Wide Table"/>
    <w:basedOn w:val="Normal"/>
    <w:rsid w:val="00544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651"/>
  </w:style>
  <w:style w:type="paragraph" w:styleId="Quote">
    <w:name w:val="Quote"/>
    <w:basedOn w:val="Heading1"/>
    <w:link w:val="QuoteChar"/>
    <w:qFormat/>
    <w:rsid w:val="00544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651"/>
    <w:pPr>
      <w:pageBreakBefore/>
    </w:pPr>
  </w:style>
  <w:style w:type="paragraph" w:customStyle="1" w:styleId="Border">
    <w:name w:val="Border"/>
    <w:basedOn w:val="Normal"/>
    <w:qFormat/>
    <w:rsid w:val="00544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651"/>
    <w:rPr>
      <w:u w:val="single"/>
    </w:rPr>
  </w:style>
  <w:style w:type="character" w:customStyle="1" w:styleId="BoldandItalics">
    <w:name w:val="Bold and Italics"/>
    <w:qFormat/>
    <w:rsid w:val="00544651"/>
    <w:rPr>
      <w:b/>
      <w:i/>
      <w:u w:val="none"/>
    </w:rPr>
  </w:style>
  <w:style w:type="paragraph" w:styleId="BalloonText">
    <w:name w:val="Balloon Text"/>
    <w:basedOn w:val="Normal"/>
    <w:link w:val="BalloonTextChar"/>
    <w:rsid w:val="00544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651"/>
    <w:pPr>
      <w:spacing w:before="0" w:after="0"/>
    </w:pPr>
  </w:style>
  <w:style w:type="paragraph" w:customStyle="1" w:styleId="BodyTextBold">
    <w:name w:val="Body Text Bold"/>
    <w:basedOn w:val="BodyText"/>
    <w:qFormat/>
    <w:rsid w:val="00544651"/>
    <w:rPr>
      <w:b/>
    </w:rPr>
  </w:style>
  <w:style w:type="character" w:styleId="Hyperlink">
    <w:name w:val="Hyperlink"/>
    <w:basedOn w:val="DefaultParagraphFont"/>
    <w:uiPriority w:val="99"/>
    <w:unhideWhenUsed/>
    <w:rsid w:val="000122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4971</Characters>
  <Application>Microsoft Office Word</Application>
  <DocSecurity>0</DocSecurity>
  <Lines>103</Lines>
  <Paragraphs>72</Paragraphs>
  <ScaleCrop>false</ScaleCrop>
  <Company>Author-it Software Corporation Ltd.</Company>
  <LinksUpToDate>false</LinksUpToDate>
  <CharactersWithSpaces>5690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PMASUP244 Prepare and isolate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2022-09-21T04:53:00Z</dcterms:created>
  <dcterms:modified xsi:type="dcterms:W3CDTF">2022-09-21T04:53:00Z</dcterms:modified>
</cp:coreProperties>
</file>