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86956" w:rsidP="00286956">
      <w:pPr>
        <w:pStyle w:val="Title"/>
      </w:pPr>
      <w:r>
        <w:fldChar w:fldCharType="begin"/>
      </w:r>
      <w:r>
        <w:instrText xml:space="preserve"> TITLE   \* MERGEFORMAT </w:instrText>
      </w:r>
      <w:r>
        <w:fldChar w:fldCharType="separate"/>
      </w:r>
      <w:r>
        <w:t>PMASUP241 Maintain pipeline easements</w:t>
      </w:r>
      <w:r>
        <w:fldChar w:fldCharType="end"/>
      </w:r>
    </w:p>
    <w:p w:rsidR="00286956" w:rsidP="00286956">
      <w:pPr>
        <w:pStyle w:val="Version"/>
        <w:sectPr w:rsidSect="00C1707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1707A" w:rsidP="00C1707A">
      <w:pPr>
        <w:pStyle w:val="SuperHeading"/>
      </w:pPr>
      <w:r w:rsidRPr="00C1707A">
        <w:t>PMASUP241 Maintain pipeline easements</w:t>
      </w:r>
    </w:p>
    <w:p w:rsidR="00000000" w:rsidRPr="00C1707A" w:rsidP="00C1707A">
      <w:pPr>
        <w:pStyle w:val="Heading1"/>
      </w:pPr>
      <w:bookmarkStart w:id="1" w:name="O_909551"/>
      <w:bookmarkEnd w:id="1"/>
      <w:r w:rsidRPr="00C1707A">
        <w:t>Modification History</w:t>
      </w:r>
    </w:p>
    <w:p w:rsidR="00000000" w:rsidRPr="00C1707A" w:rsidP="00286956">
      <w:pPr>
        <w:pStyle w:val="BodyText"/>
      </w:pPr>
      <w:r w:rsidRPr="00C1707A">
        <w:t>Release 1. Supersedes and is equivalent to PMASUP241B Maintain pipeline easements</w:t>
      </w:r>
    </w:p>
    <w:p w:rsidR="00000000" w:rsidRPr="00C1707A" w:rsidP="00C1707A">
      <w:pPr>
        <w:pStyle w:val="Heading1"/>
      </w:pPr>
      <w:bookmarkStart w:id="2" w:name="O_909559"/>
      <w:bookmarkEnd w:id="2"/>
      <w:r w:rsidRPr="00C1707A">
        <w:t>Application</w:t>
      </w:r>
    </w:p>
    <w:p w:rsidR="00000000" w:rsidRPr="00C1707A" w:rsidP="00286956">
      <w:pPr>
        <w:pStyle w:val="BodyText"/>
      </w:pPr>
      <w:r w:rsidRPr="00C1707A">
        <w:t>This unit of competency covers the skills and knowledge required to maintain and ensure pipeline integrity.</w:t>
      </w:r>
    </w:p>
    <w:p w:rsidR="00000000" w:rsidRPr="00C1707A" w:rsidP="00286956">
      <w:pPr>
        <w:pStyle w:val="BodyText"/>
      </w:pPr>
      <w:r w:rsidRPr="00C1707A">
        <w:t>This unit of co</w:t>
      </w:r>
      <w:r w:rsidRPr="00C1707A">
        <w:t>mpetency applies to operators who are required to conduct ground and/or aerial patrols; monitor and report on signage, gate or other difficulties; identify and advise the organisation of any pipeline operational problems; and facilitate access and provisio</w:t>
      </w:r>
      <w:r w:rsidRPr="00C1707A">
        <w:t>n of resources to deal with pipeline incidents.</w:t>
      </w:r>
    </w:p>
    <w:p w:rsidR="00000000" w:rsidRPr="00C1707A" w:rsidP="00286956">
      <w:pPr>
        <w:pStyle w:val="BodyText"/>
      </w:pPr>
      <w:r w:rsidRPr="00C1707A">
        <w:t>This unit of competency applies to an individual working alone or as part of a team or group and working in liaison with other shift team members and the control room operator, as appropriate.</w:t>
      </w:r>
    </w:p>
    <w:p w:rsidR="00000000" w:rsidRPr="00C1707A" w:rsidP="00286956">
      <w:pPr>
        <w:pStyle w:val="BodyText"/>
      </w:pPr>
      <w:r w:rsidRPr="00C1707A">
        <w:t>No licensing,</w:t>
      </w:r>
      <w:r w:rsidRPr="00C1707A">
        <w:t xml:space="preserve"> legislative or certification requirements apply to this unit at the time of publication.</w:t>
      </w:r>
    </w:p>
    <w:p w:rsidR="00000000" w:rsidRPr="00C1707A" w:rsidP="00C1707A">
      <w:pPr>
        <w:pStyle w:val="Heading1"/>
      </w:pPr>
      <w:bookmarkStart w:id="3" w:name="O_909558"/>
      <w:bookmarkEnd w:id="3"/>
      <w:r w:rsidRPr="00C1707A">
        <w:t>Pre-requisite Unit</w:t>
      </w:r>
    </w:p>
    <w:p w:rsidR="00000000" w:rsidRPr="00C1707A" w:rsidP="00286956">
      <w:pPr>
        <w:pStyle w:val="BodyText"/>
      </w:pPr>
      <w:r w:rsidRPr="00C1707A">
        <w:t>Nil</w:t>
      </w:r>
    </w:p>
    <w:p w:rsidR="00000000" w:rsidRPr="00C1707A" w:rsidP="00C1707A">
      <w:pPr>
        <w:pStyle w:val="Heading1"/>
      </w:pPr>
      <w:bookmarkStart w:id="4" w:name="O_909557"/>
      <w:bookmarkEnd w:id="4"/>
      <w:r w:rsidRPr="00C1707A">
        <w:t>Competency Field</w:t>
      </w:r>
    </w:p>
    <w:p w:rsidR="00000000" w:rsidRPr="00C1707A" w:rsidP="00286956">
      <w:pPr>
        <w:pStyle w:val="BodyText"/>
      </w:pPr>
      <w:r w:rsidRPr="00C1707A">
        <w:t>Support</w:t>
      </w:r>
    </w:p>
    <w:p w:rsidR="00000000" w:rsidRPr="00C1707A" w:rsidP="00C1707A">
      <w:pPr>
        <w:pStyle w:val="Heading1"/>
      </w:pPr>
      <w:bookmarkStart w:id="5" w:name="O_909556"/>
      <w:bookmarkEnd w:id="5"/>
      <w:r w:rsidRPr="00C1707A">
        <w:t>Unit Sector</w:t>
      </w:r>
    </w:p>
    <w:p w:rsidR="00000000" w:rsidRPr="00C1707A" w:rsidP="00C1707A">
      <w:pPr>
        <w:pStyle w:val="Heading1"/>
      </w:pPr>
      <w:bookmarkStart w:id="6" w:name="O_909555"/>
      <w:bookmarkEnd w:id="6"/>
      <w:r w:rsidRPr="00C1707A">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C1707A">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C1707A">
            <w:pPr>
              <w:pStyle w:val="BodyText"/>
              <w:rPr>
                <w:lang w:val="en-NZ"/>
              </w:rPr>
            </w:pPr>
            <w:r w:rsidRPr="00C1707A">
              <w:t>Eleme</w:t>
            </w:r>
            <w:r w:rsidRPr="00C1707A">
              <w:t>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C1707A">
            <w:pPr>
              <w:pStyle w:val="BodyText"/>
              <w:rPr>
                <w:lang w:val="en-NZ"/>
              </w:rPr>
            </w:pPr>
            <w:r w:rsidRPr="00C1707A">
              <w:t>Performance criteria describe the performance needed to demonstrate achievement of the element.</w:t>
            </w:r>
          </w:p>
        </w:tc>
      </w:tr>
      <w:tr w:rsidTr="00C170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1707A" w:rsidP="00C1707A">
            <w:pPr>
              <w:pStyle w:val="BodyText"/>
            </w:pPr>
            <w:r w:rsidRPr="00C1707A">
              <w:t>1</w:t>
            </w:r>
          </w:p>
        </w:tc>
        <w:tc>
          <w:tcPr>
            <w:tcW w:w="1962" w:type="dxa"/>
            <w:vMerge w:val="restart"/>
            <w:tcBorders>
              <w:top w:val="nil"/>
              <w:left w:val="nil"/>
              <w:bottom w:val="nil"/>
              <w:right w:val="nil"/>
            </w:tcBorders>
            <w:tcMar>
              <w:top w:w="0" w:type="dxa"/>
              <w:left w:w="62" w:type="dxa"/>
              <w:bottom w:w="0" w:type="dxa"/>
              <w:right w:w="62" w:type="dxa"/>
            </w:tcMar>
          </w:tcPr>
          <w:p w:rsidR="00000000" w:rsidP="00C1707A">
            <w:pPr>
              <w:pStyle w:val="BodyText"/>
              <w:rPr>
                <w:lang w:val="en-NZ"/>
              </w:rPr>
            </w:pPr>
            <w:r w:rsidRPr="00C1707A">
              <w:rPr>
                <w:rStyle w:val="SpecialBold"/>
              </w:rPr>
              <w:t xml:space="preserve">Plan and prepare maintenance </w:t>
            </w:r>
            <w:r w:rsidRPr="00C1707A">
              <w:rPr>
                <w:rStyle w:val="SpecialBold"/>
              </w:rPr>
              <w:t>activity</w:t>
            </w:r>
          </w:p>
        </w:tc>
        <w:tc>
          <w:tcPr>
            <w:tcW w:w="770" w:type="dxa"/>
            <w:tcBorders>
              <w:top w:val="nil"/>
              <w:left w:val="nil"/>
              <w:bottom w:val="nil"/>
              <w:right w:val="nil"/>
            </w:tcBorders>
            <w:tcMar>
              <w:top w:w="0" w:type="dxa"/>
              <w:left w:w="62" w:type="dxa"/>
              <w:bottom w:w="0" w:type="dxa"/>
              <w:right w:w="62" w:type="dxa"/>
            </w:tcMar>
          </w:tcPr>
          <w:p w:rsidR="00000000" w:rsidP="00C1707A">
            <w:pPr>
              <w:pStyle w:val="BodyText"/>
              <w:rPr>
                <w:lang w:val="en-NZ"/>
              </w:rPr>
            </w:pPr>
            <w:r w:rsidRPr="00C1707A">
              <w:t>1.1</w:t>
            </w:r>
          </w:p>
        </w:tc>
        <w:tc>
          <w:tcPr>
            <w:tcW w:w="5610" w:type="dxa"/>
            <w:tcBorders>
              <w:top w:val="nil"/>
              <w:left w:val="nil"/>
              <w:bottom w:val="nil"/>
              <w:right w:val="nil"/>
            </w:tcBorders>
            <w:tcMar>
              <w:top w:w="0" w:type="dxa"/>
              <w:left w:w="62" w:type="dxa"/>
              <w:bottom w:w="0" w:type="dxa"/>
              <w:right w:w="62" w:type="dxa"/>
            </w:tcMar>
          </w:tcPr>
          <w:p w:rsidR="00000000" w:rsidP="00C1707A">
            <w:pPr>
              <w:pStyle w:val="BodyText"/>
              <w:rPr>
                <w:lang w:val="en-NZ"/>
              </w:rPr>
            </w:pPr>
            <w:r w:rsidRPr="00C1707A">
              <w:t>Interpret topographical and geographical maps to determine the selection of access to pipeline route</w:t>
            </w:r>
          </w:p>
        </w:tc>
      </w:tr>
      <w:tr w:rsidTr="00C170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1707A">
            <w:pPr>
              <w:pStyle w:val="BodyText"/>
              <w:rPr>
                <w:lang w:val="en-NZ"/>
              </w:rPr>
            </w:pPr>
            <w:r w:rsidRPr="00C1707A">
              <w:t>1.2</w:t>
            </w:r>
          </w:p>
        </w:tc>
        <w:tc>
          <w:tcPr>
            <w:tcW w:w="5610" w:type="dxa"/>
            <w:tcBorders>
              <w:top w:val="nil"/>
              <w:left w:val="nil"/>
              <w:bottom w:val="nil"/>
              <w:right w:val="nil"/>
            </w:tcBorders>
            <w:tcMar>
              <w:top w:w="0" w:type="dxa"/>
              <w:left w:w="62" w:type="dxa"/>
              <w:bottom w:w="0" w:type="dxa"/>
              <w:right w:w="62" w:type="dxa"/>
            </w:tcMar>
          </w:tcPr>
          <w:p w:rsidR="00000000" w:rsidP="00C1707A">
            <w:pPr>
              <w:pStyle w:val="BodyText"/>
              <w:rPr>
                <w:lang w:val="en-NZ"/>
              </w:rPr>
            </w:pPr>
            <w:r w:rsidRPr="00C1707A">
              <w:t>Select and operate equipment appropriate to the maintenance task in accordance with procedures</w:t>
            </w:r>
          </w:p>
        </w:tc>
      </w:tr>
      <w:tr w:rsidTr="00C170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1707A">
            <w:pPr>
              <w:pStyle w:val="BodyText"/>
              <w:rPr>
                <w:lang w:val="en-NZ"/>
              </w:rPr>
            </w:pPr>
            <w:r w:rsidRPr="00C1707A">
              <w:t>1.3</w:t>
            </w:r>
          </w:p>
        </w:tc>
        <w:tc>
          <w:tcPr>
            <w:tcW w:w="5610" w:type="dxa"/>
            <w:tcBorders>
              <w:top w:val="nil"/>
              <w:left w:val="nil"/>
              <w:bottom w:val="nil"/>
              <w:right w:val="nil"/>
            </w:tcBorders>
            <w:tcMar>
              <w:top w:w="0" w:type="dxa"/>
              <w:left w:w="62" w:type="dxa"/>
              <w:bottom w:w="0" w:type="dxa"/>
              <w:right w:w="62" w:type="dxa"/>
            </w:tcMar>
          </w:tcPr>
          <w:p w:rsidR="00000000" w:rsidP="00C1707A">
            <w:pPr>
              <w:pStyle w:val="BodyText"/>
              <w:rPr>
                <w:lang w:val="en-NZ"/>
              </w:rPr>
            </w:pPr>
            <w:r w:rsidRPr="00C1707A">
              <w:t>Inspect and assess easement to determine the required maintenance activities</w:t>
            </w:r>
          </w:p>
        </w:tc>
      </w:tr>
      <w:tr w:rsidTr="00C170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1707A">
            <w:pPr>
              <w:pStyle w:val="BodyText"/>
              <w:rPr>
                <w:lang w:val="en-NZ"/>
              </w:rPr>
            </w:pPr>
            <w:r w:rsidRPr="00C1707A">
              <w:t>1.4</w:t>
            </w:r>
          </w:p>
        </w:tc>
        <w:tc>
          <w:tcPr>
            <w:tcW w:w="5610" w:type="dxa"/>
            <w:tcBorders>
              <w:top w:val="nil"/>
              <w:left w:val="nil"/>
              <w:bottom w:val="nil"/>
              <w:right w:val="nil"/>
            </w:tcBorders>
            <w:tcMar>
              <w:top w:w="0" w:type="dxa"/>
              <w:left w:w="62" w:type="dxa"/>
              <w:bottom w:w="0" w:type="dxa"/>
              <w:right w:w="62" w:type="dxa"/>
            </w:tcMar>
          </w:tcPr>
          <w:p w:rsidR="00000000" w:rsidP="00C1707A">
            <w:pPr>
              <w:pStyle w:val="BodyText"/>
              <w:rPr>
                <w:lang w:val="en-NZ"/>
              </w:rPr>
            </w:pPr>
            <w:r w:rsidRPr="00C1707A">
              <w:t>Interpret assessment results and take action</w:t>
            </w:r>
          </w:p>
        </w:tc>
      </w:tr>
      <w:tr w:rsidTr="00C1707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1707A">
            <w:pPr>
              <w:pStyle w:val="BodyText"/>
              <w:rPr>
                <w:lang w:val="en-NZ"/>
              </w:rPr>
            </w:pPr>
          </w:p>
        </w:tc>
      </w:tr>
      <w:tr w:rsidTr="00C170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1707A" w:rsidP="00C1707A">
            <w:pPr>
              <w:pStyle w:val="BodyText"/>
            </w:pPr>
            <w:r w:rsidRPr="00C1707A">
              <w:t>2</w:t>
            </w:r>
          </w:p>
        </w:tc>
        <w:tc>
          <w:tcPr>
            <w:tcW w:w="1962" w:type="dxa"/>
            <w:vMerge w:val="restart"/>
            <w:tcBorders>
              <w:top w:val="nil"/>
              <w:left w:val="nil"/>
              <w:bottom w:val="nil"/>
              <w:right w:val="nil"/>
            </w:tcBorders>
            <w:tcMar>
              <w:top w:w="0" w:type="dxa"/>
              <w:left w:w="62" w:type="dxa"/>
              <w:bottom w:w="0" w:type="dxa"/>
              <w:right w:w="62" w:type="dxa"/>
            </w:tcMar>
          </w:tcPr>
          <w:p w:rsidR="00000000" w:rsidP="00C1707A">
            <w:pPr>
              <w:pStyle w:val="BodyText"/>
              <w:rPr>
                <w:lang w:val="en-NZ"/>
              </w:rPr>
            </w:pPr>
            <w:r w:rsidRPr="00C1707A">
              <w:rPr>
                <w:rStyle w:val="SpecialBold"/>
              </w:rPr>
              <w:t>Maintain pipeline easement and surrounding environment</w:t>
            </w:r>
          </w:p>
        </w:tc>
        <w:tc>
          <w:tcPr>
            <w:tcW w:w="770" w:type="dxa"/>
            <w:tcBorders>
              <w:top w:val="nil"/>
              <w:left w:val="nil"/>
              <w:bottom w:val="nil"/>
              <w:right w:val="nil"/>
            </w:tcBorders>
            <w:tcMar>
              <w:top w:w="0" w:type="dxa"/>
              <w:left w:w="62" w:type="dxa"/>
              <w:bottom w:w="0" w:type="dxa"/>
              <w:right w:w="62" w:type="dxa"/>
            </w:tcMar>
          </w:tcPr>
          <w:p w:rsidR="00000000" w:rsidP="00C1707A">
            <w:pPr>
              <w:pStyle w:val="BodyText"/>
              <w:rPr>
                <w:lang w:val="en-NZ"/>
              </w:rPr>
            </w:pPr>
            <w:r w:rsidRPr="00C1707A">
              <w:t>2.1</w:t>
            </w:r>
          </w:p>
        </w:tc>
        <w:tc>
          <w:tcPr>
            <w:tcW w:w="5610" w:type="dxa"/>
            <w:tcBorders>
              <w:top w:val="nil"/>
              <w:left w:val="nil"/>
              <w:bottom w:val="nil"/>
              <w:right w:val="nil"/>
            </w:tcBorders>
            <w:tcMar>
              <w:top w:w="0" w:type="dxa"/>
              <w:left w:w="62" w:type="dxa"/>
              <w:bottom w:w="0" w:type="dxa"/>
              <w:right w:w="62" w:type="dxa"/>
            </w:tcMar>
          </w:tcPr>
          <w:p w:rsidR="00000000" w:rsidP="00C1707A">
            <w:pPr>
              <w:pStyle w:val="BodyText"/>
              <w:rPr>
                <w:lang w:val="en-NZ"/>
              </w:rPr>
            </w:pPr>
            <w:r w:rsidRPr="00C1707A">
              <w:t>Maintain easement in accordance with legislative requirements and enterprise requirements</w:t>
            </w:r>
          </w:p>
        </w:tc>
      </w:tr>
      <w:tr w:rsidTr="00C170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1707A">
            <w:pPr>
              <w:pStyle w:val="BodyText"/>
              <w:rPr>
                <w:lang w:val="en-NZ"/>
              </w:rPr>
            </w:pPr>
            <w:r w:rsidRPr="00C1707A">
              <w:t>2.2</w:t>
            </w:r>
          </w:p>
        </w:tc>
        <w:tc>
          <w:tcPr>
            <w:tcW w:w="5610" w:type="dxa"/>
            <w:tcBorders>
              <w:top w:val="nil"/>
              <w:left w:val="nil"/>
              <w:bottom w:val="nil"/>
              <w:right w:val="nil"/>
            </w:tcBorders>
            <w:tcMar>
              <w:top w:w="0" w:type="dxa"/>
              <w:left w:w="62" w:type="dxa"/>
              <w:bottom w:w="0" w:type="dxa"/>
              <w:right w:w="62" w:type="dxa"/>
            </w:tcMar>
          </w:tcPr>
          <w:p w:rsidR="00000000" w:rsidP="00C1707A">
            <w:pPr>
              <w:pStyle w:val="BodyText"/>
              <w:rPr>
                <w:lang w:val="en-NZ"/>
              </w:rPr>
            </w:pPr>
            <w:r w:rsidRPr="00C1707A">
              <w:t>Isolate and secure any required work areas as required by procedures</w:t>
            </w:r>
          </w:p>
        </w:tc>
      </w:tr>
      <w:tr w:rsidTr="00C170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1707A">
            <w:pPr>
              <w:pStyle w:val="BodyText"/>
              <w:rPr>
                <w:lang w:val="en-NZ"/>
              </w:rPr>
            </w:pPr>
            <w:r w:rsidRPr="00C1707A">
              <w:t>2.3</w:t>
            </w:r>
          </w:p>
        </w:tc>
        <w:tc>
          <w:tcPr>
            <w:tcW w:w="5610" w:type="dxa"/>
            <w:tcBorders>
              <w:top w:val="nil"/>
              <w:left w:val="nil"/>
              <w:bottom w:val="nil"/>
              <w:right w:val="nil"/>
            </w:tcBorders>
            <w:tcMar>
              <w:top w:w="0" w:type="dxa"/>
              <w:left w:w="62" w:type="dxa"/>
              <w:bottom w:w="0" w:type="dxa"/>
              <w:right w:w="62" w:type="dxa"/>
            </w:tcMar>
          </w:tcPr>
          <w:p w:rsidR="00000000" w:rsidP="00C1707A">
            <w:pPr>
              <w:pStyle w:val="BodyText"/>
              <w:rPr>
                <w:lang w:val="en-NZ"/>
              </w:rPr>
            </w:pPr>
            <w:r w:rsidRPr="00C1707A">
              <w:t>Monitor and log the condition of signage/gates and easement ancillary equipment</w:t>
            </w:r>
          </w:p>
        </w:tc>
      </w:tr>
      <w:tr w:rsidTr="00C170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1707A">
            <w:pPr>
              <w:pStyle w:val="BodyText"/>
              <w:rPr>
                <w:lang w:val="en-NZ"/>
              </w:rPr>
            </w:pPr>
            <w:r w:rsidRPr="00C1707A">
              <w:t>2.4</w:t>
            </w:r>
          </w:p>
        </w:tc>
        <w:tc>
          <w:tcPr>
            <w:tcW w:w="5610" w:type="dxa"/>
            <w:tcBorders>
              <w:top w:val="nil"/>
              <w:left w:val="nil"/>
              <w:bottom w:val="nil"/>
              <w:right w:val="nil"/>
            </w:tcBorders>
            <w:tcMar>
              <w:top w:w="0" w:type="dxa"/>
              <w:left w:w="62" w:type="dxa"/>
              <w:bottom w:w="0" w:type="dxa"/>
              <w:right w:w="62" w:type="dxa"/>
            </w:tcMar>
          </w:tcPr>
          <w:p w:rsidR="00000000" w:rsidP="00C1707A">
            <w:pPr>
              <w:pStyle w:val="BodyText"/>
              <w:rPr>
                <w:lang w:val="en-NZ"/>
              </w:rPr>
            </w:pPr>
            <w:r w:rsidRPr="00C1707A">
              <w:t>Take action, as required</w:t>
            </w:r>
          </w:p>
        </w:tc>
      </w:tr>
      <w:tr w:rsidTr="00C1707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1707A">
            <w:pPr>
              <w:pStyle w:val="BodyText"/>
              <w:rPr>
                <w:lang w:val="en-NZ"/>
              </w:rPr>
            </w:pPr>
          </w:p>
        </w:tc>
      </w:tr>
      <w:tr w:rsidTr="00C170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1707A" w:rsidP="00C1707A">
            <w:pPr>
              <w:pStyle w:val="BodyText"/>
            </w:pPr>
            <w:r w:rsidRPr="00C1707A">
              <w:t>3</w:t>
            </w:r>
          </w:p>
        </w:tc>
        <w:tc>
          <w:tcPr>
            <w:tcW w:w="1962" w:type="dxa"/>
            <w:vMerge w:val="restart"/>
            <w:tcBorders>
              <w:top w:val="nil"/>
              <w:left w:val="nil"/>
              <w:bottom w:val="nil"/>
              <w:right w:val="nil"/>
            </w:tcBorders>
            <w:tcMar>
              <w:top w:w="0" w:type="dxa"/>
              <w:left w:w="62" w:type="dxa"/>
              <w:bottom w:w="0" w:type="dxa"/>
              <w:right w:w="62" w:type="dxa"/>
            </w:tcMar>
          </w:tcPr>
          <w:p w:rsidR="00000000" w:rsidP="00C1707A">
            <w:pPr>
              <w:pStyle w:val="BodyText"/>
              <w:rPr>
                <w:lang w:val="en-NZ"/>
              </w:rPr>
            </w:pPr>
            <w:r w:rsidRPr="00C1707A">
              <w:rPr>
                <w:rStyle w:val="SpecialBold"/>
              </w:rPr>
              <w:t>Maintain liaison with stakeholders</w:t>
            </w:r>
          </w:p>
        </w:tc>
        <w:tc>
          <w:tcPr>
            <w:tcW w:w="770" w:type="dxa"/>
            <w:tcBorders>
              <w:top w:val="nil"/>
              <w:left w:val="nil"/>
              <w:bottom w:val="nil"/>
              <w:right w:val="nil"/>
            </w:tcBorders>
            <w:tcMar>
              <w:top w:w="0" w:type="dxa"/>
              <w:left w:w="62" w:type="dxa"/>
              <w:bottom w:w="0" w:type="dxa"/>
              <w:right w:w="62" w:type="dxa"/>
            </w:tcMar>
          </w:tcPr>
          <w:p w:rsidR="00000000" w:rsidP="00C1707A">
            <w:pPr>
              <w:pStyle w:val="BodyText"/>
              <w:rPr>
                <w:lang w:val="en-NZ"/>
              </w:rPr>
            </w:pPr>
            <w:r w:rsidRPr="00C1707A">
              <w:t>3.1</w:t>
            </w:r>
          </w:p>
        </w:tc>
        <w:tc>
          <w:tcPr>
            <w:tcW w:w="5610" w:type="dxa"/>
            <w:tcBorders>
              <w:top w:val="nil"/>
              <w:left w:val="nil"/>
              <w:bottom w:val="nil"/>
              <w:right w:val="nil"/>
            </w:tcBorders>
            <w:tcMar>
              <w:top w:w="0" w:type="dxa"/>
              <w:left w:w="62" w:type="dxa"/>
              <w:bottom w:w="0" w:type="dxa"/>
              <w:right w:w="62" w:type="dxa"/>
            </w:tcMar>
          </w:tcPr>
          <w:p w:rsidR="00000000" w:rsidP="00C1707A">
            <w:pPr>
              <w:pStyle w:val="BodyText"/>
              <w:rPr>
                <w:lang w:val="en-NZ"/>
              </w:rPr>
            </w:pPr>
            <w:r w:rsidRPr="00C1707A">
              <w:t>Maintain continuous liaison and contact with pipeline system stakeholders</w:t>
            </w:r>
          </w:p>
        </w:tc>
      </w:tr>
      <w:tr w:rsidTr="00C170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1707A">
            <w:pPr>
              <w:pStyle w:val="BodyText"/>
              <w:rPr>
                <w:lang w:val="en-NZ"/>
              </w:rPr>
            </w:pPr>
            <w:r w:rsidRPr="00C1707A">
              <w:t>3.2</w:t>
            </w:r>
          </w:p>
        </w:tc>
        <w:tc>
          <w:tcPr>
            <w:tcW w:w="5610" w:type="dxa"/>
            <w:tcBorders>
              <w:top w:val="nil"/>
              <w:left w:val="nil"/>
              <w:bottom w:val="nil"/>
              <w:right w:val="nil"/>
            </w:tcBorders>
            <w:tcMar>
              <w:top w:w="0" w:type="dxa"/>
              <w:left w:w="62" w:type="dxa"/>
              <w:bottom w:w="0" w:type="dxa"/>
              <w:right w:w="62" w:type="dxa"/>
            </w:tcMar>
          </w:tcPr>
          <w:p w:rsidR="00000000" w:rsidP="00C1707A">
            <w:pPr>
              <w:pStyle w:val="BodyText"/>
              <w:rPr>
                <w:lang w:val="en-NZ"/>
              </w:rPr>
            </w:pPr>
            <w:r w:rsidRPr="00C1707A">
              <w:t>Advise stakeholders of intended activities in accordance with procedures</w:t>
            </w:r>
          </w:p>
        </w:tc>
      </w:tr>
      <w:tr w:rsidTr="00C170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1707A">
            <w:pPr>
              <w:pStyle w:val="BodyText"/>
              <w:rPr>
                <w:lang w:val="en-NZ"/>
              </w:rPr>
            </w:pPr>
            <w:r w:rsidRPr="00C1707A">
              <w:t>3.3</w:t>
            </w:r>
          </w:p>
        </w:tc>
        <w:tc>
          <w:tcPr>
            <w:tcW w:w="5610" w:type="dxa"/>
            <w:tcBorders>
              <w:top w:val="nil"/>
              <w:left w:val="nil"/>
              <w:bottom w:val="nil"/>
              <w:right w:val="nil"/>
            </w:tcBorders>
            <w:tcMar>
              <w:top w:w="0" w:type="dxa"/>
              <w:left w:w="62" w:type="dxa"/>
              <w:bottom w:w="0" w:type="dxa"/>
              <w:right w:w="62" w:type="dxa"/>
            </w:tcMar>
          </w:tcPr>
          <w:p w:rsidR="00000000" w:rsidP="00C1707A">
            <w:pPr>
              <w:pStyle w:val="BodyText"/>
              <w:rPr>
                <w:lang w:val="en-NZ"/>
              </w:rPr>
            </w:pPr>
            <w:r w:rsidRPr="00C1707A">
              <w:t>Conduct meetings with stakeholders to discuss notified issues as required</w:t>
            </w:r>
          </w:p>
        </w:tc>
      </w:tr>
      <w:tr w:rsidTr="00C170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1707A">
            <w:pPr>
              <w:pStyle w:val="BodyText"/>
              <w:rPr>
                <w:lang w:val="en-NZ"/>
              </w:rPr>
            </w:pPr>
            <w:r w:rsidRPr="00C1707A">
              <w:t>3.4</w:t>
            </w:r>
          </w:p>
        </w:tc>
        <w:tc>
          <w:tcPr>
            <w:tcW w:w="5610" w:type="dxa"/>
            <w:tcBorders>
              <w:top w:val="nil"/>
              <w:left w:val="nil"/>
              <w:bottom w:val="nil"/>
              <w:right w:val="nil"/>
            </w:tcBorders>
            <w:tcMar>
              <w:top w:w="0" w:type="dxa"/>
              <w:left w:w="62" w:type="dxa"/>
              <w:bottom w:w="0" w:type="dxa"/>
              <w:right w:w="62" w:type="dxa"/>
            </w:tcMar>
          </w:tcPr>
          <w:p w:rsidR="00000000" w:rsidP="00C1707A">
            <w:pPr>
              <w:pStyle w:val="BodyText"/>
              <w:rPr>
                <w:lang w:val="en-NZ"/>
              </w:rPr>
            </w:pPr>
            <w:r w:rsidRPr="00C1707A">
              <w:t>Record meeting outcomes in accordance with legislative and enterprise requirements</w:t>
            </w:r>
          </w:p>
        </w:tc>
      </w:tr>
      <w:tr w:rsidTr="00C170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1707A">
            <w:pPr>
              <w:pStyle w:val="BodyText"/>
              <w:rPr>
                <w:lang w:val="en-NZ"/>
              </w:rPr>
            </w:pPr>
            <w:r w:rsidRPr="00C1707A">
              <w:t>3.5</w:t>
            </w:r>
          </w:p>
        </w:tc>
        <w:tc>
          <w:tcPr>
            <w:tcW w:w="5610" w:type="dxa"/>
            <w:tcBorders>
              <w:top w:val="nil"/>
              <w:left w:val="nil"/>
              <w:bottom w:val="nil"/>
              <w:right w:val="nil"/>
            </w:tcBorders>
            <w:tcMar>
              <w:top w:w="0" w:type="dxa"/>
              <w:left w:w="62" w:type="dxa"/>
              <w:bottom w:w="0" w:type="dxa"/>
              <w:right w:w="62" w:type="dxa"/>
            </w:tcMar>
          </w:tcPr>
          <w:p w:rsidR="00000000" w:rsidP="00C1707A">
            <w:pPr>
              <w:pStyle w:val="BodyText"/>
              <w:rPr>
                <w:lang w:val="en-NZ"/>
              </w:rPr>
            </w:pPr>
            <w:r w:rsidRPr="00C1707A">
              <w:t>Take action, as required</w:t>
            </w:r>
          </w:p>
        </w:tc>
      </w:tr>
      <w:tr w:rsidTr="00C1707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1707A">
            <w:pPr>
              <w:pStyle w:val="BodyText"/>
              <w:rPr>
                <w:lang w:val="en-NZ"/>
              </w:rPr>
            </w:pPr>
          </w:p>
        </w:tc>
      </w:tr>
      <w:tr w:rsidTr="00C170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1707A" w:rsidP="00C1707A">
            <w:pPr>
              <w:pStyle w:val="BodyText"/>
            </w:pPr>
            <w:r w:rsidRPr="00C1707A">
              <w:t>4</w:t>
            </w:r>
          </w:p>
        </w:tc>
        <w:tc>
          <w:tcPr>
            <w:tcW w:w="1962" w:type="dxa"/>
            <w:vMerge w:val="restart"/>
            <w:tcBorders>
              <w:top w:val="nil"/>
              <w:left w:val="nil"/>
              <w:bottom w:val="nil"/>
              <w:right w:val="nil"/>
            </w:tcBorders>
            <w:tcMar>
              <w:top w:w="0" w:type="dxa"/>
              <w:left w:w="62" w:type="dxa"/>
              <w:bottom w:w="0" w:type="dxa"/>
              <w:right w:w="62" w:type="dxa"/>
            </w:tcMar>
          </w:tcPr>
          <w:p w:rsidR="00000000" w:rsidP="00C1707A">
            <w:pPr>
              <w:pStyle w:val="BodyText"/>
              <w:rPr>
                <w:lang w:val="en-NZ"/>
              </w:rPr>
            </w:pPr>
            <w:r w:rsidRPr="00C1707A">
              <w:rPr>
                <w:rStyle w:val="SpecialBold"/>
              </w:rPr>
              <w:t>Control hazards</w:t>
            </w:r>
          </w:p>
        </w:tc>
        <w:tc>
          <w:tcPr>
            <w:tcW w:w="770" w:type="dxa"/>
            <w:tcBorders>
              <w:top w:val="nil"/>
              <w:left w:val="nil"/>
              <w:bottom w:val="nil"/>
              <w:right w:val="nil"/>
            </w:tcBorders>
            <w:tcMar>
              <w:top w:w="0" w:type="dxa"/>
              <w:left w:w="62" w:type="dxa"/>
              <w:bottom w:w="0" w:type="dxa"/>
              <w:right w:w="62" w:type="dxa"/>
            </w:tcMar>
          </w:tcPr>
          <w:p w:rsidR="00000000" w:rsidP="00C1707A">
            <w:pPr>
              <w:pStyle w:val="BodyText"/>
              <w:rPr>
                <w:lang w:val="en-NZ"/>
              </w:rPr>
            </w:pPr>
            <w:r w:rsidRPr="00C1707A">
              <w:t>4.1</w:t>
            </w:r>
          </w:p>
        </w:tc>
        <w:tc>
          <w:tcPr>
            <w:tcW w:w="5610" w:type="dxa"/>
            <w:tcBorders>
              <w:top w:val="nil"/>
              <w:left w:val="nil"/>
              <w:bottom w:val="nil"/>
              <w:right w:val="nil"/>
            </w:tcBorders>
            <w:tcMar>
              <w:top w:w="0" w:type="dxa"/>
              <w:left w:w="62" w:type="dxa"/>
              <w:bottom w:w="0" w:type="dxa"/>
              <w:right w:w="62" w:type="dxa"/>
            </w:tcMar>
          </w:tcPr>
          <w:p w:rsidR="00000000" w:rsidP="00C1707A">
            <w:pPr>
              <w:pStyle w:val="BodyText"/>
              <w:rPr>
                <w:lang w:val="en-NZ"/>
              </w:rPr>
            </w:pPr>
            <w:r w:rsidRPr="00C1707A">
              <w:t>Identify hazards in pipeline work area</w:t>
            </w:r>
          </w:p>
        </w:tc>
      </w:tr>
      <w:tr w:rsidTr="00C170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1707A">
            <w:pPr>
              <w:pStyle w:val="BodyText"/>
              <w:rPr>
                <w:lang w:val="en-NZ"/>
              </w:rPr>
            </w:pPr>
            <w:r w:rsidRPr="00C1707A">
              <w:t>4.2</w:t>
            </w:r>
          </w:p>
        </w:tc>
        <w:tc>
          <w:tcPr>
            <w:tcW w:w="5610" w:type="dxa"/>
            <w:tcBorders>
              <w:top w:val="nil"/>
              <w:left w:val="nil"/>
              <w:bottom w:val="nil"/>
              <w:right w:val="nil"/>
            </w:tcBorders>
            <w:tcMar>
              <w:top w:w="0" w:type="dxa"/>
              <w:left w:w="62" w:type="dxa"/>
              <w:bottom w:w="0" w:type="dxa"/>
              <w:right w:w="62" w:type="dxa"/>
            </w:tcMar>
          </w:tcPr>
          <w:p w:rsidR="00000000" w:rsidP="00C1707A">
            <w:pPr>
              <w:pStyle w:val="BodyText"/>
              <w:rPr>
                <w:lang w:val="en-NZ"/>
              </w:rPr>
            </w:pPr>
            <w:r w:rsidRPr="00C1707A">
              <w:t>Assess the risks arising from those hazards</w:t>
            </w:r>
          </w:p>
        </w:tc>
      </w:tr>
      <w:tr w:rsidTr="00C170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1707A">
            <w:pPr>
              <w:pStyle w:val="BodyText"/>
              <w:rPr>
                <w:lang w:val="en-NZ"/>
              </w:rPr>
            </w:pPr>
            <w:r w:rsidRPr="00C1707A">
              <w:t>4.3</w:t>
            </w:r>
          </w:p>
        </w:tc>
        <w:tc>
          <w:tcPr>
            <w:tcW w:w="5610" w:type="dxa"/>
            <w:tcBorders>
              <w:top w:val="nil"/>
              <w:left w:val="nil"/>
              <w:bottom w:val="nil"/>
              <w:right w:val="nil"/>
            </w:tcBorders>
            <w:tcMar>
              <w:top w:w="0" w:type="dxa"/>
              <w:left w:w="62" w:type="dxa"/>
              <w:bottom w:w="0" w:type="dxa"/>
              <w:right w:w="62" w:type="dxa"/>
            </w:tcMar>
          </w:tcPr>
          <w:p w:rsidR="00000000" w:rsidRPr="00C1707A" w:rsidP="00C1707A">
            <w:pPr>
              <w:pStyle w:val="BodyText"/>
            </w:pPr>
            <w:r w:rsidRPr="00C1707A">
              <w:t>Implement measures to control those risks in line with procedures and duty of care</w:t>
            </w:r>
          </w:p>
        </w:tc>
      </w:tr>
    </w:tbl>
    <w:p w:rsidR="00000000" w:rsidRPr="00C1707A" w:rsidP="00C1707A">
      <w:pPr>
        <w:pStyle w:val="BodyText"/>
      </w:pPr>
    </w:p>
    <w:p w:rsidR="00000000" w:rsidRPr="00C1707A" w:rsidP="00C1707A">
      <w:pPr>
        <w:pStyle w:val="AllowPageBreak"/>
      </w:pPr>
    </w:p>
    <w:p w:rsidR="00000000" w:rsidRPr="00C1707A" w:rsidP="00C1707A">
      <w:pPr>
        <w:pStyle w:val="Heading1"/>
      </w:pPr>
      <w:bookmarkStart w:id="7" w:name="O_909554"/>
      <w:bookmarkEnd w:id="7"/>
      <w:r w:rsidRPr="00C1707A">
        <w:t>Foundation Skills</w:t>
      </w:r>
    </w:p>
    <w:p w:rsidR="00000000" w:rsidRPr="00C1707A" w:rsidP="00286956">
      <w:pPr>
        <w:pStyle w:val="BodyText"/>
      </w:pPr>
      <w:r w:rsidRPr="00C1707A">
        <w:t>This section describes those language, literacy, numeracy and employment skills that are essential to performance.</w:t>
      </w:r>
    </w:p>
    <w:p w:rsidR="00000000" w:rsidRPr="00C1707A" w:rsidP="00286956">
      <w:pPr>
        <w:pStyle w:val="BodyText"/>
      </w:pPr>
      <w:r w:rsidRPr="00C1707A">
        <w:t>Foundation skills essential to performance are explicit in the performance criteria of this unit of competency.</w:t>
      </w:r>
    </w:p>
    <w:p w:rsidR="00000000" w:rsidRPr="00C1707A" w:rsidP="00C1707A">
      <w:pPr>
        <w:pStyle w:val="Heading1"/>
      </w:pPr>
      <w:bookmarkStart w:id="8" w:name="O_909553"/>
      <w:bookmarkEnd w:id="8"/>
      <w:r w:rsidRPr="00C1707A">
        <w:t>Range of Conditions</w:t>
      </w:r>
    </w:p>
    <w:tbl>
      <w:tblPr>
        <w:tblW w:w="0" w:type="auto"/>
        <w:tblCellMar>
          <w:left w:w="62" w:type="dxa"/>
          <w:right w:w="62" w:type="dxa"/>
        </w:tblCellMar>
        <w:tblLook w:val="0000"/>
      </w:tblPr>
      <w:tblGrid>
        <w:gridCol w:w="2163"/>
        <w:gridCol w:w="7033"/>
      </w:tblGrid>
      <w:tr w:rsidTr="00286956">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C1707A">
            <w:pPr>
              <w:pStyle w:val="BodyText"/>
              <w:rPr>
                <w:lang w:val="en-NZ"/>
              </w:rPr>
            </w:pPr>
            <w:r w:rsidRPr="00C1707A">
              <w:t>This field allows for different work environments and conditions that may affect performance. Essential operating conditions that may be present (depending on the work situation, needs of the candidate, accessibility of the item, and lo</w:t>
            </w:r>
            <w:r w:rsidRPr="00C1707A">
              <w:t>cal industry and regional contexts) are included.</w:t>
            </w:r>
          </w:p>
        </w:tc>
      </w:tr>
      <w:tr w:rsidTr="0028695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1707A">
            <w:pPr>
              <w:pStyle w:val="BodyText"/>
              <w:rPr>
                <w:lang w:val="en-NZ"/>
              </w:rPr>
            </w:pPr>
            <w:r w:rsidRPr="00C1707A">
              <w:rPr>
                <w:rStyle w:val="SpecialBold"/>
              </w:rPr>
              <w:t xml:space="preserve">Regulatory framework </w:t>
            </w:r>
          </w:p>
        </w:tc>
        <w:tc>
          <w:tcPr>
            <w:tcW w:w="0" w:type="auto"/>
            <w:tcBorders>
              <w:top w:val="nil"/>
              <w:left w:val="nil"/>
              <w:bottom w:val="nil"/>
              <w:right w:val="nil"/>
            </w:tcBorders>
            <w:tcMar>
              <w:top w:w="0" w:type="dxa"/>
              <w:left w:w="62" w:type="dxa"/>
              <w:bottom w:w="0" w:type="dxa"/>
              <w:right w:w="62" w:type="dxa"/>
            </w:tcMar>
          </w:tcPr>
          <w:p w:rsidR="00000000" w:rsidRPr="00C1707A" w:rsidP="00C1707A">
            <w:pPr>
              <w:pStyle w:val="BodyText"/>
            </w:pPr>
            <w:r w:rsidRPr="00C1707A">
              <w:t>The latest version of all legislation, regulations, industry codes of practice and Australian/international standards, or the version specified by the local regulatory authority, mus</w:t>
            </w:r>
            <w:r w:rsidRPr="00C1707A">
              <w:t>t be used, and include one or more of the following:</w:t>
            </w:r>
          </w:p>
          <w:p w:rsidR="00000000" w:rsidRPr="00C1707A" w:rsidP="00C1707A">
            <w:pPr>
              <w:pStyle w:val="ListBullet"/>
            </w:pPr>
            <w:r w:rsidRPr="00C1707A">
              <w:t>legislative requirements, including work health and safety (WHS)</w:t>
            </w:r>
          </w:p>
          <w:p w:rsidR="00000000" w:rsidRPr="00C1707A" w:rsidP="00C1707A">
            <w:pPr>
              <w:pStyle w:val="ListBullet"/>
            </w:pPr>
            <w:r w:rsidRPr="00C1707A">
              <w:t>industry codes of practice and guidelines</w:t>
            </w:r>
          </w:p>
          <w:p w:rsidR="00000000" w:rsidRPr="00C1707A" w:rsidP="00C1707A">
            <w:pPr>
              <w:pStyle w:val="ListBullet"/>
            </w:pPr>
            <w:r w:rsidRPr="00C1707A">
              <w:t xml:space="preserve">environmental regulations and guidelines </w:t>
            </w:r>
          </w:p>
          <w:p w:rsidR="00000000" w:rsidRPr="00C1707A" w:rsidP="00C1707A">
            <w:pPr>
              <w:pStyle w:val="ListBullet"/>
            </w:pPr>
            <w:r w:rsidRPr="00C1707A">
              <w:t>Australian and other standards</w:t>
            </w:r>
          </w:p>
          <w:p w:rsidR="00000000" w:rsidRPr="00C1707A" w:rsidP="00C1707A">
            <w:pPr>
              <w:pStyle w:val="ListBullet"/>
            </w:pPr>
            <w:r w:rsidRPr="00C1707A">
              <w:t xml:space="preserve">licence and certification requirements </w:t>
            </w:r>
          </w:p>
          <w:p w:rsidR="00000000" w:rsidRPr="00C1707A" w:rsidP="00C1707A">
            <w:pPr>
              <w:pStyle w:val="BodyText"/>
            </w:pPr>
          </w:p>
          <w:p w:rsidR="00000000" w:rsidRPr="00C1707A" w:rsidP="00C1707A">
            <w:pPr>
              <w:pStyle w:val="BodyText"/>
            </w:pPr>
            <w:r w:rsidRPr="00C1707A">
              <w:t>All operations to which this unit applies are subject to stringent health, safety and environment (HSE) requirements, which may be imposed through state/territory or federal legislation, and these must not be compro</w:t>
            </w:r>
            <w:r w:rsidRPr="00C1707A">
              <w:t>mised at any time. Where there is an apparent conflict between performance criteria and HSE requirements, the HSE requirements take precedence.</w:t>
            </w:r>
          </w:p>
          <w:p w:rsidR="00000000" w:rsidP="00C1707A">
            <w:pPr>
              <w:pStyle w:val="BodyText"/>
              <w:rPr>
                <w:lang w:val="en-NZ"/>
              </w:rPr>
            </w:pPr>
          </w:p>
        </w:tc>
      </w:tr>
      <w:tr w:rsidTr="0028695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1707A">
            <w:pPr>
              <w:pStyle w:val="BodyText"/>
              <w:rPr>
                <w:lang w:val="en-NZ"/>
              </w:rPr>
            </w:pPr>
            <w:r w:rsidRPr="00C1707A">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C1707A" w:rsidP="00C1707A">
            <w:pPr>
              <w:pStyle w:val="BodyText"/>
            </w:pPr>
            <w:r w:rsidRPr="00C1707A">
              <w:t>All operations must be performed in accordance with relevant procedures.</w:t>
            </w:r>
          </w:p>
          <w:p w:rsidR="00000000" w:rsidRPr="00C1707A" w:rsidP="00C1707A">
            <w:pPr>
              <w:pStyle w:val="BodyText"/>
            </w:pPr>
          </w:p>
          <w:p w:rsidR="00000000" w:rsidRPr="00C1707A" w:rsidP="00C1707A">
            <w:pPr>
              <w:pStyle w:val="BodyText"/>
            </w:pPr>
            <w:r w:rsidRPr="00C1707A">
              <w:t>Procedures are written, v</w:t>
            </w:r>
            <w:r w:rsidRPr="00C1707A">
              <w:t>erbal, visual, computer-based or in some other form, include one or more of the following:</w:t>
            </w:r>
          </w:p>
          <w:p w:rsidR="00000000" w:rsidRPr="00C1707A" w:rsidP="00C1707A">
            <w:pPr>
              <w:pStyle w:val="ListBullet"/>
            </w:pPr>
            <w:r w:rsidRPr="00C1707A">
              <w:t>emergency procedures</w:t>
            </w:r>
          </w:p>
          <w:p w:rsidR="00000000" w:rsidRPr="00C1707A" w:rsidP="00C1707A">
            <w:pPr>
              <w:pStyle w:val="ListBullet"/>
            </w:pPr>
            <w:r w:rsidRPr="00C1707A">
              <w:t>work instructions</w:t>
            </w:r>
          </w:p>
          <w:p w:rsidR="00000000" w:rsidRPr="00C1707A" w:rsidP="00C1707A">
            <w:pPr>
              <w:pStyle w:val="ListBullet"/>
            </w:pPr>
            <w:r w:rsidRPr="00C1707A">
              <w:t>standard operating procedures (SOPs)</w:t>
            </w:r>
          </w:p>
          <w:p w:rsidR="00000000" w:rsidRPr="00C1707A" w:rsidP="00C1707A">
            <w:pPr>
              <w:pStyle w:val="ListBullet"/>
            </w:pPr>
            <w:r w:rsidRPr="00C1707A">
              <w:t>safe work method statements (SWMS)</w:t>
            </w:r>
          </w:p>
          <w:p w:rsidR="00000000" w:rsidRPr="00C1707A" w:rsidP="00C1707A">
            <w:pPr>
              <w:pStyle w:val="ListBullet"/>
            </w:pPr>
            <w:r w:rsidRPr="00C1707A">
              <w:t>formulas/recipes</w:t>
            </w:r>
          </w:p>
          <w:p w:rsidR="00000000" w:rsidRPr="00C1707A" w:rsidP="00C1707A">
            <w:pPr>
              <w:pStyle w:val="ListBullet"/>
            </w:pPr>
            <w:r w:rsidRPr="00C1707A">
              <w:t>batch sheets</w:t>
            </w:r>
          </w:p>
          <w:p w:rsidR="00000000" w:rsidRPr="00C1707A" w:rsidP="00C1707A">
            <w:pPr>
              <w:pStyle w:val="ListBullet"/>
            </w:pPr>
            <w:r w:rsidRPr="00C1707A">
              <w:t>temporary instructions</w:t>
            </w:r>
          </w:p>
          <w:p w:rsidR="00000000" w:rsidRPr="00C1707A" w:rsidP="00C1707A">
            <w:pPr>
              <w:pStyle w:val="ListBullet"/>
            </w:pPr>
            <w:r w:rsidRPr="00C1707A">
              <w:t>any similar instructions provided for the smooth running of the plant</w:t>
            </w:r>
          </w:p>
          <w:p w:rsidR="00000000" w:rsidP="00C1707A">
            <w:pPr>
              <w:pStyle w:val="BodyText"/>
              <w:rPr>
                <w:lang w:val="en-NZ"/>
              </w:rPr>
            </w:pPr>
          </w:p>
        </w:tc>
      </w:tr>
      <w:tr w:rsidTr="0028695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1707A">
            <w:pPr>
              <w:pStyle w:val="BodyText"/>
              <w:rPr>
                <w:lang w:val="en-NZ"/>
              </w:rPr>
            </w:pPr>
            <w:r w:rsidRPr="00C1707A">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C1707A" w:rsidP="00C1707A">
            <w:pPr>
              <w:pStyle w:val="BodyText"/>
            </w:pPr>
            <w:r w:rsidRPr="00C1707A">
              <w:t>Hazards include one or more of the following:</w:t>
            </w:r>
          </w:p>
          <w:p w:rsidR="00000000" w:rsidRPr="00C1707A" w:rsidP="00C1707A">
            <w:pPr>
              <w:pStyle w:val="ListBullet"/>
            </w:pPr>
            <w:r w:rsidRPr="00C1707A">
              <w:t xml:space="preserve">gases and liquids under pressure </w:t>
            </w:r>
          </w:p>
          <w:p w:rsidR="00000000" w:rsidRPr="00C1707A" w:rsidP="00C1707A">
            <w:pPr>
              <w:pStyle w:val="ListBullet"/>
            </w:pPr>
            <w:r w:rsidRPr="00C1707A">
              <w:t>equipment failures</w:t>
            </w:r>
          </w:p>
          <w:p w:rsidR="00000000" w:rsidRPr="00C1707A" w:rsidP="00C1707A">
            <w:pPr>
              <w:pStyle w:val="ListBullet"/>
            </w:pPr>
            <w:r w:rsidRPr="00C1707A">
              <w:t>flammability and explosivity</w:t>
            </w:r>
          </w:p>
          <w:p w:rsidR="00000000" w:rsidRPr="00C1707A" w:rsidP="00C1707A">
            <w:pPr>
              <w:pStyle w:val="ListBullet"/>
            </w:pPr>
            <w:r w:rsidRPr="00C1707A">
              <w:t>hazardous products and materials</w:t>
            </w:r>
          </w:p>
          <w:p w:rsidR="00000000" w:rsidRPr="00C1707A" w:rsidP="00C1707A">
            <w:pPr>
              <w:pStyle w:val="ListBullet"/>
            </w:pPr>
            <w:r w:rsidRPr="00C1707A">
              <w:t>unauthorised p</w:t>
            </w:r>
            <w:r w:rsidRPr="00C1707A">
              <w:t>ersonnel</w:t>
            </w:r>
          </w:p>
          <w:p w:rsidR="00000000" w:rsidRPr="00C1707A" w:rsidP="00C1707A">
            <w:pPr>
              <w:pStyle w:val="ListBullet"/>
            </w:pPr>
            <w:r w:rsidRPr="00C1707A">
              <w:t>sharp edges, protrusions or obstructions</w:t>
            </w:r>
          </w:p>
          <w:p w:rsidR="00000000" w:rsidRPr="00C1707A" w:rsidP="00C1707A">
            <w:pPr>
              <w:pStyle w:val="ListBullet"/>
            </w:pPr>
            <w:r w:rsidRPr="00C1707A">
              <w:t>extreme weather</w:t>
            </w:r>
          </w:p>
          <w:p w:rsidR="00000000" w:rsidRPr="00C1707A" w:rsidP="00C1707A">
            <w:pPr>
              <w:pStyle w:val="ListBullet"/>
            </w:pPr>
            <w:r w:rsidRPr="00C1707A">
              <w:t>remoteness/isolation</w:t>
            </w:r>
          </w:p>
          <w:p w:rsidR="00000000" w:rsidRPr="00C1707A" w:rsidP="00C1707A">
            <w:pPr>
              <w:pStyle w:val="ListBullet"/>
            </w:pPr>
            <w:r w:rsidRPr="00C1707A">
              <w:t>other hazards that might arise</w:t>
            </w:r>
          </w:p>
          <w:p w:rsidR="00000000" w:rsidP="00C1707A">
            <w:pPr>
              <w:pStyle w:val="BodyText"/>
              <w:rPr>
                <w:lang w:val="en-NZ"/>
              </w:rPr>
            </w:pPr>
          </w:p>
        </w:tc>
      </w:tr>
      <w:tr w:rsidTr="0028695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1707A">
            <w:pPr>
              <w:pStyle w:val="BodyText"/>
              <w:rPr>
                <w:lang w:val="en-NZ"/>
              </w:rPr>
            </w:pPr>
            <w:r w:rsidRPr="00C1707A">
              <w:rPr>
                <w:rStyle w:val="SpecialBold"/>
              </w:rPr>
              <w:t>Routine problems</w:t>
            </w:r>
          </w:p>
        </w:tc>
        <w:tc>
          <w:tcPr>
            <w:tcW w:w="0" w:type="auto"/>
            <w:tcBorders>
              <w:top w:val="nil"/>
              <w:left w:val="nil"/>
              <w:bottom w:val="nil"/>
              <w:right w:val="nil"/>
            </w:tcBorders>
            <w:tcMar>
              <w:top w:w="0" w:type="dxa"/>
              <w:left w:w="62" w:type="dxa"/>
              <w:bottom w:w="0" w:type="dxa"/>
              <w:right w:w="62" w:type="dxa"/>
            </w:tcMar>
          </w:tcPr>
          <w:p w:rsidR="00000000" w:rsidRPr="00C1707A" w:rsidP="00C1707A">
            <w:pPr>
              <w:pStyle w:val="BodyText"/>
            </w:pPr>
            <w:r w:rsidRPr="00C1707A">
              <w:t xml:space="preserve">Routine problems must be resolved by applying known solutions. </w:t>
            </w:r>
          </w:p>
          <w:p w:rsidR="00000000" w:rsidRPr="00C1707A" w:rsidP="00C1707A">
            <w:pPr>
              <w:pStyle w:val="BodyText"/>
            </w:pPr>
          </w:p>
          <w:p w:rsidR="00000000" w:rsidRPr="00C1707A" w:rsidP="00C1707A">
            <w:pPr>
              <w:pStyle w:val="BodyText"/>
            </w:pPr>
            <w:r w:rsidRPr="00C1707A">
              <w:t>Routine problems are predictable and include one or more of the following:</w:t>
            </w:r>
          </w:p>
          <w:p w:rsidR="00000000" w:rsidRPr="00C1707A" w:rsidP="00C1707A">
            <w:pPr>
              <w:pStyle w:val="ListBullet"/>
            </w:pPr>
            <w:r w:rsidRPr="00C1707A">
              <w:t>isolation and risk of exposure</w:t>
            </w:r>
          </w:p>
          <w:p w:rsidR="00000000" w:rsidRPr="00C1707A" w:rsidP="00C1707A">
            <w:pPr>
              <w:pStyle w:val="ListBullet"/>
            </w:pPr>
            <w:r w:rsidRPr="00C1707A">
              <w:t>gas or fluid leaks</w:t>
            </w:r>
          </w:p>
          <w:p w:rsidR="00000000" w:rsidRPr="00C1707A" w:rsidP="00C1707A">
            <w:pPr>
              <w:pStyle w:val="ListBullet"/>
            </w:pPr>
            <w:r w:rsidRPr="00C1707A">
              <w:t>accidental or geophysical rupturing of pipelines</w:t>
            </w:r>
          </w:p>
          <w:p w:rsidR="00000000" w:rsidRPr="00C1707A" w:rsidP="00C1707A">
            <w:pPr>
              <w:pStyle w:val="BodyText"/>
            </w:pPr>
          </w:p>
          <w:p w:rsidR="00000000" w:rsidRPr="00C1707A" w:rsidP="00C1707A">
            <w:pPr>
              <w:pStyle w:val="BodyText"/>
            </w:pPr>
            <w:r w:rsidRPr="00C1707A">
              <w:t>Known solutions are drawn from one or more of the following:</w:t>
            </w:r>
          </w:p>
          <w:p w:rsidR="00000000" w:rsidRPr="00C1707A" w:rsidP="00C1707A">
            <w:pPr>
              <w:pStyle w:val="ListBullet"/>
            </w:pPr>
            <w:r w:rsidRPr="00C1707A">
              <w:t>procedures</w:t>
            </w:r>
          </w:p>
          <w:p w:rsidR="00000000" w:rsidRPr="00C1707A" w:rsidP="00C1707A">
            <w:pPr>
              <w:pStyle w:val="ListBullet"/>
            </w:pPr>
            <w:r w:rsidRPr="00C1707A">
              <w:t>training</w:t>
            </w:r>
          </w:p>
          <w:p w:rsidR="00000000" w:rsidRPr="00C1707A" w:rsidP="00C1707A">
            <w:pPr>
              <w:pStyle w:val="ListBullet"/>
            </w:pPr>
            <w:r w:rsidRPr="00C1707A">
              <w:t>remembered experience</w:t>
            </w:r>
          </w:p>
          <w:p w:rsidR="00000000" w:rsidRPr="00C1707A" w:rsidP="00C1707A">
            <w:pPr>
              <w:pStyle w:val="BodyText"/>
            </w:pPr>
          </w:p>
          <w:p w:rsidR="00000000" w:rsidRPr="00C1707A" w:rsidP="00C1707A">
            <w:pPr>
              <w:pStyle w:val="BodyText"/>
            </w:pPr>
            <w:r w:rsidRPr="00C1707A">
              <w:t>Non-routine problems must be reported according to according to relevant procedures.</w:t>
            </w:r>
          </w:p>
          <w:p w:rsidR="00000000" w:rsidP="00C1707A">
            <w:pPr>
              <w:pStyle w:val="BodyText"/>
              <w:rPr>
                <w:lang w:val="en-NZ"/>
              </w:rPr>
            </w:pPr>
          </w:p>
        </w:tc>
      </w:tr>
      <w:tr w:rsidTr="0028695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1707A">
            <w:pPr>
              <w:pStyle w:val="BodyText"/>
              <w:rPr>
                <w:lang w:val="en-NZ"/>
              </w:rPr>
            </w:pPr>
            <w:r w:rsidRPr="00C1707A">
              <w:rPr>
                <w:rStyle w:val="SpecialBold"/>
              </w:rPr>
              <w:t>Action</w:t>
            </w:r>
          </w:p>
        </w:tc>
        <w:tc>
          <w:tcPr>
            <w:tcW w:w="0" w:type="auto"/>
            <w:tcBorders>
              <w:top w:val="nil"/>
              <w:left w:val="nil"/>
              <w:bottom w:val="nil"/>
              <w:right w:val="nil"/>
            </w:tcBorders>
            <w:tcMar>
              <w:top w:w="0" w:type="dxa"/>
              <w:left w:w="62" w:type="dxa"/>
              <w:bottom w:w="0" w:type="dxa"/>
              <w:right w:w="62" w:type="dxa"/>
            </w:tcMar>
          </w:tcPr>
          <w:p w:rsidR="00000000" w:rsidRPr="00C1707A" w:rsidP="00C1707A">
            <w:pPr>
              <w:pStyle w:val="BodyText"/>
            </w:pPr>
            <w:r w:rsidRPr="00C1707A">
              <w:t>Action taken in response to problems includes one or more of the following:</w:t>
            </w:r>
          </w:p>
          <w:p w:rsidR="00000000" w:rsidRPr="00C1707A" w:rsidP="00C1707A">
            <w:pPr>
              <w:pStyle w:val="ListBullet"/>
            </w:pPr>
            <w:r w:rsidRPr="00C1707A">
              <w:t>determining problems needing action</w:t>
            </w:r>
          </w:p>
          <w:p w:rsidR="00000000" w:rsidRPr="00C1707A" w:rsidP="00C1707A">
            <w:pPr>
              <w:pStyle w:val="ListBullet"/>
            </w:pPr>
            <w:r w:rsidRPr="00C1707A">
              <w:t>determining possi</w:t>
            </w:r>
            <w:r w:rsidRPr="00C1707A">
              <w:t>ble fault causes</w:t>
            </w:r>
          </w:p>
          <w:p w:rsidR="00000000" w:rsidRPr="00C1707A" w:rsidP="00C1707A">
            <w:pPr>
              <w:pStyle w:val="ListBullet"/>
            </w:pPr>
            <w:r w:rsidRPr="00C1707A">
              <w:t>rectifying problem using appropriate solution within area of responsibility</w:t>
            </w:r>
          </w:p>
          <w:p w:rsidR="00000000" w:rsidRPr="00C1707A" w:rsidP="00C1707A">
            <w:pPr>
              <w:pStyle w:val="ListBullet"/>
            </w:pPr>
            <w:r w:rsidRPr="00C1707A">
              <w:t>following through items initiated until final resolution has occurred</w:t>
            </w:r>
          </w:p>
          <w:p w:rsidR="00000000" w:rsidRPr="00C1707A" w:rsidP="00C1707A">
            <w:pPr>
              <w:pStyle w:val="ListBullet"/>
            </w:pPr>
            <w:r w:rsidRPr="00C1707A">
              <w:t>reporting problems outside area of responsibility to designated person.</w:t>
            </w:r>
          </w:p>
          <w:p w:rsidR="00000000" w:rsidP="00C1707A">
            <w:pPr>
              <w:pStyle w:val="BodyText"/>
              <w:rPr>
                <w:lang w:val="en-NZ"/>
              </w:rPr>
            </w:pPr>
          </w:p>
        </w:tc>
      </w:tr>
      <w:tr w:rsidTr="0028695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1707A">
            <w:pPr>
              <w:pStyle w:val="BodyText"/>
              <w:rPr>
                <w:lang w:val="en-NZ"/>
              </w:rPr>
            </w:pPr>
            <w:r w:rsidRPr="00C1707A">
              <w:rPr>
                <w:rStyle w:val="SpecialBold"/>
              </w:rPr>
              <w:t>Equipment</w:t>
            </w:r>
          </w:p>
        </w:tc>
        <w:tc>
          <w:tcPr>
            <w:tcW w:w="0" w:type="auto"/>
            <w:tcBorders>
              <w:top w:val="nil"/>
              <w:left w:val="nil"/>
              <w:bottom w:val="nil"/>
              <w:right w:val="nil"/>
            </w:tcBorders>
            <w:tcMar>
              <w:top w:w="0" w:type="dxa"/>
              <w:left w:w="62" w:type="dxa"/>
              <w:bottom w:w="0" w:type="dxa"/>
              <w:right w:w="62" w:type="dxa"/>
            </w:tcMar>
          </w:tcPr>
          <w:p w:rsidR="00000000" w:rsidRPr="00C1707A" w:rsidP="00C1707A">
            <w:pPr>
              <w:pStyle w:val="BodyText"/>
            </w:pPr>
            <w:r w:rsidRPr="00C1707A">
              <w:t>This unit of competency includes all such items of equipment and unit operations which are utilised in the maintenance of pipeline easements, as appropriate to the organisation, including one or more of the following:</w:t>
            </w:r>
          </w:p>
          <w:p w:rsidR="00000000" w:rsidRPr="00C1707A" w:rsidP="00C1707A">
            <w:pPr>
              <w:pStyle w:val="ListBullet"/>
            </w:pPr>
            <w:r w:rsidRPr="00C1707A">
              <w:t>light aircraft (pilot provided)</w:t>
            </w:r>
          </w:p>
          <w:p w:rsidR="00000000" w:rsidRPr="00C1707A" w:rsidP="00C1707A">
            <w:pPr>
              <w:pStyle w:val="ListBullet"/>
            </w:pPr>
            <w:r w:rsidRPr="00C1707A">
              <w:t>off-r</w:t>
            </w:r>
            <w:r w:rsidRPr="00C1707A">
              <w:t>oad vehicles</w:t>
            </w:r>
          </w:p>
          <w:p w:rsidR="00000000" w:rsidRPr="00C1707A" w:rsidP="00C1707A">
            <w:pPr>
              <w:pStyle w:val="ListBullet"/>
            </w:pPr>
            <w:r w:rsidRPr="00C1707A">
              <w:t>gas leakage detectors</w:t>
            </w:r>
          </w:p>
          <w:p w:rsidR="00000000" w:rsidRPr="00C1707A" w:rsidP="00C1707A">
            <w:pPr>
              <w:pStyle w:val="ListBullet"/>
            </w:pPr>
            <w:r w:rsidRPr="00C1707A">
              <w:t>vegetation control documentation and equipment</w:t>
            </w:r>
          </w:p>
          <w:p w:rsidR="00000000" w:rsidRPr="00C1707A" w:rsidP="00C1707A">
            <w:pPr>
              <w:pStyle w:val="ListBullet"/>
            </w:pPr>
            <w:r w:rsidRPr="00C1707A">
              <w:t>workplace mapping (e.g. pipeline alignment drawings, topographical maps and geographical maps)</w:t>
            </w:r>
          </w:p>
          <w:p w:rsidR="00000000" w:rsidRPr="00C1707A" w:rsidP="00C1707A">
            <w:pPr>
              <w:pStyle w:val="ListBullet"/>
            </w:pPr>
            <w:r w:rsidRPr="00C1707A">
              <w:t>pipeline access route manuals</w:t>
            </w:r>
          </w:p>
          <w:p w:rsidR="00000000" w:rsidP="00C1707A">
            <w:pPr>
              <w:pStyle w:val="BodyText"/>
              <w:rPr>
                <w:lang w:val="en-NZ"/>
              </w:rPr>
            </w:pPr>
          </w:p>
        </w:tc>
      </w:tr>
      <w:tr w:rsidTr="0028695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1707A">
            <w:pPr>
              <w:pStyle w:val="BodyText"/>
              <w:rPr>
                <w:lang w:val="en-NZ"/>
              </w:rPr>
            </w:pPr>
            <w:r w:rsidRPr="00C1707A">
              <w:rPr>
                <w:rStyle w:val="SpecialBold"/>
              </w:rPr>
              <w:t>Easement</w:t>
            </w:r>
          </w:p>
        </w:tc>
        <w:tc>
          <w:tcPr>
            <w:tcW w:w="0" w:type="auto"/>
            <w:tcBorders>
              <w:top w:val="nil"/>
              <w:left w:val="nil"/>
              <w:bottom w:val="nil"/>
              <w:right w:val="nil"/>
            </w:tcBorders>
            <w:tcMar>
              <w:top w:w="0" w:type="dxa"/>
              <w:left w:w="62" w:type="dxa"/>
              <w:bottom w:w="0" w:type="dxa"/>
              <w:right w:w="62" w:type="dxa"/>
            </w:tcMar>
          </w:tcPr>
          <w:p w:rsidR="00000000" w:rsidRPr="00C1707A" w:rsidP="00C1707A">
            <w:pPr>
              <w:pStyle w:val="BodyText"/>
            </w:pPr>
            <w:r w:rsidRPr="00C1707A">
              <w:t>An easement is an area or strip throug</w:t>
            </w:r>
            <w:r w:rsidRPr="00C1707A">
              <w:t>h which a pipeline, or similar infrastructure runs. It may be owned by the operating company or a third-party (or government, non-government organisation (NGO) or similar). The pipeline may be above or below the easement.</w:t>
            </w:r>
          </w:p>
          <w:p w:rsidR="00000000" w:rsidRPr="00C1707A" w:rsidP="00C1707A">
            <w:pPr>
              <w:pStyle w:val="BodyText"/>
            </w:pPr>
          </w:p>
        </w:tc>
      </w:tr>
    </w:tbl>
    <w:p w:rsidR="00000000" w:rsidRPr="00C1707A" w:rsidP="00C1707A">
      <w:pPr>
        <w:pStyle w:val="BodyText"/>
      </w:pPr>
    </w:p>
    <w:p w:rsidR="00000000" w:rsidRPr="00C1707A" w:rsidP="00C1707A">
      <w:pPr>
        <w:pStyle w:val="AllowPageBreak"/>
      </w:pPr>
    </w:p>
    <w:p w:rsidR="00000000" w:rsidRPr="00C1707A" w:rsidP="00C1707A">
      <w:pPr>
        <w:pStyle w:val="Heading1"/>
      </w:pPr>
      <w:bookmarkStart w:id="9" w:name="O_909552"/>
      <w:bookmarkEnd w:id="9"/>
      <w:r w:rsidRPr="00C1707A">
        <w:t>Unit Mapping Information</w:t>
      </w:r>
    </w:p>
    <w:p w:rsidR="00000000" w:rsidRPr="00C1707A" w:rsidP="00286956">
      <w:pPr>
        <w:pStyle w:val="BodyText"/>
      </w:pPr>
      <w:r w:rsidRPr="00C1707A">
        <w:t>Release 1. Supersedes and is equivalent to PMASUP241B Maintain pipeline easements</w:t>
      </w:r>
    </w:p>
    <w:p w:rsidR="00000000" w:rsidRPr="00C1707A" w:rsidP="00C1707A">
      <w:pPr>
        <w:pStyle w:val="Heading1"/>
      </w:pPr>
      <w:bookmarkStart w:id="10" w:name="O_909545"/>
      <w:bookmarkEnd w:id="10"/>
      <w:r w:rsidRPr="00C1707A">
        <w:t>Links</w:t>
      </w:r>
    </w:p>
    <w:p w:rsidR="00000000" w:rsidRPr="00C1707A" w:rsidP="00286956">
      <w:pPr>
        <w:pStyle w:val="BodyText"/>
      </w:pPr>
      <w:r w:rsidRPr="00C1707A">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BD09D8">
        <w:rPr>
          <w:rStyle w:val="Hyperlink"/>
        </w:rPr>
        <w:t>https://vetnet.gov.au/Pages/TrainingDocs.aspx?q=9fc2cf53-e570-4e9f-ad6a-b228ffdb6875</w:t>
      </w:r>
      <w:r>
        <w:fldChar w:fldCharType="end"/>
      </w:r>
    </w:p>
    <w:p w:rsidR="00000000" w:rsidRPr="00C1707A" w:rsidP="00286956">
      <w:pPr>
        <w:pStyle w:val="BodyText"/>
        <w:sectPr w:rsidSect="00C1707A">
          <w:headerReference w:type="default" r:id="rId10"/>
          <w:footerReference w:type="default" r:id="rId11"/>
          <w:pgSz w:w="11908" w:h="16833"/>
          <w:pgMar w:top="1702" w:right="1418" w:bottom="1702" w:left="1418" w:header="992" w:footer="992" w:gutter="0"/>
          <w:cols w:space="720"/>
          <w:noEndnote/>
          <w:docGrid w:linePitch="299"/>
        </w:sectPr>
      </w:pPr>
    </w:p>
    <w:p w:rsidR="00000000" w:rsidRPr="00C1707A" w:rsidP="00C1707A">
      <w:pPr>
        <w:pStyle w:val="SuperHeading"/>
      </w:pPr>
      <w:r w:rsidRPr="00C1707A">
        <w:t>Assessment Requirements for PMASUP241 Maintain pipeline easements</w:t>
      </w:r>
    </w:p>
    <w:p w:rsidR="00000000" w:rsidRPr="00C1707A" w:rsidP="00C1707A">
      <w:pPr>
        <w:pStyle w:val="Heading1"/>
      </w:pPr>
      <w:bookmarkStart w:id="11" w:name="O_909547"/>
      <w:bookmarkEnd w:id="11"/>
      <w:r w:rsidRPr="00C1707A">
        <w:t>Modification History</w:t>
      </w:r>
    </w:p>
    <w:p w:rsidR="00000000" w:rsidRPr="00C1707A" w:rsidP="00286956">
      <w:pPr>
        <w:pStyle w:val="BodyText"/>
      </w:pPr>
      <w:r w:rsidRPr="00C1707A">
        <w:t>Release 1. Supersedes and is equivalent to PMASUP241B Maintain pipeline easements</w:t>
      </w:r>
    </w:p>
    <w:p w:rsidR="00000000" w:rsidRPr="00C1707A" w:rsidP="00C1707A">
      <w:pPr>
        <w:pStyle w:val="Heading1"/>
      </w:pPr>
      <w:bookmarkStart w:id="12" w:name="O_909550"/>
      <w:bookmarkEnd w:id="12"/>
      <w:r w:rsidRPr="00C1707A">
        <w:t>Performance Evidence</w:t>
      </w:r>
    </w:p>
    <w:p w:rsidR="00000000" w:rsidRPr="00C1707A" w:rsidP="00286956">
      <w:pPr>
        <w:pStyle w:val="BodyText"/>
      </w:pPr>
      <w:r w:rsidRPr="00C1707A">
        <w:t>Evidence required to demonstrate competence in this unit must be relevant to and satisfy the requirements of the elements and performance criteria, and include the ability to:</w:t>
      </w:r>
    </w:p>
    <w:p w:rsidR="00000000" w:rsidRPr="00C1707A" w:rsidP="00C1707A">
      <w:pPr>
        <w:pStyle w:val="ListBullet"/>
      </w:pPr>
      <w:r w:rsidRPr="00C1707A">
        <w:t>interpret topographical and geographical m</w:t>
      </w:r>
      <w:r w:rsidRPr="00C1707A">
        <w:t>aps</w:t>
      </w:r>
    </w:p>
    <w:p w:rsidR="00000000" w:rsidRPr="00C1707A" w:rsidP="00C1707A">
      <w:pPr>
        <w:pStyle w:val="ListBullet"/>
      </w:pPr>
      <w:r w:rsidRPr="00C1707A">
        <w:t>identify maintenance needs</w:t>
      </w:r>
    </w:p>
    <w:p w:rsidR="00000000" w:rsidRPr="00C1707A" w:rsidP="00C1707A">
      <w:pPr>
        <w:pStyle w:val="ListBullet"/>
      </w:pPr>
      <w:r w:rsidRPr="00C1707A">
        <w:t xml:space="preserve">plan and prepare for equipment, access and resources needed to undertake maintenance </w:t>
      </w:r>
    </w:p>
    <w:p w:rsidR="00000000" w:rsidRPr="00C1707A" w:rsidP="00C1707A">
      <w:pPr>
        <w:pStyle w:val="ListBullet"/>
      </w:pPr>
      <w:r w:rsidRPr="00C1707A">
        <w:t>identify hazards and control risks</w:t>
      </w:r>
    </w:p>
    <w:p w:rsidR="00000000" w:rsidRPr="00C1707A" w:rsidP="00C1707A">
      <w:pPr>
        <w:pStyle w:val="ListBullet"/>
      </w:pPr>
      <w:r w:rsidRPr="00C1707A">
        <w:t>distinguish between causes of problems/alarms/fault indications, such as:</w:t>
      </w:r>
    </w:p>
    <w:p w:rsidR="00000000" w:rsidRPr="00C1707A" w:rsidP="00C1707A">
      <w:pPr>
        <w:pStyle w:val="ListBullet2"/>
      </w:pPr>
      <w:r w:rsidRPr="00C1707A">
        <w:t>various disturbances on or in the easement</w:t>
      </w:r>
    </w:p>
    <w:p w:rsidR="00000000" w:rsidRPr="00C1707A" w:rsidP="00C1707A">
      <w:pPr>
        <w:pStyle w:val="ListBullet2"/>
      </w:pPr>
      <w:r w:rsidRPr="00C1707A">
        <w:t>visual evidence of a pipeline rupture</w:t>
      </w:r>
    </w:p>
    <w:p w:rsidR="00000000" w:rsidRPr="00C1707A" w:rsidP="00C1707A">
      <w:pPr>
        <w:pStyle w:val="ListBullet2"/>
      </w:pPr>
      <w:r w:rsidRPr="00C1707A">
        <w:t xml:space="preserve">erosion and subsidence </w:t>
      </w:r>
    </w:p>
    <w:p w:rsidR="00000000" w:rsidRPr="00C1707A" w:rsidP="00C1707A">
      <w:pPr>
        <w:pStyle w:val="ListBullet"/>
      </w:pPr>
      <w:r w:rsidRPr="00C1707A">
        <w:t>liaise and communicate effectively with internal and external stakeholders, including:</w:t>
      </w:r>
    </w:p>
    <w:p w:rsidR="00000000" w:rsidRPr="00C1707A" w:rsidP="00C1707A">
      <w:pPr>
        <w:pStyle w:val="ListBullet2"/>
      </w:pPr>
      <w:r w:rsidRPr="00C1707A">
        <w:t>landowners</w:t>
      </w:r>
    </w:p>
    <w:p w:rsidR="00000000" w:rsidRPr="00C1707A" w:rsidP="00C1707A">
      <w:pPr>
        <w:pStyle w:val="ListBullet2"/>
      </w:pPr>
      <w:r w:rsidRPr="00C1707A">
        <w:t>contractors</w:t>
      </w:r>
    </w:p>
    <w:p w:rsidR="00000000" w:rsidRPr="00C1707A" w:rsidP="00C1707A">
      <w:pPr>
        <w:pStyle w:val="ListBullet2"/>
      </w:pPr>
      <w:r w:rsidRPr="00C1707A">
        <w:t>company personnel</w:t>
      </w:r>
    </w:p>
    <w:p w:rsidR="00000000" w:rsidRPr="00C1707A" w:rsidP="00C1707A">
      <w:pPr>
        <w:pStyle w:val="ListBullet2"/>
      </w:pPr>
      <w:r w:rsidRPr="00C1707A">
        <w:t xml:space="preserve">regulators and other </w:t>
      </w:r>
      <w:r w:rsidRPr="00C1707A">
        <w:t>officials</w:t>
      </w:r>
    </w:p>
    <w:p w:rsidR="00000000" w:rsidRPr="00C1707A" w:rsidP="00C1707A">
      <w:pPr>
        <w:pStyle w:val="ListBullet"/>
      </w:pPr>
      <w:r w:rsidRPr="00C1707A">
        <w:t>complete records.</w:t>
      </w:r>
    </w:p>
    <w:p w:rsidR="00000000" w:rsidRPr="00C1707A" w:rsidP="00C1707A">
      <w:pPr>
        <w:pStyle w:val="AllowPageBreak"/>
      </w:pPr>
    </w:p>
    <w:p w:rsidR="00000000" w:rsidRPr="00C1707A" w:rsidP="00C1707A">
      <w:pPr>
        <w:pStyle w:val="Heading1"/>
      </w:pPr>
      <w:bookmarkStart w:id="13" w:name="O_909549"/>
      <w:bookmarkEnd w:id="13"/>
      <w:r w:rsidRPr="00C1707A">
        <w:t>Knowledge Evidence</w:t>
      </w:r>
    </w:p>
    <w:p w:rsidR="00000000" w:rsidRPr="00C1707A" w:rsidP="00286956">
      <w:pPr>
        <w:pStyle w:val="BodyText"/>
      </w:pPr>
      <w:r w:rsidRPr="00C1707A">
        <w:t>Evidence must be provided that demonstrates knowledge of:</w:t>
      </w:r>
    </w:p>
    <w:p w:rsidR="00000000" w:rsidRPr="00C1707A" w:rsidP="00C1707A">
      <w:pPr>
        <w:pStyle w:val="ListBullet"/>
      </w:pPr>
      <w:r w:rsidRPr="00C1707A">
        <w:t>legal obligations and standing of both parties as it relates to access rights</w:t>
      </w:r>
    </w:p>
    <w:p w:rsidR="00000000" w:rsidRPr="00C1707A" w:rsidP="00C1707A">
      <w:pPr>
        <w:pStyle w:val="ListBullet"/>
      </w:pPr>
      <w:r w:rsidRPr="00C1707A">
        <w:t>pipeline system and access routes</w:t>
      </w:r>
    </w:p>
    <w:p w:rsidR="00000000" w:rsidRPr="00C1707A" w:rsidP="00C1707A">
      <w:pPr>
        <w:pStyle w:val="ListBullet"/>
      </w:pPr>
      <w:r w:rsidRPr="00C1707A">
        <w:t>appropriate and safe vegetation control techniques</w:t>
      </w:r>
    </w:p>
    <w:p w:rsidR="00000000" w:rsidRPr="00C1707A" w:rsidP="00C1707A">
      <w:pPr>
        <w:pStyle w:val="ListBullet"/>
      </w:pPr>
      <w:r w:rsidRPr="00C1707A">
        <w:t>erosion control techniques</w:t>
      </w:r>
    </w:p>
    <w:p w:rsidR="00000000" w:rsidRPr="00C1707A" w:rsidP="00C1707A">
      <w:pPr>
        <w:pStyle w:val="ListBullet"/>
      </w:pPr>
      <w:r w:rsidRPr="00C1707A">
        <w:t xml:space="preserve">pipeline signage and application requirements </w:t>
      </w:r>
    </w:p>
    <w:p w:rsidR="00000000" w:rsidRPr="00C1707A" w:rsidP="00C1707A">
      <w:pPr>
        <w:pStyle w:val="ListBullet"/>
      </w:pPr>
      <w:r w:rsidRPr="00C1707A">
        <w:t>regulatory framework</w:t>
      </w:r>
    </w:p>
    <w:p w:rsidR="00000000" w:rsidRPr="00C1707A" w:rsidP="00C1707A">
      <w:pPr>
        <w:pStyle w:val="ListBullet"/>
      </w:pPr>
      <w:r w:rsidRPr="00C1707A">
        <w:t>organisation procedures, including those covering</w:t>
      </w:r>
    </w:p>
    <w:p w:rsidR="00000000" w:rsidRPr="00C1707A" w:rsidP="00C1707A">
      <w:pPr>
        <w:pStyle w:val="ListBullet2"/>
      </w:pPr>
      <w:r w:rsidRPr="00C1707A">
        <w:t>safety, emergency and hazard control</w:t>
      </w:r>
    </w:p>
    <w:p w:rsidR="00000000" w:rsidRPr="00C1707A" w:rsidP="00C1707A">
      <w:pPr>
        <w:pStyle w:val="ListBullet2"/>
      </w:pPr>
      <w:r w:rsidRPr="00C1707A">
        <w:t>communications</w:t>
      </w:r>
    </w:p>
    <w:p w:rsidR="00000000" w:rsidRPr="00C1707A" w:rsidP="00C1707A">
      <w:pPr>
        <w:pStyle w:val="ListBullet2"/>
      </w:pPr>
      <w:r w:rsidRPr="00C1707A">
        <w:t>use and maintenance of vehicles</w:t>
      </w:r>
    </w:p>
    <w:p w:rsidR="00000000" w:rsidRPr="00C1707A" w:rsidP="00C1707A">
      <w:pPr>
        <w:pStyle w:val="ListBullet2"/>
      </w:pPr>
      <w:r w:rsidRPr="00C1707A">
        <w:t>environmental management</w:t>
      </w:r>
    </w:p>
    <w:p w:rsidR="00000000" w:rsidRPr="00C1707A" w:rsidP="00C1707A">
      <w:pPr>
        <w:pStyle w:val="ListBullet"/>
      </w:pPr>
      <w:r w:rsidRPr="00C1707A">
        <w:t>hierarchy of control.</w:t>
      </w:r>
    </w:p>
    <w:p w:rsidR="00000000" w:rsidRPr="00C1707A" w:rsidP="00C1707A">
      <w:pPr>
        <w:pStyle w:val="AllowPageBreak"/>
      </w:pPr>
    </w:p>
    <w:p w:rsidR="00000000" w:rsidRPr="00C1707A" w:rsidP="00C1707A">
      <w:pPr>
        <w:pStyle w:val="Heading1"/>
      </w:pPr>
      <w:bookmarkStart w:id="14" w:name="O_909548"/>
      <w:bookmarkEnd w:id="14"/>
      <w:r w:rsidRPr="00C1707A">
        <w:t>Assessment Conditions</w:t>
      </w:r>
    </w:p>
    <w:p w:rsidR="00000000" w:rsidRPr="00C1707A" w:rsidP="00C1707A">
      <w:pPr>
        <w:pStyle w:val="ListBullet"/>
      </w:pPr>
      <w:r w:rsidRPr="00C1707A">
        <w:t xml:space="preserve">The unit should be assessed holistically and the judgement of competence based on a holistic assessment </w:t>
      </w:r>
      <w:r w:rsidRPr="00C1707A">
        <w:t xml:space="preserve">of the evidence. </w:t>
      </w:r>
    </w:p>
    <w:p w:rsidR="00000000" w:rsidRPr="00C1707A" w:rsidP="00C1707A">
      <w:pPr>
        <w:pStyle w:val="ListBullet"/>
      </w:pPr>
      <w:r w:rsidRPr="00C1707A">
        <w:t>The collection</w:t>
      </w:r>
      <w:r w:rsidRPr="00C1707A">
        <w:t xml:space="preserve"> of performance evidence:</w:t>
      </w:r>
    </w:p>
    <w:p w:rsidR="00000000" w:rsidRPr="00C1707A" w:rsidP="00C1707A">
      <w:pPr>
        <w:pStyle w:val="ListBullet2"/>
      </w:pPr>
      <w:r w:rsidRPr="00C1707A">
        <w:t>should occur over a range of situations which include typical disruptions to normal, smooth operation of an operating plant</w:t>
      </w:r>
    </w:p>
    <w:p w:rsidR="00000000" w:rsidRPr="00C1707A" w:rsidP="00C1707A">
      <w:pPr>
        <w:pStyle w:val="ListBullet2"/>
      </w:pPr>
      <w:r w:rsidRPr="00C1707A">
        <w:t>will typically include a supervisor/third-party report or other evidence, focusing on consistent performa</w:t>
      </w:r>
      <w:r w:rsidRPr="00C1707A">
        <w:t>nce and problem recognition and solving. A supervisor/third-party report must be prepared by someone who has a direct, relevant, current relationship with the person being assessed and who is in a position to form a judgement on workplace performance relev</w:t>
      </w:r>
      <w:r w:rsidRPr="00C1707A">
        <w:t xml:space="preserve">ant to the unit of competency </w:t>
      </w:r>
    </w:p>
    <w:p w:rsidR="00000000" w:rsidRPr="00C1707A" w:rsidP="00C1707A">
      <w:pPr>
        <w:pStyle w:val="ListBullet2"/>
      </w:pPr>
      <w:r w:rsidRPr="00C1707A">
        <w:t>must include maintenance of an actual pipeline easement, the use of appropriate items of equipment requiring demonstration of operation and responding to problems</w:t>
      </w:r>
    </w:p>
    <w:p w:rsidR="00000000" w:rsidRPr="00C1707A" w:rsidP="00C1707A">
      <w:pPr>
        <w:pStyle w:val="ListBullet2"/>
      </w:pPr>
      <w:r w:rsidRPr="00C1707A">
        <w:t>may use industry-based simulation for part only of the unit wh</w:t>
      </w:r>
      <w:r w:rsidRPr="00C1707A">
        <w:t>ere safety, lack of opportunity or significant cost is an issue.</w:t>
      </w:r>
    </w:p>
    <w:p w:rsidR="00000000" w:rsidRPr="00C1707A" w:rsidP="00C1707A">
      <w:pPr>
        <w:pStyle w:val="ListBullet"/>
      </w:pPr>
      <w:r w:rsidRPr="00C1707A">
        <w:t>Assessment should occur in operational workplace situations. Where this is not possible, or where personal safety or environmental damage are limiting factors, assessment must occur in a suf</w:t>
      </w:r>
      <w:r w:rsidRPr="00C1707A">
        <w:t>ficiently rigorous simulated environment reflecting realistic operational workplace conditions. This must cover all aspects of workplace performance, including environment, task skills, task management skills, contingency management skills and job role env</w:t>
      </w:r>
      <w:r w:rsidRPr="00C1707A">
        <w:t xml:space="preserve">ironment skills. </w:t>
      </w:r>
    </w:p>
    <w:p w:rsidR="00000000" w:rsidRPr="00C1707A" w:rsidP="00C1707A">
      <w:pPr>
        <w:pStyle w:val="ListBullet"/>
      </w:pPr>
      <w:r w:rsidRPr="00C1707A">
        <w:t xml:space="preserve">Assessment in a simulated environment should use evidence collected from one or more of: </w:t>
      </w:r>
    </w:p>
    <w:p w:rsidR="00000000" w:rsidRPr="00C1707A" w:rsidP="00C1707A">
      <w:pPr>
        <w:pStyle w:val="ListBullet2"/>
      </w:pPr>
      <w:r w:rsidRPr="00C1707A">
        <w:t xml:space="preserve">walk-throughs </w:t>
      </w:r>
    </w:p>
    <w:p w:rsidR="00000000" w:rsidRPr="00C1707A" w:rsidP="00C1707A">
      <w:pPr>
        <w:pStyle w:val="ListBullet2"/>
      </w:pPr>
      <w:r w:rsidRPr="00C1707A">
        <w:t>demonstration of skills</w:t>
      </w:r>
    </w:p>
    <w:p w:rsidR="00000000" w:rsidRPr="00C1707A" w:rsidP="00C1707A">
      <w:pPr>
        <w:pStyle w:val="ListBullet2"/>
      </w:pPr>
      <w:r w:rsidRPr="00C1707A">
        <w:t xml:space="preserve">industry based case studies/scenarios </w:t>
      </w:r>
    </w:p>
    <w:p w:rsidR="00000000" w:rsidRPr="00C1707A" w:rsidP="00C1707A">
      <w:pPr>
        <w:pStyle w:val="ListBullet2"/>
      </w:pPr>
      <w:r w:rsidRPr="00C1707A">
        <w:t>‘what ifs’.</w:t>
      </w:r>
    </w:p>
    <w:p w:rsidR="00000000" w:rsidRPr="00C1707A" w:rsidP="00C1707A">
      <w:pPr>
        <w:pStyle w:val="ListBullet"/>
      </w:pPr>
      <w:r w:rsidRPr="00C1707A">
        <w:t>Knowledge evidence may be collected concurrently with performance evidence (provided a record is kept) or through an independent process, such as workbooks, written assessments or interviews (provided a record is kept).</w:t>
      </w:r>
    </w:p>
    <w:p w:rsidR="00000000" w:rsidRPr="00C1707A" w:rsidP="00C1707A">
      <w:pPr>
        <w:pStyle w:val="ListBullet"/>
      </w:pPr>
      <w:r w:rsidRPr="00C1707A">
        <w:t xml:space="preserve">Assessment processes and techniques </w:t>
      </w:r>
      <w:r w:rsidRPr="00C1707A">
        <w:t>must be appropriate to the language, literacy and numeracy requirements of the work being performed and the needs of the candidate.</w:t>
      </w:r>
    </w:p>
    <w:p w:rsidR="00000000" w:rsidRPr="00C1707A" w:rsidP="00C1707A">
      <w:pPr>
        <w:pStyle w:val="ListBullet"/>
      </w:pPr>
      <w:r w:rsidRPr="00C1707A">
        <w:t>Conditions for assessment must include access to all tools, equipment, materials and documentation required, including relev</w:t>
      </w:r>
      <w:r w:rsidRPr="00C1707A">
        <w:t>ant workplace procedures, product and manufacturing specifications associated with this unit.</w:t>
      </w:r>
    </w:p>
    <w:p w:rsidR="00000000" w:rsidRPr="00C1707A" w:rsidP="00C1707A">
      <w:pPr>
        <w:pStyle w:val="ListBullet"/>
      </w:pPr>
      <w:r w:rsidRPr="00C1707A">
        <w:t>The regulatory framework will be reflected in workplace policies and procedures and is not required to be independently assessed.</w:t>
      </w:r>
    </w:p>
    <w:p w:rsidR="00000000" w:rsidRPr="00C1707A" w:rsidP="00C1707A">
      <w:pPr>
        <w:pStyle w:val="ListBullet"/>
      </w:pPr>
      <w:r w:rsidRPr="00C1707A">
        <w:t>Foundation skills are integral t</w:t>
      </w:r>
      <w:r w:rsidRPr="00C1707A">
        <w:t>o competent performance of the unit and should not be assessed separately.</w:t>
      </w:r>
    </w:p>
    <w:p w:rsidR="00000000" w:rsidRPr="00C1707A" w:rsidP="00C1707A">
      <w:pPr>
        <w:pStyle w:val="ListBullet"/>
      </w:pPr>
      <w:r w:rsidRPr="00C1707A">
        <w:t>Assessors must satisfy the assessor competency requirements that are in place at the time of the assessment as set by the VET regulator.</w:t>
      </w:r>
    </w:p>
    <w:p w:rsidR="00000000" w:rsidRPr="00C1707A" w:rsidP="00C1707A">
      <w:pPr>
        <w:pStyle w:val="ListBullet"/>
      </w:pPr>
      <w:r w:rsidRPr="00C1707A">
        <w:t>In addition, the assessor or anyone acting i</w:t>
      </w:r>
      <w:r w:rsidRPr="00C1707A">
        <w:t xml:space="preserve">n subject matter expert role in assessment must demonstrate both technical competency and currency. If the assessor cannot demonstrate technical competency and currency they must assess with a subject matter expert who does meet these requirements. </w:t>
      </w:r>
    </w:p>
    <w:p w:rsidR="00000000" w:rsidRPr="00C1707A" w:rsidP="00C1707A">
      <w:pPr>
        <w:pStyle w:val="ListBullet"/>
      </w:pPr>
      <w:r w:rsidRPr="00C1707A">
        <w:t>Techni</w:t>
      </w:r>
      <w:r w:rsidRPr="00C1707A">
        <w:t>cal competence can be demonstrated through one or more of:</w:t>
      </w:r>
    </w:p>
    <w:p w:rsidR="00000000" w:rsidRPr="00C1707A" w:rsidP="00C1707A">
      <w:pPr>
        <w:pStyle w:val="ListBullet2"/>
      </w:pPr>
      <w:r w:rsidRPr="00C1707A">
        <w:t xml:space="preserve">relevant VET or other qualification/Statement of Attainment </w:t>
      </w:r>
    </w:p>
    <w:p w:rsidR="00000000" w:rsidRPr="00C1707A" w:rsidP="00C1707A">
      <w:pPr>
        <w:pStyle w:val="ListBullet2"/>
      </w:pPr>
      <w:r w:rsidRPr="00C1707A">
        <w:t xml:space="preserve">appropriate workplace experience undertaking the type of work being assessed under routine and non-routine conditions </w:t>
      </w:r>
    </w:p>
    <w:p w:rsidR="00000000" w:rsidRPr="00C1707A" w:rsidP="00C1707A">
      <w:pPr>
        <w:pStyle w:val="ListBullet2"/>
      </w:pPr>
      <w:r w:rsidRPr="00C1707A">
        <w:t>appropriate workplace experience supervising/evaluating the type of work being assessed under routine and non-routine conditions</w:t>
      </w:r>
    </w:p>
    <w:p w:rsidR="00000000" w:rsidRPr="00C1707A" w:rsidP="00C1707A">
      <w:pPr>
        <w:pStyle w:val="ListBullet"/>
      </w:pPr>
      <w:r w:rsidRPr="00C1707A">
        <w:t>Currency can be demonstrated through one or more of:</w:t>
      </w:r>
    </w:p>
    <w:p w:rsidR="00000000" w:rsidRPr="00C1707A" w:rsidP="00C1707A">
      <w:pPr>
        <w:pStyle w:val="ListBullet2"/>
      </w:pPr>
      <w:r w:rsidRPr="00C1707A">
        <w:t xml:space="preserve">being currently employed undertaking the type of work being assessed </w:t>
      </w:r>
    </w:p>
    <w:p w:rsidR="00000000" w:rsidRPr="00C1707A" w:rsidP="00C1707A">
      <w:pPr>
        <w:pStyle w:val="ListBullet2"/>
      </w:pPr>
      <w:r w:rsidRPr="00C1707A">
        <w:t>be</w:t>
      </w:r>
      <w:r w:rsidRPr="00C1707A">
        <w:t xml:space="preserve">ing employed by the organisation undertaking the type of work being assessed and having maintained currency in accordance with that organisation’s policies and procedures </w:t>
      </w:r>
    </w:p>
    <w:p w:rsidR="00000000" w:rsidRPr="00C1707A" w:rsidP="00C1707A">
      <w:pPr>
        <w:pStyle w:val="ListBullet2"/>
      </w:pPr>
      <w:r w:rsidRPr="00C1707A">
        <w:t>having consulted/had contact with an organisation undertaking the type of work being</w:t>
      </w:r>
      <w:r w:rsidRPr="00C1707A">
        <w:t xml:space="preserve"> assessed within the last twelve months, the consultation/contact being related to assessment </w:t>
      </w:r>
    </w:p>
    <w:p w:rsidR="00000000" w:rsidRPr="00C1707A" w:rsidP="00C1707A">
      <w:pPr>
        <w:pStyle w:val="ListBullet2"/>
      </w:pPr>
      <w:r w:rsidRPr="00C1707A">
        <w:t xml:space="preserve">conducting on-the-job training/assessments of the type of work being assessed </w:t>
      </w:r>
    </w:p>
    <w:p w:rsidR="00000000" w:rsidRPr="00C1707A" w:rsidP="00C1707A">
      <w:pPr>
        <w:pStyle w:val="ListBullet2"/>
      </w:pPr>
      <w:r w:rsidRPr="00C1707A">
        <w:t>being an active member of a relevant professional body and participating in activi</w:t>
      </w:r>
      <w:r w:rsidRPr="00C1707A">
        <w:t>ties relevant to the assessment of this type of work</w:t>
      </w:r>
    </w:p>
    <w:p w:rsidR="00000000" w:rsidRPr="00C1707A" w:rsidP="00C1707A">
      <w:pPr>
        <w:pStyle w:val="AllowPageBreak"/>
      </w:pPr>
    </w:p>
    <w:p w:rsidR="00000000" w:rsidRPr="00C1707A" w:rsidP="00C1707A">
      <w:pPr>
        <w:pStyle w:val="Heading1"/>
      </w:pPr>
      <w:bookmarkStart w:id="15" w:name="O_909546"/>
      <w:bookmarkEnd w:id="15"/>
      <w:r w:rsidRPr="00C1707A">
        <w:t>Links</w:t>
      </w:r>
    </w:p>
    <w:p w:rsidR="00000000" w:rsidRPr="00C1707A" w:rsidP="00286956">
      <w:pPr>
        <w:pStyle w:val="BodyText"/>
      </w:pPr>
      <w:r w:rsidRPr="00C1707A">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BD09D8">
        <w:rPr>
          <w:rStyle w:val="Hyperlink"/>
        </w:rPr>
        <w:t>https://vetnet.gov.au/Pages/TrainingDocs.aspx?q=9fc2cf53-e570-4e9f-ad6a-b228ffdb6875</w:t>
      </w:r>
      <w:r>
        <w:fldChar w:fldCharType="end"/>
      </w:r>
    </w:p>
    <w:p w:rsidR="00000000" w:rsidRPr="00C1707A" w:rsidP="00C1707A"/>
    <w:sectPr w:rsidSect="00C1707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707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707A" w:rsidRPr="00286956" w:rsidP="0028695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707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956" w:rsidP="00C1707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286956" w:rsidP="00C1707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286956" w:rsidP="00C1707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707A" w:rsidP="00C1707A">
    <w:pPr>
      <w:pStyle w:val="Footer"/>
      <w:framePr w:wrap="around"/>
    </w:pPr>
    <w:r>
      <w:fldChar w:fldCharType="begin"/>
    </w:r>
    <w:r>
      <w:instrText xml:space="preserve"> DOCPROPERTY  Subject  \* MERGEFORMAT </w:instrText>
    </w:r>
    <w:r>
      <w:fldChar w:fldCharType="separate"/>
    </w:r>
    <w:r w:rsidR="00286956">
      <w:t>Approved</w:t>
    </w:r>
    <w:r w:rsidR="00286956">
      <w:fldChar w:fldCharType="end"/>
    </w:r>
    <w:r>
      <w:tab/>
      <w:t xml:space="preserve">Page </w:t>
    </w:r>
    <w:r>
      <w:fldChar w:fldCharType="begin"/>
    </w:r>
    <w:r>
      <w:instrText xml:space="preserve"> PAGE  \* Arabic  \* MERGEFORMAT </w:instrText>
    </w:r>
    <w:r>
      <w:fldChar w:fldCharType="separate"/>
    </w:r>
    <w:r w:rsidR="00286956">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86956">
      <w:rPr>
        <w:noProof/>
      </w:rPr>
      <w:t>7</w:t>
    </w:r>
    <w:r>
      <w:rPr>
        <w:noProof/>
      </w:rPr>
      <w:fldChar w:fldCharType="end"/>
    </w:r>
  </w:p>
  <w:p w:rsidR="00C1707A" w:rsidP="00C1707A">
    <w:pPr>
      <w:pStyle w:val="Footer"/>
      <w:framePr w:wrap="around"/>
    </w:pPr>
    <w:r>
      <w:t xml:space="preserve">© Commonwealth of Australia, </w:t>
    </w:r>
    <w:r>
      <w:fldChar w:fldCharType="begin"/>
    </w:r>
    <w:r>
      <w:instrText xml:space="preserve"> DATE  \@ "yyyy"  \* MERGEFORMAT </w:instrText>
    </w:r>
    <w:r>
      <w:fldChar w:fldCharType="separate"/>
    </w:r>
    <w:r w:rsidR="00286956">
      <w:rPr>
        <w:noProof/>
      </w:rPr>
      <w:t>2025</w:t>
    </w:r>
    <w:r>
      <w:fldChar w:fldCharType="end"/>
    </w:r>
    <w:r>
      <w:tab/>
    </w:r>
    <w:r>
      <w:fldChar w:fldCharType="begin"/>
    </w:r>
    <w:r>
      <w:instrText xml:space="preserve"> DOCPROPERTY  Author  \* MERGEFORMAT </w:instrText>
    </w:r>
    <w:r>
      <w:fldChar w:fldCharType="separate"/>
    </w:r>
    <w:r w:rsidR="00286956">
      <w:t>Manufacturing Industry Skills Alliance</w:t>
    </w:r>
    <w:r w:rsidR="00286956">
      <w:fldChar w:fldCharType="end"/>
    </w:r>
  </w:p>
  <w:p w:rsidR="00C1707A" w:rsidP="00C1707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707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95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1707A" w:rsidRPr="00286956" w:rsidP="0028695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707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956" w:rsidRPr="002D2AF8" w:rsidP="00C1707A">
    <w:pPr>
      <w:pStyle w:val="Header"/>
      <w:framePr w:wrap="around"/>
    </w:pPr>
    <w:r>
      <w:fldChar w:fldCharType="begin"/>
    </w:r>
    <w:r>
      <w:instrText xml:space="preserve"> TITLE   \* MERGEFORMAT </w:instrText>
    </w:r>
    <w:r>
      <w:fldChar w:fldCharType="separate"/>
    </w:r>
    <w:r>
      <w:t>PMASUP241 Maintain pipeline easements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86956" w:rsidP="00C1707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707A" w:rsidRPr="002D2AF8" w:rsidP="00C1707A">
    <w:pPr>
      <w:pStyle w:val="Header"/>
      <w:framePr w:wrap="around"/>
    </w:pPr>
    <w:r>
      <w:fldChar w:fldCharType="begin"/>
    </w:r>
    <w:r>
      <w:instrText xml:space="preserve"> TITLE   \* MERGEFORMAT </w:instrText>
    </w:r>
    <w:r>
      <w:fldChar w:fldCharType="separate"/>
    </w:r>
    <w:r w:rsidR="00286956">
      <w:t>PMASUP241 Maintain pipeline easements</w:t>
    </w:r>
    <w:r w:rsidR="00286956">
      <w:fldChar w:fldCharType="end"/>
    </w:r>
    <w:r>
      <w:tab/>
      <w:t xml:space="preserve">Date this document was generated: </w:t>
    </w:r>
    <w:r>
      <w:fldChar w:fldCharType="begin"/>
    </w:r>
    <w:r>
      <w:instrText xml:space="preserve"> CREATEDATE  \@ "d MMMM yyyy"  \* MERGEFORMAT </w:instrText>
    </w:r>
    <w:r>
      <w:fldChar w:fldCharType="separate"/>
    </w:r>
    <w:r w:rsidR="00286956">
      <w:rPr>
        <w:noProof/>
      </w:rPr>
      <w:t>2 March 2025</w:t>
    </w:r>
    <w:r>
      <w:fldChar w:fldCharType="end"/>
    </w:r>
  </w:p>
  <w:p w:rsidR="00C1707A" w:rsidP="00C1707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7BC86A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4B65CA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8525BF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707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1707A"/>
    <w:pPr>
      <w:spacing w:before="360" w:after="60"/>
      <w:outlineLvl w:val="0"/>
    </w:pPr>
    <w:rPr>
      <w:sz w:val="32"/>
    </w:rPr>
  </w:style>
  <w:style w:type="paragraph" w:styleId="Heading2">
    <w:name w:val="heading 2"/>
    <w:basedOn w:val="HeadingBase"/>
    <w:next w:val="BodyText"/>
    <w:link w:val="Heading2Char"/>
    <w:qFormat/>
    <w:rsid w:val="00C1707A"/>
    <w:pPr>
      <w:keepLines/>
      <w:spacing w:before="240" w:after="120"/>
      <w:outlineLvl w:val="1"/>
    </w:pPr>
    <w:rPr>
      <w:sz w:val="28"/>
      <w:szCs w:val="40"/>
    </w:rPr>
  </w:style>
  <w:style w:type="paragraph" w:styleId="Heading3">
    <w:name w:val="heading 3"/>
    <w:basedOn w:val="HeadingBase"/>
    <w:next w:val="BodyText"/>
    <w:link w:val="Heading3Char"/>
    <w:qFormat/>
    <w:rsid w:val="00C1707A"/>
    <w:pPr>
      <w:spacing w:before="180" w:after="120"/>
      <w:outlineLvl w:val="2"/>
    </w:pPr>
    <w:rPr>
      <w:spacing w:val="-10"/>
      <w:kern w:val="32"/>
    </w:rPr>
  </w:style>
  <w:style w:type="paragraph" w:styleId="Heading4">
    <w:name w:val="heading 4"/>
    <w:basedOn w:val="HeadingBase"/>
    <w:next w:val="BodyText"/>
    <w:link w:val="Heading4Char"/>
    <w:qFormat/>
    <w:rsid w:val="00C1707A"/>
    <w:pPr>
      <w:spacing w:before="160" w:after="120"/>
      <w:outlineLvl w:val="3"/>
    </w:pPr>
    <w:rPr>
      <w:sz w:val="22"/>
    </w:rPr>
  </w:style>
  <w:style w:type="paragraph" w:styleId="Heading5">
    <w:name w:val="heading 5"/>
    <w:basedOn w:val="HeadingBase"/>
    <w:next w:val="Normal"/>
    <w:link w:val="Heading5Char"/>
    <w:qFormat/>
    <w:rsid w:val="00C1707A"/>
    <w:pPr>
      <w:spacing w:before="80"/>
      <w:outlineLvl w:val="4"/>
    </w:pPr>
    <w:rPr>
      <w:color w:val="918585"/>
      <w:sz w:val="20"/>
    </w:rPr>
  </w:style>
  <w:style w:type="paragraph" w:styleId="Heading6">
    <w:name w:val="heading 6"/>
    <w:basedOn w:val="HeadingBase"/>
    <w:next w:val="Normal"/>
    <w:link w:val="Heading6Char"/>
    <w:qFormat/>
    <w:rsid w:val="00C1707A"/>
    <w:pPr>
      <w:spacing w:before="60"/>
      <w:outlineLvl w:val="5"/>
    </w:pPr>
    <w:rPr>
      <w:color w:val="918585"/>
      <w:sz w:val="20"/>
    </w:rPr>
  </w:style>
  <w:style w:type="paragraph" w:styleId="Heading7">
    <w:name w:val="heading 7"/>
    <w:basedOn w:val="Normal"/>
    <w:next w:val="Normal"/>
    <w:link w:val="Heading7Char"/>
    <w:qFormat/>
    <w:rsid w:val="00C1707A"/>
    <w:pPr>
      <w:ind w:left="720"/>
      <w:outlineLvl w:val="6"/>
    </w:pPr>
    <w:rPr>
      <w:i/>
    </w:rPr>
  </w:style>
  <w:style w:type="paragraph" w:styleId="Heading8">
    <w:name w:val="heading 8"/>
    <w:basedOn w:val="Normal"/>
    <w:next w:val="Normal"/>
    <w:link w:val="Heading8Char"/>
    <w:qFormat/>
    <w:rsid w:val="00C1707A"/>
    <w:pPr>
      <w:ind w:left="720"/>
      <w:outlineLvl w:val="7"/>
    </w:pPr>
    <w:rPr>
      <w:i/>
    </w:rPr>
  </w:style>
  <w:style w:type="paragraph" w:styleId="Heading9">
    <w:name w:val="heading 9"/>
    <w:basedOn w:val="Normal"/>
    <w:next w:val="Normal"/>
    <w:link w:val="Heading9Char"/>
    <w:qFormat/>
    <w:rsid w:val="00C1707A"/>
    <w:pPr>
      <w:ind w:left="720"/>
      <w:outlineLvl w:val="8"/>
    </w:pPr>
    <w:rPr>
      <w:i/>
    </w:rPr>
  </w:style>
  <w:style w:type="character" w:default="1" w:styleId="DefaultParagraphFont">
    <w:name w:val="Default Paragraph Font"/>
    <w:uiPriority w:val="1"/>
    <w:unhideWhenUsed/>
    <w:rsid w:val="00C1707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1707A"/>
  </w:style>
  <w:style w:type="character" w:customStyle="1" w:styleId="Heading1Char">
    <w:name w:val="Heading 1 Char"/>
    <w:basedOn w:val="DefaultParagraphFont"/>
    <w:link w:val="Heading1"/>
    <w:rsid w:val="00C1707A"/>
    <w:rPr>
      <w:rFonts w:ascii="Times New Roman" w:eastAsia="Times New Roman" w:hAnsi="Times New Roman" w:cs="Times New Roman"/>
      <w:b/>
      <w:sz w:val="32"/>
      <w:szCs w:val="20"/>
      <w:lang w:eastAsia="en-US"/>
    </w:rPr>
  </w:style>
  <w:style w:type="paragraph" w:styleId="BodyText">
    <w:name w:val="Body Text"/>
    <w:basedOn w:val="Normal"/>
    <w:link w:val="BodyTextChar"/>
    <w:rsid w:val="00C1707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1707A"/>
    <w:rPr>
      <w:rFonts w:ascii="Times New Roman" w:eastAsia="Times New Roman" w:hAnsi="Times New Roman" w:cs="Times New Roman"/>
      <w:sz w:val="24"/>
      <w:lang w:eastAsia="en-US"/>
    </w:rPr>
  </w:style>
  <w:style w:type="paragraph" w:styleId="ListBullet">
    <w:name w:val="List Bullet"/>
    <w:basedOn w:val="List"/>
    <w:rsid w:val="00C1707A"/>
    <w:pPr>
      <w:numPr>
        <w:numId w:val="12"/>
      </w:numPr>
      <w:tabs>
        <w:tab w:val="clear" w:pos="340"/>
      </w:tabs>
      <w:spacing w:before="40" w:after="40"/>
    </w:pPr>
  </w:style>
  <w:style w:type="character" w:customStyle="1" w:styleId="SpecialBold">
    <w:name w:val="Special Bold"/>
    <w:basedOn w:val="DefaultParagraphFont"/>
    <w:rsid w:val="00C1707A"/>
    <w:rPr>
      <w:b/>
      <w:spacing w:val="0"/>
    </w:rPr>
  </w:style>
  <w:style w:type="paragraph" w:styleId="ListBullet2">
    <w:name w:val="List Bullet 2"/>
    <w:basedOn w:val="List2"/>
    <w:rsid w:val="00C1707A"/>
    <w:pPr>
      <w:numPr>
        <w:numId w:val="13"/>
      </w:numPr>
      <w:tabs>
        <w:tab w:val="clear" w:pos="680"/>
      </w:tabs>
    </w:pPr>
  </w:style>
  <w:style w:type="paragraph" w:customStyle="1" w:styleId="SuperHeading">
    <w:name w:val="SuperHeading"/>
    <w:basedOn w:val="Normal"/>
    <w:rsid w:val="00C1707A"/>
    <w:pPr>
      <w:spacing w:before="240" w:after="120"/>
      <w:outlineLvl w:val="0"/>
    </w:pPr>
    <w:rPr>
      <w:rFonts w:ascii="Times New Roman" w:hAnsi="Times New Roman"/>
      <w:b/>
      <w:sz w:val="32"/>
    </w:rPr>
  </w:style>
  <w:style w:type="paragraph" w:customStyle="1" w:styleId="AllowPageBreak">
    <w:name w:val="AllowPageBreak"/>
    <w:rsid w:val="00C1707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1707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1707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1707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1707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1707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1707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1707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1707A"/>
    <w:rPr>
      <w:rFonts w:ascii="Courier New" w:eastAsia="Times New Roman" w:hAnsi="Courier New" w:cs="Times New Roman"/>
      <w:i/>
      <w:szCs w:val="20"/>
      <w:lang w:eastAsia="en-US"/>
    </w:rPr>
  </w:style>
  <w:style w:type="paragraph" w:customStyle="1" w:styleId="HeadingBase">
    <w:name w:val="Heading Base"/>
    <w:rsid w:val="00C1707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1707A"/>
    <w:pPr>
      <w:tabs>
        <w:tab w:val="right" w:leader="dot" w:pos="9072"/>
      </w:tabs>
      <w:ind w:left="567"/>
    </w:pPr>
    <w:rPr>
      <w:szCs w:val="22"/>
    </w:rPr>
  </w:style>
  <w:style w:type="paragraph" w:customStyle="1" w:styleId="TOCBase">
    <w:name w:val="TOC Base"/>
    <w:rsid w:val="00C1707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1707A"/>
    <w:pPr>
      <w:tabs>
        <w:tab w:val="right" w:leader="dot" w:pos="9072"/>
      </w:tabs>
      <w:spacing w:before="40" w:after="40"/>
      <w:ind w:left="284"/>
    </w:pPr>
    <w:rPr>
      <w:rFonts w:ascii="Times New Roman" w:hAnsi="Times New Roman"/>
    </w:rPr>
  </w:style>
  <w:style w:type="paragraph" w:styleId="TOC1">
    <w:name w:val="toc 1"/>
    <w:basedOn w:val="TOCBase"/>
    <w:next w:val="Normal"/>
    <w:rsid w:val="00C1707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1707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1707A"/>
    <w:rPr>
      <w:rFonts w:ascii="Times New Roman" w:eastAsia="Times New Roman" w:hAnsi="Times New Roman" w:cs="Times New Roman"/>
      <w:sz w:val="16"/>
      <w:lang w:eastAsia="en-US"/>
    </w:rPr>
  </w:style>
  <w:style w:type="paragraph" w:styleId="Title">
    <w:name w:val="Title"/>
    <w:basedOn w:val="HeadingBase"/>
    <w:link w:val="TitleChar"/>
    <w:qFormat/>
    <w:rsid w:val="00C1707A"/>
    <w:pPr>
      <w:spacing w:before="5040"/>
      <w:jc w:val="center"/>
    </w:pPr>
    <w:rPr>
      <w:sz w:val="48"/>
      <w:szCs w:val="72"/>
      <w:lang w:val="en-US"/>
    </w:rPr>
  </w:style>
  <w:style w:type="character" w:customStyle="1" w:styleId="TitleChar">
    <w:name w:val="Title Char"/>
    <w:basedOn w:val="DefaultParagraphFont"/>
    <w:link w:val="Title"/>
    <w:rsid w:val="00C1707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1707A"/>
    <w:pPr>
      <w:tabs>
        <w:tab w:val="left" w:pos="3600"/>
        <w:tab w:val="left" w:pos="3958"/>
      </w:tabs>
    </w:pPr>
  </w:style>
  <w:style w:type="paragraph" w:styleId="List">
    <w:name w:val="List"/>
    <w:basedOn w:val="BodyText"/>
    <w:next w:val="BodyText"/>
    <w:rsid w:val="00C1707A"/>
    <w:pPr>
      <w:tabs>
        <w:tab w:val="left" w:pos="340"/>
      </w:tabs>
      <w:spacing w:before="60" w:after="60"/>
      <w:ind w:left="340" w:hanging="340"/>
    </w:pPr>
  </w:style>
  <w:style w:type="paragraph" w:customStyle="1" w:styleId="Note">
    <w:name w:val="Note"/>
    <w:basedOn w:val="BodyText"/>
    <w:rsid w:val="00C1707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1707A"/>
    <w:pPr>
      <w:framePr w:wrap="auto" w:hAnchor="text" w:y="6049"/>
    </w:pPr>
    <w:rPr>
      <w:color w:val="000000"/>
      <w:sz w:val="40"/>
    </w:rPr>
  </w:style>
  <w:style w:type="paragraph" w:customStyle="1" w:styleId="TOCTitle">
    <w:name w:val="TOCTitle"/>
    <w:basedOn w:val="Heading1"/>
    <w:rsid w:val="00C1707A"/>
    <w:pPr>
      <w:spacing w:after="240"/>
      <w:jc w:val="center"/>
      <w:outlineLvl w:val="9"/>
    </w:pPr>
    <w:rPr>
      <w:caps/>
    </w:rPr>
  </w:style>
  <w:style w:type="paragraph" w:customStyle="1" w:styleId="Version">
    <w:name w:val="Version"/>
    <w:rsid w:val="00C1707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1707A"/>
    <w:pPr>
      <w:keepNext w:val="0"/>
      <w:tabs>
        <w:tab w:val="right" w:pos="4176"/>
      </w:tabs>
      <w:ind w:left="198" w:hanging="198"/>
    </w:pPr>
    <w:rPr>
      <w:rFonts w:ascii="Garamond" w:hAnsi="Garamond"/>
    </w:rPr>
  </w:style>
  <w:style w:type="paragraph" w:styleId="IndexHeading">
    <w:name w:val="index heading"/>
    <w:basedOn w:val="Normal"/>
    <w:next w:val="Index1"/>
    <w:semiHidden/>
    <w:rsid w:val="00C1707A"/>
    <w:pPr>
      <w:spacing w:before="120" w:after="120"/>
    </w:pPr>
    <w:rPr>
      <w:rFonts w:ascii="Arial" w:hAnsi="Arial"/>
      <w:b/>
      <w:color w:val="918585"/>
      <w:sz w:val="24"/>
    </w:rPr>
  </w:style>
  <w:style w:type="paragraph" w:styleId="Header">
    <w:name w:val="header"/>
    <w:basedOn w:val="Normal"/>
    <w:link w:val="HeaderChar"/>
    <w:rsid w:val="00C1707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1707A"/>
    <w:rPr>
      <w:rFonts w:ascii="Times New Roman" w:eastAsia="Times New Roman" w:hAnsi="Times New Roman" w:cs="Times New Roman"/>
      <w:sz w:val="16"/>
      <w:szCs w:val="20"/>
      <w:lang w:val="en-GB" w:eastAsia="en-US"/>
    </w:rPr>
  </w:style>
  <w:style w:type="paragraph" w:customStyle="1" w:styleId="Chapter">
    <w:name w:val="Chapter"/>
    <w:basedOn w:val="Normal"/>
    <w:rsid w:val="00C1707A"/>
    <w:pPr>
      <w:spacing w:before="240"/>
    </w:pPr>
    <w:rPr>
      <w:rFonts w:ascii="Times New Roman" w:hAnsi="Times New Roman"/>
      <w:smallCaps/>
      <w:spacing w:val="80"/>
      <w:sz w:val="28"/>
    </w:rPr>
  </w:style>
  <w:style w:type="paragraph" w:customStyle="1" w:styleId="InChapter">
    <w:name w:val="InChapter"/>
    <w:basedOn w:val="Heading3"/>
    <w:rsid w:val="00C1707A"/>
    <w:pPr>
      <w:spacing w:after="240"/>
      <w:outlineLvl w:val="9"/>
    </w:pPr>
    <w:rPr>
      <w:noProof/>
    </w:rPr>
  </w:style>
  <w:style w:type="paragraph" w:styleId="Index2">
    <w:name w:val="index 2"/>
    <w:basedOn w:val="Normal"/>
    <w:next w:val="Normal"/>
    <w:semiHidden/>
    <w:rsid w:val="00C1707A"/>
    <w:pPr>
      <w:tabs>
        <w:tab w:val="right" w:pos="4176"/>
      </w:tabs>
      <w:ind w:left="568" w:hanging="284"/>
    </w:pPr>
    <w:rPr>
      <w:rFonts w:ascii="Garamond" w:hAnsi="Garamond"/>
    </w:rPr>
  </w:style>
  <w:style w:type="paragraph" w:customStyle="1" w:styleId="Byline">
    <w:name w:val="Byline"/>
    <w:rsid w:val="00C1707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1707A"/>
    <w:pPr>
      <w:tabs>
        <w:tab w:val="clear" w:pos="3600"/>
        <w:tab w:val="clear" w:pos="3958"/>
      </w:tabs>
      <w:jc w:val="right"/>
    </w:pPr>
  </w:style>
  <w:style w:type="character" w:styleId="Emphasis">
    <w:name w:val="Emphasis"/>
    <w:basedOn w:val="DefaultParagraphFont"/>
    <w:qFormat/>
    <w:rsid w:val="00C1707A"/>
    <w:rPr>
      <w:i/>
    </w:rPr>
  </w:style>
  <w:style w:type="paragraph" w:styleId="Caption">
    <w:name w:val="caption"/>
    <w:basedOn w:val="BodyText"/>
    <w:next w:val="Normal"/>
    <w:qFormat/>
    <w:rsid w:val="00C1707A"/>
    <w:pPr>
      <w:framePr w:w="2268" w:hSpace="181" w:vSpace="181" w:wrap="around" w:vAnchor="text" w:hAnchor="page" w:x="1135" w:y="285" w:anchorLock="1"/>
    </w:pPr>
    <w:rPr>
      <w:i/>
    </w:rPr>
  </w:style>
  <w:style w:type="paragraph" w:customStyle="1" w:styleId="MiniTOCTitle">
    <w:name w:val="MiniTOCTitle"/>
    <w:basedOn w:val="Heading4"/>
    <w:rsid w:val="00C1707A"/>
    <w:pPr>
      <w:spacing w:before="240"/>
      <w:outlineLvl w:val="9"/>
    </w:pPr>
    <w:rPr>
      <w:noProof/>
      <w:sz w:val="24"/>
    </w:rPr>
  </w:style>
  <w:style w:type="paragraph" w:customStyle="1" w:styleId="MiniTOCItem">
    <w:name w:val="MiniTOCItem"/>
    <w:basedOn w:val="ListBullet"/>
    <w:rsid w:val="00C1707A"/>
    <w:pPr>
      <w:numPr>
        <w:numId w:val="0"/>
      </w:numPr>
      <w:tabs>
        <w:tab w:val="right" w:leader="dot" w:pos="6521"/>
      </w:tabs>
      <w:spacing w:before="0" w:after="0"/>
    </w:pPr>
  </w:style>
  <w:style w:type="paragraph" w:customStyle="1" w:styleId="TOFTitle">
    <w:name w:val="TOFTitle"/>
    <w:basedOn w:val="TOCTitle"/>
    <w:rsid w:val="00C1707A"/>
  </w:style>
  <w:style w:type="paragraph" w:styleId="TableofFigures">
    <w:name w:val="table of figures"/>
    <w:basedOn w:val="Normal"/>
    <w:next w:val="Normal"/>
    <w:semiHidden/>
    <w:rsid w:val="00C1707A"/>
    <w:pPr>
      <w:tabs>
        <w:tab w:val="right" w:leader="dot" w:pos="9072"/>
      </w:tabs>
      <w:ind w:left="970" w:hanging="403"/>
    </w:pPr>
    <w:rPr>
      <w:rFonts w:ascii="Times New Roman" w:hAnsi="Times New Roman"/>
      <w:b/>
    </w:rPr>
  </w:style>
  <w:style w:type="paragraph" w:styleId="ListNumber">
    <w:name w:val="List Number"/>
    <w:basedOn w:val="List"/>
    <w:rsid w:val="00C1707A"/>
    <w:pPr>
      <w:numPr>
        <w:numId w:val="15"/>
      </w:numPr>
      <w:tabs>
        <w:tab w:val="clear" w:pos="340"/>
      </w:tabs>
    </w:pPr>
  </w:style>
  <w:style w:type="character" w:customStyle="1" w:styleId="WingdingSymbols">
    <w:name w:val="Wingding Symbols"/>
    <w:rsid w:val="00C1707A"/>
    <w:rPr>
      <w:rFonts w:ascii="Wingdings" w:hAnsi="Wingdings"/>
    </w:rPr>
  </w:style>
  <w:style w:type="paragraph" w:customStyle="1" w:styleId="TableHeading">
    <w:name w:val="Table Heading"/>
    <w:basedOn w:val="HeadingBase"/>
    <w:rsid w:val="00C1707A"/>
    <w:pPr>
      <w:keepLines/>
      <w:pBdr>
        <w:bottom w:val="single" w:sz="6" w:space="1" w:color="918585"/>
      </w:pBdr>
      <w:spacing w:before="240"/>
    </w:pPr>
  </w:style>
  <w:style w:type="character" w:customStyle="1" w:styleId="HotSpot">
    <w:name w:val="HotSpot"/>
    <w:rsid w:val="00C1707A"/>
    <w:rPr>
      <w:color w:val="0033CC"/>
      <w:u w:val="none"/>
    </w:rPr>
  </w:style>
  <w:style w:type="paragraph" w:customStyle="1" w:styleId="BodyTextRight">
    <w:name w:val="Body Text Right"/>
    <w:basedOn w:val="BodyText"/>
    <w:rsid w:val="00C1707A"/>
    <w:pPr>
      <w:spacing w:before="0" w:after="0"/>
      <w:jc w:val="right"/>
    </w:pPr>
  </w:style>
  <w:style w:type="paragraph" w:styleId="Index3">
    <w:name w:val="index 3"/>
    <w:basedOn w:val="ListNumber2"/>
    <w:next w:val="Normal"/>
    <w:semiHidden/>
    <w:rsid w:val="00C1707A"/>
    <w:pPr>
      <w:numPr>
        <w:numId w:val="0"/>
      </w:numPr>
      <w:tabs>
        <w:tab w:val="right" w:leader="dot" w:pos="4176"/>
      </w:tabs>
    </w:pPr>
  </w:style>
  <w:style w:type="paragraph" w:styleId="ListNumber2">
    <w:name w:val="List Number 2"/>
    <w:basedOn w:val="List2"/>
    <w:rsid w:val="00C1707A"/>
    <w:pPr>
      <w:numPr>
        <w:numId w:val="10"/>
      </w:numPr>
      <w:tabs>
        <w:tab w:val="clear" w:pos="1060"/>
      </w:tabs>
    </w:pPr>
  </w:style>
  <w:style w:type="paragraph" w:customStyle="1" w:styleId="MarginNote">
    <w:name w:val="Margin Note"/>
    <w:basedOn w:val="BodyText"/>
    <w:rsid w:val="00C1707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1707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1707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1707A"/>
    <w:rPr>
      <w:sz w:val="32"/>
    </w:rPr>
  </w:style>
  <w:style w:type="paragraph" w:customStyle="1" w:styleId="HeadingProcedure">
    <w:name w:val="Heading Procedure"/>
    <w:basedOn w:val="HeadingBase"/>
    <w:next w:val="Normal"/>
    <w:rsid w:val="00C1707A"/>
    <w:pPr>
      <w:tabs>
        <w:tab w:val="left" w:pos="0"/>
      </w:tabs>
      <w:spacing w:before="120" w:after="60"/>
    </w:pPr>
    <w:rPr>
      <w:i/>
      <w:color w:val="918585"/>
      <w:sz w:val="22"/>
    </w:rPr>
  </w:style>
  <w:style w:type="paragraph" w:customStyle="1" w:styleId="TableBodyText">
    <w:name w:val="Table Body Text"/>
    <w:basedOn w:val="BodyText"/>
    <w:rsid w:val="00C1707A"/>
    <w:pPr>
      <w:spacing w:before="60" w:after="60"/>
    </w:pPr>
  </w:style>
  <w:style w:type="paragraph" w:styleId="ListContinue">
    <w:name w:val="List Continue"/>
    <w:basedOn w:val="List"/>
    <w:rsid w:val="00C1707A"/>
    <w:pPr>
      <w:ind w:firstLine="0"/>
    </w:pPr>
  </w:style>
  <w:style w:type="paragraph" w:customStyle="1" w:styleId="ListNote">
    <w:name w:val="List Note"/>
    <w:basedOn w:val="List"/>
    <w:rsid w:val="00C1707A"/>
    <w:pPr>
      <w:pBdr>
        <w:top w:val="single" w:sz="6" w:space="2" w:color="918585"/>
        <w:bottom w:val="single" w:sz="6" w:space="2" w:color="918585"/>
      </w:pBdr>
      <w:tabs>
        <w:tab w:val="left" w:pos="1021"/>
      </w:tabs>
      <w:ind w:firstLine="0"/>
    </w:pPr>
  </w:style>
  <w:style w:type="paragraph" w:customStyle="1" w:styleId="Warning">
    <w:name w:val="Warning"/>
    <w:basedOn w:val="BodyText"/>
    <w:rsid w:val="00C1707A"/>
    <w:pPr>
      <w:shd w:val="clear" w:color="auto" w:fill="D9D9D9"/>
      <w:tabs>
        <w:tab w:val="left" w:pos="992"/>
      </w:tabs>
      <w:ind w:left="119" w:right="119"/>
    </w:pPr>
    <w:rPr>
      <w:sz w:val="20"/>
    </w:rPr>
  </w:style>
  <w:style w:type="paragraph" w:customStyle="1" w:styleId="MarginIcons">
    <w:name w:val="Margin Icons"/>
    <w:basedOn w:val="BodyText"/>
    <w:rsid w:val="00C1707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1707A"/>
    <w:rPr>
      <w:rFonts w:ascii="Courier New" w:hAnsi="Courier New"/>
    </w:rPr>
  </w:style>
  <w:style w:type="paragraph" w:customStyle="1" w:styleId="NoteBullet">
    <w:name w:val="Note Bullet"/>
    <w:basedOn w:val="Note"/>
    <w:rsid w:val="00C1707A"/>
    <w:pPr>
      <w:tabs>
        <w:tab w:val="clear" w:pos="680"/>
      </w:tabs>
      <w:spacing w:before="60" w:after="60"/>
    </w:pPr>
  </w:style>
  <w:style w:type="paragraph" w:customStyle="1" w:styleId="SubHeading2">
    <w:name w:val="SubHeading2"/>
    <w:basedOn w:val="HeadingBase"/>
    <w:rsid w:val="00C1707A"/>
    <w:pPr>
      <w:spacing w:before="240" w:after="60"/>
    </w:pPr>
    <w:rPr>
      <w:sz w:val="20"/>
    </w:rPr>
  </w:style>
  <w:style w:type="paragraph" w:customStyle="1" w:styleId="SubHeading1">
    <w:name w:val="SubHeading1"/>
    <w:basedOn w:val="HeadingBase"/>
    <w:rsid w:val="00C1707A"/>
    <w:pPr>
      <w:spacing w:before="240" w:after="60"/>
    </w:pPr>
    <w:rPr>
      <w:color w:val="918585"/>
      <w:sz w:val="22"/>
    </w:rPr>
  </w:style>
  <w:style w:type="paragraph" w:customStyle="1" w:styleId="SideHeading">
    <w:name w:val="Side Heading"/>
    <w:basedOn w:val="HeadingBase"/>
    <w:rsid w:val="00C1707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1707A"/>
    <w:pPr>
      <w:tabs>
        <w:tab w:val="num" w:pos="360"/>
      </w:tabs>
    </w:pPr>
  </w:style>
  <w:style w:type="paragraph" w:styleId="PlainText">
    <w:name w:val="Plain Text"/>
    <w:basedOn w:val="Normal"/>
    <w:link w:val="PlainTextChar"/>
    <w:rsid w:val="00C1707A"/>
    <w:rPr>
      <w:sz w:val="20"/>
    </w:rPr>
  </w:style>
  <w:style w:type="character" w:customStyle="1" w:styleId="PlainTextChar">
    <w:name w:val="Plain Text Char"/>
    <w:basedOn w:val="DefaultParagraphFont"/>
    <w:link w:val="PlainText"/>
    <w:rsid w:val="00C1707A"/>
    <w:rPr>
      <w:rFonts w:ascii="Courier New" w:eastAsia="Times New Roman" w:hAnsi="Courier New" w:cs="Times New Roman"/>
      <w:sz w:val="20"/>
      <w:szCs w:val="20"/>
      <w:lang w:eastAsia="en-US"/>
    </w:rPr>
  </w:style>
  <w:style w:type="character" w:customStyle="1" w:styleId="MenuOption">
    <w:name w:val="Menu Option"/>
    <w:basedOn w:val="DefaultParagraphFont"/>
    <w:rsid w:val="00C1707A"/>
    <w:rPr>
      <w:b/>
      <w:smallCaps/>
    </w:rPr>
  </w:style>
  <w:style w:type="paragraph" w:customStyle="1" w:styleId="TableListNumber">
    <w:name w:val="Table List Number"/>
    <w:basedOn w:val="ListNumber"/>
    <w:rsid w:val="00C1707A"/>
    <w:pPr>
      <w:numPr>
        <w:numId w:val="0"/>
      </w:numPr>
    </w:pPr>
  </w:style>
  <w:style w:type="paragraph" w:styleId="TOC4">
    <w:name w:val="toc 4"/>
    <w:basedOn w:val="TOCBase"/>
    <w:next w:val="Normal"/>
    <w:semiHidden/>
    <w:rsid w:val="00C1707A"/>
    <w:pPr>
      <w:tabs>
        <w:tab w:val="right" w:leader="dot" w:pos="9071"/>
      </w:tabs>
      <w:ind w:left="1701"/>
    </w:pPr>
  </w:style>
  <w:style w:type="paragraph" w:customStyle="1" w:styleId="ListAlpha">
    <w:name w:val="List Alpha"/>
    <w:basedOn w:val="List"/>
    <w:rsid w:val="00C1707A"/>
    <w:pPr>
      <w:numPr>
        <w:numId w:val="9"/>
      </w:numPr>
    </w:pPr>
  </w:style>
  <w:style w:type="paragraph" w:customStyle="1" w:styleId="ListAlpha2">
    <w:name w:val="List Alpha 2"/>
    <w:basedOn w:val="List2"/>
    <w:rsid w:val="00C1707A"/>
    <w:pPr>
      <w:numPr>
        <w:numId w:val="8"/>
      </w:numPr>
    </w:pPr>
  </w:style>
  <w:style w:type="paragraph" w:styleId="List2">
    <w:name w:val="List 2"/>
    <w:basedOn w:val="BodyText"/>
    <w:rsid w:val="00C1707A"/>
    <w:pPr>
      <w:tabs>
        <w:tab w:val="left" w:pos="680"/>
      </w:tabs>
      <w:spacing w:before="60" w:after="60"/>
      <w:ind w:left="680" w:hanging="340"/>
    </w:pPr>
  </w:style>
  <w:style w:type="paragraph" w:styleId="List3">
    <w:name w:val="List 3"/>
    <w:basedOn w:val="BodyText"/>
    <w:rsid w:val="00C1707A"/>
    <w:pPr>
      <w:tabs>
        <w:tab w:val="left" w:pos="1021"/>
      </w:tabs>
      <w:spacing w:before="60" w:after="60"/>
      <w:ind w:left="1020" w:hanging="340"/>
    </w:pPr>
  </w:style>
  <w:style w:type="paragraph" w:styleId="List4">
    <w:name w:val="List 4"/>
    <w:basedOn w:val="BodyText"/>
    <w:rsid w:val="00C1707A"/>
    <w:pPr>
      <w:tabs>
        <w:tab w:val="left" w:pos="1361"/>
      </w:tabs>
      <w:spacing w:before="60" w:after="60"/>
      <w:ind w:left="1361" w:hanging="340"/>
    </w:pPr>
  </w:style>
  <w:style w:type="paragraph" w:styleId="List5">
    <w:name w:val="List 5"/>
    <w:basedOn w:val="BodyText"/>
    <w:rsid w:val="00C1707A"/>
    <w:pPr>
      <w:tabs>
        <w:tab w:val="left" w:pos="1701"/>
      </w:tabs>
      <w:spacing w:before="60" w:after="60"/>
      <w:ind w:left="1701" w:hanging="340"/>
    </w:pPr>
  </w:style>
  <w:style w:type="paragraph" w:styleId="ListBullet3">
    <w:name w:val="List Bullet 3"/>
    <w:basedOn w:val="List3"/>
    <w:rsid w:val="00C1707A"/>
    <w:pPr>
      <w:numPr>
        <w:numId w:val="14"/>
      </w:numPr>
      <w:tabs>
        <w:tab w:val="clear" w:pos="1021"/>
      </w:tabs>
      <w:ind w:left="1037" w:hanging="357"/>
    </w:pPr>
  </w:style>
  <w:style w:type="paragraph" w:styleId="ListBullet4">
    <w:name w:val="List Bullet 4"/>
    <w:basedOn w:val="List4"/>
    <w:rsid w:val="00C1707A"/>
    <w:pPr>
      <w:numPr>
        <w:numId w:val="3"/>
      </w:numPr>
      <w:tabs>
        <w:tab w:val="clear" w:pos="1361"/>
      </w:tabs>
    </w:pPr>
  </w:style>
  <w:style w:type="paragraph" w:styleId="ListBullet5">
    <w:name w:val="List Bullet 5"/>
    <w:basedOn w:val="List5"/>
    <w:rsid w:val="00C1707A"/>
    <w:pPr>
      <w:numPr>
        <w:numId w:val="4"/>
      </w:numPr>
    </w:pPr>
  </w:style>
  <w:style w:type="paragraph" w:styleId="ListContinue2">
    <w:name w:val="List Continue 2"/>
    <w:basedOn w:val="List2"/>
    <w:rsid w:val="00C1707A"/>
    <w:pPr>
      <w:ind w:firstLine="0"/>
    </w:pPr>
  </w:style>
  <w:style w:type="paragraph" w:styleId="ListContinue3">
    <w:name w:val="List Continue 3"/>
    <w:basedOn w:val="List3"/>
    <w:rsid w:val="00C1707A"/>
    <w:pPr>
      <w:ind w:left="1021" w:firstLine="0"/>
    </w:pPr>
  </w:style>
  <w:style w:type="paragraph" w:styleId="ListContinue4">
    <w:name w:val="List Continue 4"/>
    <w:basedOn w:val="List4"/>
    <w:rsid w:val="00C1707A"/>
    <w:pPr>
      <w:ind w:firstLine="0"/>
    </w:pPr>
  </w:style>
  <w:style w:type="paragraph" w:styleId="ListContinue5">
    <w:name w:val="List Continue 5"/>
    <w:basedOn w:val="List5"/>
    <w:rsid w:val="00C1707A"/>
    <w:pPr>
      <w:ind w:firstLine="0"/>
    </w:pPr>
  </w:style>
  <w:style w:type="paragraph" w:styleId="ListNumber3">
    <w:name w:val="List Number 3"/>
    <w:basedOn w:val="List3"/>
    <w:rsid w:val="00C1707A"/>
    <w:pPr>
      <w:numPr>
        <w:numId w:val="5"/>
      </w:numPr>
    </w:pPr>
  </w:style>
  <w:style w:type="paragraph" w:styleId="ListNumber4">
    <w:name w:val="List Number 4"/>
    <w:basedOn w:val="List4"/>
    <w:rsid w:val="00C1707A"/>
    <w:pPr>
      <w:numPr>
        <w:numId w:val="6"/>
      </w:numPr>
    </w:pPr>
  </w:style>
  <w:style w:type="paragraph" w:styleId="ListNumber5">
    <w:name w:val="List Number 5"/>
    <w:basedOn w:val="List5"/>
    <w:rsid w:val="00C1707A"/>
    <w:pPr>
      <w:numPr>
        <w:numId w:val="7"/>
      </w:numPr>
    </w:pPr>
  </w:style>
  <w:style w:type="paragraph" w:styleId="BlockText">
    <w:name w:val="Block Text"/>
    <w:basedOn w:val="Normal"/>
    <w:rsid w:val="00C1707A"/>
    <w:pPr>
      <w:spacing w:after="120"/>
      <w:ind w:left="1440" w:right="1440"/>
    </w:pPr>
  </w:style>
  <w:style w:type="character" w:customStyle="1" w:styleId="Subscript">
    <w:name w:val="Subscript"/>
    <w:basedOn w:val="DefaultParagraphFont"/>
    <w:rsid w:val="00C1707A"/>
    <w:rPr>
      <w:sz w:val="16"/>
      <w:vertAlign w:val="subscript"/>
    </w:rPr>
  </w:style>
  <w:style w:type="character" w:customStyle="1" w:styleId="Superscript">
    <w:name w:val="Superscript"/>
    <w:basedOn w:val="DefaultParagraphFont"/>
    <w:rsid w:val="00C1707A"/>
    <w:rPr>
      <w:sz w:val="16"/>
      <w:vertAlign w:val="superscript"/>
    </w:rPr>
  </w:style>
  <w:style w:type="character" w:customStyle="1" w:styleId="Symbols">
    <w:name w:val="Symbols"/>
    <w:basedOn w:val="DefaultParagraphFont"/>
    <w:rsid w:val="00C1707A"/>
    <w:rPr>
      <w:rFonts w:ascii="Symbol" w:hAnsi="Symbol"/>
    </w:rPr>
  </w:style>
  <w:style w:type="character" w:customStyle="1" w:styleId="MenuOptions">
    <w:name w:val="Menu Options"/>
    <w:basedOn w:val="DefaultParagraphFont"/>
    <w:rsid w:val="00C1707A"/>
    <w:rPr>
      <w:rFonts w:ascii="Arial Narrow" w:hAnsi="Arial Narrow"/>
      <w:smallCaps/>
    </w:rPr>
  </w:style>
  <w:style w:type="character" w:customStyle="1" w:styleId="Buttons">
    <w:name w:val="Buttons"/>
    <w:basedOn w:val="DefaultParagraphFont"/>
    <w:rsid w:val="00C1707A"/>
    <w:rPr>
      <w:b/>
    </w:rPr>
  </w:style>
  <w:style w:type="character" w:customStyle="1" w:styleId="Underlined">
    <w:name w:val="Underlined"/>
    <w:basedOn w:val="DefaultParagraphFont"/>
    <w:rsid w:val="00C1707A"/>
    <w:rPr>
      <w:u w:val="single"/>
    </w:rPr>
  </w:style>
  <w:style w:type="paragraph" w:customStyle="1" w:styleId="TableBodyTextRight">
    <w:name w:val="Table Body Text Right"/>
    <w:basedOn w:val="TableBodyText"/>
    <w:rsid w:val="00C1707A"/>
    <w:pPr>
      <w:widowControl w:val="0"/>
      <w:autoSpaceDE w:val="0"/>
      <w:autoSpaceDN w:val="0"/>
      <w:adjustRightInd w:val="0"/>
      <w:jc w:val="right"/>
    </w:pPr>
    <w:rPr>
      <w:rFonts w:cs="Arial"/>
      <w:szCs w:val="18"/>
    </w:rPr>
  </w:style>
  <w:style w:type="paragraph" w:customStyle="1" w:styleId="CopyrightText">
    <w:name w:val="Copyright Text"/>
    <w:basedOn w:val="BodyText"/>
    <w:rsid w:val="00C1707A"/>
    <w:rPr>
      <w:sz w:val="18"/>
    </w:rPr>
  </w:style>
  <w:style w:type="paragraph" w:customStyle="1" w:styleId="BodySmallRight">
    <w:name w:val="Body Small Right"/>
    <w:basedOn w:val="BodyTextRight"/>
    <w:rsid w:val="00C1707A"/>
    <w:rPr>
      <w:sz w:val="18"/>
      <w:szCs w:val="18"/>
    </w:rPr>
  </w:style>
  <w:style w:type="paragraph" w:customStyle="1" w:styleId="MarginEdition">
    <w:name w:val="Margin Edition"/>
    <w:basedOn w:val="MarginNote"/>
    <w:rsid w:val="00C1707A"/>
    <w:pPr>
      <w:spacing w:before="0" w:after="0"/>
    </w:pPr>
    <w:rPr>
      <w:rFonts w:ascii="Times New Roman" w:hAnsi="Times New Roman"/>
      <w:color w:val="999999"/>
    </w:rPr>
  </w:style>
  <w:style w:type="paragraph" w:customStyle="1" w:styleId="Spacer">
    <w:name w:val="Spacer"/>
    <w:basedOn w:val="Normal"/>
    <w:rsid w:val="00C1707A"/>
    <w:rPr>
      <w:sz w:val="2"/>
      <w:szCs w:val="2"/>
    </w:rPr>
  </w:style>
  <w:style w:type="character" w:customStyle="1" w:styleId="Small">
    <w:name w:val="Small"/>
    <w:basedOn w:val="DefaultParagraphFont"/>
    <w:rsid w:val="00C1707A"/>
    <w:rPr>
      <w:sz w:val="16"/>
    </w:rPr>
  </w:style>
  <w:style w:type="paragraph" w:customStyle="1" w:styleId="WideTable">
    <w:name w:val="Wide Table"/>
    <w:basedOn w:val="Normal"/>
    <w:rsid w:val="00C1707A"/>
    <w:pPr>
      <w:ind w:left="-1418"/>
    </w:pPr>
    <w:rPr>
      <w:sz w:val="2"/>
      <w:szCs w:val="2"/>
    </w:rPr>
  </w:style>
  <w:style w:type="character" w:styleId="PageNumber">
    <w:name w:val="page number"/>
    <w:basedOn w:val="DefaultParagraphFont"/>
    <w:rsid w:val="00C1707A"/>
  </w:style>
  <w:style w:type="paragraph" w:styleId="Quote">
    <w:name w:val="Quote"/>
    <w:basedOn w:val="Heading1"/>
    <w:link w:val="QuoteChar"/>
    <w:qFormat/>
    <w:rsid w:val="00C1707A"/>
    <w:rPr>
      <w:b w:val="0"/>
      <w:sz w:val="72"/>
      <w:szCs w:val="72"/>
      <w:lang w:val="en-NZ"/>
    </w:rPr>
  </w:style>
  <w:style w:type="character" w:customStyle="1" w:styleId="QuoteChar">
    <w:name w:val="Quote Char"/>
    <w:basedOn w:val="DefaultParagraphFont"/>
    <w:link w:val="Quote"/>
    <w:rsid w:val="00C1707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1707A"/>
    <w:pPr>
      <w:pageBreakBefore/>
    </w:pPr>
  </w:style>
  <w:style w:type="paragraph" w:customStyle="1" w:styleId="Border">
    <w:name w:val="Border"/>
    <w:basedOn w:val="Normal"/>
    <w:qFormat/>
    <w:rsid w:val="00C1707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1707A"/>
    <w:rPr>
      <w:b/>
      <w:bCs/>
      <w:i/>
      <w:iCs/>
      <w:color w:val="auto"/>
    </w:rPr>
  </w:style>
  <w:style w:type="paragraph" w:styleId="IntenseQuote">
    <w:name w:val="Intense Quote"/>
    <w:basedOn w:val="Normal"/>
    <w:next w:val="Normal"/>
    <w:link w:val="IntenseQuoteChar"/>
    <w:uiPriority w:val="30"/>
    <w:qFormat/>
    <w:rsid w:val="00C1707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1707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1707A"/>
    <w:rPr>
      <w:smallCaps/>
      <w:color w:val="auto"/>
      <w:u w:val="single"/>
    </w:rPr>
  </w:style>
  <w:style w:type="character" w:styleId="IntenseReference">
    <w:name w:val="Intense Reference"/>
    <w:basedOn w:val="DefaultParagraphFont"/>
    <w:uiPriority w:val="32"/>
    <w:qFormat/>
    <w:rsid w:val="00C1707A"/>
    <w:rPr>
      <w:b/>
      <w:bCs/>
      <w:smallCaps/>
      <w:color w:val="auto"/>
      <w:spacing w:val="5"/>
      <w:u w:val="single"/>
    </w:rPr>
  </w:style>
  <w:style w:type="paragraph" w:customStyle="1" w:styleId="2ColumnHeading">
    <w:name w:val="2Column Heading"/>
    <w:basedOn w:val="BodyText"/>
    <w:qFormat/>
    <w:rsid w:val="00C1707A"/>
    <w:pPr>
      <w:spacing w:after="60"/>
      <w:ind w:left="-2268"/>
    </w:pPr>
    <w:rPr>
      <w:b/>
    </w:rPr>
  </w:style>
  <w:style w:type="paragraph" w:customStyle="1" w:styleId="Heading1TOC">
    <w:name w:val="Heading1 TOC"/>
    <w:basedOn w:val="Normal"/>
    <w:qFormat/>
    <w:rsid w:val="00C1707A"/>
    <w:pPr>
      <w:spacing w:before="240" w:after="120"/>
    </w:pPr>
    <w:rPr>
      <w:rFonts w:ascii="Times New Roman" w:hAnsi="Times New Roman"/>
      <w:b/>
      <w:sz w:val="32"/>
    </w:rPr>
  </w:style>
  <w:style w:type="paragraph" w:customStyle="1" w:styleId="Heading2TOC">
    <w:name w:val="Heading2 TOC"/>
    <w:basedOn w:val="Normal"/>
    <w:qFormat/>
    <w:rsid w:val="00C1707A"/>
    <w:pPr>
      <w:spacing w:before="240" w:after="60"/>
    </w:pPr>
    <w:rPr>
      <w:rFonts w:ascii="Times New Roman" w:hAnsi="Times New Roman"/>
      <w:b/>
      <w:sz w:val="28"/>
    </w:rPr>
  </w:style>
  <w:style w:type="character" w:customStyle="1" w:styleId="Underline">
    <w:name w:val="Underline"/>
    <w:basedOn w:val="DefaultParagraphFont"/>
    <w:qFormat/>
    <w:rsid w:val="00C1707A"/>
    <w:rPr>
      <w:u w:val="single"/>
    </w:rPr>
  </w:style>
  <w:style w:type="character" w:customStyle="1" w:styleId="BoldandItalics">
    <w:name w:val="Bold and Italics"/>
    <w:qFormat/>
    <w:rsid w:val="00C1707A"/>
    <w:rPr>
      <w:b/>
      <w:i/>
      <w:u w:val="none"/>
    </w:rPr>
  </w:style>
  <w:style w:type="paragraph" w:styleId="BalloonText">
    <w:name w:val="Balloon Text"/>
    <w:basedOn w:val="Normal"/>
    <w:link w:val="BalloonTextChar"/>
    <w:rsid w:val="00C1707A"/>
    <w:rPr>
      <w:rFonts w:ascii="Tahoma" w:hAnsi="Tahoma" w:cs="Tahoma"/>
      <w:sz w:val="16"/>
      <w:szCs w:val="16"/>
    </w:rPr>
  </w:style>
  <w:style w:type="character" w:customStyle="1" w:styleId="BalloonTextChar">
    <w:name w:val="Balloon Text Char"/>
    <w:basedOn w:val="DefaultParagraphFont"/>
    <w:link w:val="BalloonText"/>
    <w:rsid w:val="00C1707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1707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1707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1707A"/>
    <w:rPr>
      <w:b/>
      <w:color w:val="660033"/>
      <w:spacing w:val="0"/>
    </w:rPr>
  </w:style>
  <w:style w:type="paragraph" w:customStyle="1" w:styleId="Nameditemlist">
    <w:name w:val="Named item list"/>
    <w:basedOn w:val="BodyText"/>
    <w:qFormat/>
    <w:rsid w:val="00C1707A"/>
    <w:pPr>
      <w:tabs>
        <w:tab w:val="left" w:pos="2835"/>
      </w:tabs>
      <w:ind w:left="2835" w:hanging="2835"/>
    </w:pPr>
  </w:style>
  <w:style w:type="paragraph" w:customStyle="1" w:styleId="BodyTextnopadding">
    <w:name w:val="Body Text no padding"/>
    <w:basedOn w:val="BodyText"/>
    <w:qFormat/>
    <w:rsid w:val="00C1707A"/>
    <w:pPr>
      <w:spacing w:before="0" w:after="0"/>
    </w:pPr>
  </w:style>
  <w:style w:type="paragraph" w:customStyle="1" w:styleId="BodyTextBold">
    <w:name w:val="Body Text Bold"/>
    <w:basedOn w:val="BodyText"/>
    <w:qFormat/>
    <w:rsid w:val="00C1707A"/>
    <w:rPr>
      <w:b/>
    </w:rPr>
  </w:style>
  <w:style w:type="character" w:styleId="Hyperlink">
    <w:name w:val="Hyperlink"/>
    <w:basedOn w:val="DefaultParagraphFont"/>
    <w:uiPriority w:val="99"/>
    <w:unhideWhenUsed/>
    <w:rsid w:val="0028695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1671</Words>
  <Characters>10618</Characters>
  <Application>Microsoft Office Word</Application>
  <DocSecurity>0</DocSecurity>
  <Lines>353</Lines>
  <Paragraphs>223</Paragraphs>
  <ScaleCrop>false</ScaleCrop>
  <Company>Author-it Software Corporation Ltd.</Company>
  <LinksUpToDate>false</LinksUpToDate>
  <CharactersWithSpaces>12066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PMASUP241 Maintain pipeline easements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2025-03-01T16:57:00Z</dcterms:created>
  <dcterms:modified xsi:type="dcterms:W3CDTF">2025-03-01T16:57:00Z</dcterms:modified>
</cp:coreProperties>
</file>