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1CA" w:rsidP="00350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PMASUP241 Maintain pipeline easements</w:t>
      </w:r>
      <w:r>
        <w:fldChar w:fldCharType="end"/>
      </w:r>
    </w:p>
    <w:p w:rsidR="003501CA" w:rsidP="003501CA">
      <w:pPr>
        <w:pStyle w:val="Version"/>
        <w:sectPr w:rsidSect="001F17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79D" w:rsidP="001F179D">
      <w:pPr>
        <w:pStyle w:val="SuperHeading"/>
      </w:pPr>
      <w:r w:rsidRPr="001F179D">
        <w:t>Assessment Requirements for PMASUP241 Maintain pipeline easements</w:t>
      </w:r>
    </w:p>
    <w:p w:rsidR="00000000" w:rsidRPr="001F179D" w:rsidP="001F179D">
      <w:pPr>
        <w:pStyle w:val="Heading1"/>
      </w:pPr>
      <w:bookmarkStart w:id="1" w:name="O_909547"/>
      <w:bookmarkEnd w:id="1"/>
      <w:r w:rsidRPr="001F179D">
        <w:t>Modification History</w:t>
      </w:r>
    </w:p>
    <w:p w:rsidR="00000000" w:rsidRPr="001F179D" w:rsidP="003501CA">
      <w:pPr>
        <w:pStyle w:val="BodyText"/>
      </w:pPr>
      <w:r w:rsidRPr="001F179D">
        <w:t>Release 1. Supersedes and is equivalent to PMASUP241B Maintain pipeline easements</w:t>
      </w:r>
    </w:p>
    <w:p w:rsidR="00000000" w:rsidRPr="001F179D" w:rsidP="001F179D">
      <w:pPr>
        <w:pStyle w:val="Heading1"/>
      </w:pPr>
      <w:bookmarkStart w:id="2" w:name="O_909550"/>
      <w:bookmarkEnd w:id="2"/>
      <w:r w:rsidRPr="001F179D">
        <w:t>Performance Evidence</w:t>
      </w:r>
    </w:p>
    <w:p w:rsidR="00000000" w:rsidRPr="001F179D" w:rsidP="003501CA">
      <w:pPr>
        <w:pStyle w:val="BodyText"/>
      </w:pPr>
      <w:r w:rsidRPr="001F179D">
        <w:t>Evidence required to demonstrate competence in this unit must be relevant to and satisfy the requirements of the elements and performance criteria, and include the ability to:</w:t>
      </w:r>
    </w:p>
    <w:p w:rsidR="00000000" w:rsidRPr="001F179D" w:rsidP="001F179D">
      <w:pPr>
        <w:pStyle w:val="ListBullet"/>
      </w:pPr>
      <w:r w:rsidRPr="001F179D">
        <w:t>interpret topographical and geographical maps</w:t>
      </w:r>
    </w:p>
    <w:p w:rsidR="00000000" w:rsidRPr="001F179D" w:rsidP="001F179D">
      <w:pPr>
        <w:pStyle w:val="ListBullet"/>
      </w:pPr>
      <w:r w:rsidRPr="001F179D">
        <w:t>identify maintenance needs</w:t>
      </w:r>
    </w:p>
    <w:p w:rsidR="00000000" w:rsidRPr="001F179D" w:rsidP="001F179D">
      <w:pPr>
        <w:pStyle w:val="ListBullet"/>
      </w:pPr>
      <w:r w:rsidRPr="001F179D">
        <w:t>plan a</w:t>
      </w:r>
      <w:r w:rsidRPr="001F179D">
        <w:t xml:space="preserve">nd prepare for equipment, access and resources needed to undertake maintenance </w:t>
      </w:r>
    </w:p>
    <w:p w:rsidR="00000000" w:rsidRPr="001F179D" w:rsidP="001F179D">
      <w:pPr>
        <w:pStyle w:val="ListBullet"/>
      </w:pPr>
      <w:r w:rsidRPr="001F179D">
        <w:t>identify hazards and control risks</w:t>
      </w:r>
    </w:p>
    <w:p w:rsidR="00000000" w:rsidRPr="001F179D" w:rsidP="001F179D">
      <w:pPr>
        <w:pStyle w:val="ListBullet"/>
      </w:pPr>
      <w:r w:rsidRPr="001F179D">
        <w:t>distinguish between causes of problems/alarms/fault indications, such as:</w:t>
      </w:r>
    </w:p>
    <w:p w:rsidR="00000000" w:rsidRPr="001F179D" w:rsidP="001F179D">
      <w:pPr>
        <w:pStyle w:val="ListBullet2"/>
      </w:pPr>
      <w:r w:rsidRPr="001F179D">
        <w:t>various disturbances on or in the easement</w:t>
      </w:r>
    </w:p>
    <w:p w:rsidR="00000000" w:rsidRPr="001F179D" w:rsidP="001F179D">
      <w:pPr>
        <w:pStyle w:val="ListBullet2"/>
      </w:pPr>
      <w:r w:rsidRPr="001F179D">
        <w:t>visual evidence of a pi</w:t>
      </w:r>
      <w:r w:rsidRPr="001F179D">
        <w:t>peline rupture</w:t>
      </w:r>
    </w:p>
    <w:p w:rsidR="00000000" w:rsidRPr="001F179D" w:rsidP="001F179D">
      <w:pPr>
        <w:pStyle w:val="ListBullet2"/>
      </w:pPr>
      <w:r w:rsidRPr="001F179D">
        <w:t xml:space="preserve">erosion and subsidence </w:t>
      </w:r>
    </w:p>
    <w:p w:rsidR="00000000" w:rsidRPr="001F179D" w:rsidP="001F179D">
      <w:pPr>
        <w:pStyle w:val="ListBullet"/>
      </w:pPr>
      <w:r w:rsidRPr="001F179D">
        <w:t>liaise and communicate effectively with internal and external stakeholders, including:</w:t>
      </w:r>
    </w:p>
    <w:p w:rsidR="00000000" w:rsidRPr="001F179D" w:rsidP="001F179D">
      <w:pPr>
        <w:pStyle w:val="ListBullet2"/>
      </w:pPr>
      <w:r w:rsidRPr="001F179D">
        <w:t>landowners</w:t>
      </w:r>
    </w:p>
    <w:p w:rsidR="00000000" w:rsidRPr="001F179D" w:rsidP="001F179D">
      <w:pPr>
        <w:pStyle w:val="ListBullet2"/>
      </w:pPr>
      <w:r w:rsidRPr="001F179D">
        <w:t>contractors</w:t>
      </w:r>
    </w:p>
    <w:p w:rsidR="00000000" w:rsidRPr="001F179D" w:rsidP="001F179D">
      <w:pPr>
        <w:pStyle w:val="ListBullet2"/>
      </w:pPr>
      <w:r w:rsidRPr="001F179D">
        <w:t>company personnel</w:t>
      </w:r>
    </w:p>
    <w:p w:rsidR="00000000" w:rsidRPr="001F179D" w:rsidP="001F179D">
      <w:pPr>
        <w:pStyle w:val="ListBullet2"/>
      </w:pPr>
      <w:r w:rsidRPr="001F179D">
        <w:t>regulators and other officials</w:t>
      </w:r>
    </w:p>
    <w:p w:rsidR="00000000" w:rsidRPr="001F179D" w:rsidP="001F179D">
      <w:pPr>
        <w:pStyle w:val="ListBullet"/>
      </w:pPr>
      <w:r w:rsidRPr="001F179D">
        <w:t>complete records.</w:t>
      </w:r>
    </w:p>
    <w:p w:rsidR="00000000" w:rsidRPr="001F179D" w:rsidP="001F179D">
      <w:pPr>
        <w:pStyle w:val="AllowPageBreak"/>
      </w:pPr>
    </w:p>
    <w:p w:rsidR="00000000" w:rsidRPr="001F179D" w:rsidP="001F179D">
      <w:pPr>
        <w:pStyle w:val="Heading1"/>
      </w:pPr>
      <w:bookmarkStart w:id="3" w:name="O_909549"/>
      <w:bookmarkEnd w:id="3"/>
      <w:r w:rsidRPr="001F179D">
        <w:t>Knowledge Evidence</w:t>
      </w:r>
    </w:p>
    <w:p w:rsidR="00000000" w:rsidRPr="001F179D" w:rsidP="003501CA">
      <w:pPr>
        <w:pStyle w:val="BodyText"/>
      </w:pPr>
      <w:r w:rsidRPr="001F179D">
        <w:t>Evidence must be provided that demonstrates knowledge of:</w:t>
      </w:r>
    </w:p>
    <w:p w:rsidR="00000000" w:rsidRPr="001F179D" w:rsidP="001F179D">
      <w:pPr>
        <w:pStyle w:val="ListBullet"/>
      </w:pPr>
      <w:r w:rsidRPr="001F179D">
        <w:t>legal obligations and standing of both parties as it relates to access rights</w:t>
      </w:r>
    </w:p>
    <w:p w:rsidR="00000000" w:rsidRPr="001F179D" w:rsidP="001F179D">
      <w:pPr>
        <w:pStyle w:val="ListBullet"/>
      </w:pPr>
      <w:r w:rsidRPr="001F179D">
        <w:t>pipeline system and access routes</w:t>
      </w:r>
    </w:p>
    <w:p w:rsidR="00000000" w:rsidRPr="001F179D" w:rsidP="001F179D">
      <w:pPr>
        <w:pStyle w:val="ListBullet"/>
      </w:pPr>
      <w:r w:rsidRPr="001F179D">
        <w:t>appropriate and safe vegetation control techniques</w:t>
      </w:r>
    </w:p>
    <w:p w:rsidR="00000000" w:rsidRPr="001F179D" w:rsidP="001F179D">
      <w:pPr>
        <w:pStyle w:val="ListBullet"/>
      </w:pPr>
      <w:r w:rsidRPr="001F179D">
        <w:t>erosion control techniques</w:t>
      </w:r>
    </w:p>
    <w:p w:rsidR="00000000" w:rsidRPr="001F179D" w:rsidP="001F179D">
      <w:pPr>
        <w:pStyle w:val="ListBullet"/>
      </w:pPr>
      <w:r w:rsidRPr="001F179D">
        <w:t>pipelin</w:t>
      </w:r>
      <w:r w:rsidRPr="001F179D">
        <w:t xml:space="preserve">e signage and application requirements </w:t>
      </w:r>
    </w:p>
    <w:p w:rsidR="00000000" w:rsidRPr="001F179D" w:rsidP="001F179D">
      <w:pPr>
        <w:pStyle w:val="ListBullet"/>
      </w:pPr>
      <w:r w:rsidRPr="001F179D">
        <w:t>regulatory framework</w:t>
      </w:r>
    </w:p>
    <w:p w:rsidR="00000000" w:rsidRPr="001F179D" w:rsidP="001F179D">
      <w:pPr>
        <w:pStyle w:val="ListBullet"/>
      </w:pPr>
      <w:r w:rsidRPr="001F179D">
        <w:t>organisation procedures, including those covering</w:t>
      </w:r>
    </w:p>
    <w:p w:rsidR="00000000" w:rsidRPr="001F179D" w:rsidP="001F179D">
      <w:pPr>
        <w:pStyle w:val="ListBullet2"/>
      </w:pPr>
      <w:r w:rsidRPr="001F179D">
        <w:t>safety, emergency and hazard control</w:t>
      </w:r>
    </w:p>
    <w:p w:rsidR="00000000" w:rsidRPr="001F179D" w:rsidP="001F179D">
      <w:pPr>
        <w:pStyle w:val="ListBullet2"/>
      </w:pPr>
      <w:r w:rsidRPr="001F179D">
        <w:t>communications</w:t>
      </w:r>
    </w:p>
    <w:p w:rsidR="00000000" w:rsidRPr="001F179D" w:rsidP="001F179D">
      <w:pPr>
        <w:pStyle w:val="ListBullet2"/>
      </w:pPr>
      <w:r w:rsidRPr="001F179D">
        <w:t>use and maintenance of vehicles</w:t>
      </w:r>
    </w:p>
    <w:p w:rsidR="00000000" w:rsidRPr="001F179D" w:rsidP="001F179D">
      <w:pPr>
        <w:pStyle w:val="ListBullet2"/>
      </w:pPr>
      <w:r w:rsidRPr="001F179D">
        <w:t>environmental management</w:t>
      </w:r>
    </w:p>
    <w:p w:rsidR="00000000" w:rsidRPr="001F179D" w:rsidP="001F179D">
      <w:pPr>
        <w:pStyle w:val="ListBullet"/>
      </w:pPr>
      <w:r w:rsidRPr="001F179D">
        <w:t>hierarchy of control.</w:t>
      </w:r>
    </w:p>
    <w:p w:rsidR="00000000" w:rsidRPr="001F179D" w:rsidP="001F179D">
      <w:pPr>
        <w:pStyle w:val="AllowPageBreak"/>
      </w:pPr>
    </w:p>
    <w:p w:rsidR="00000000" w:rsidRPr="001F179D" w:rsidP="001F179D">
      <w:pPr>
        <w:pStyle w:val="Heading1"/>
      </w:pPr>
      <w:bookmarkStart w:id="4" w:name="O_909548"/>
      <w:bookmarkEnd w:id="4"/>
      <w:r w:rsidRPr="001F179D">
        <w:t>Assessment Conditions</w:t>
      </w:r>
    </w:p>
    <w:p w:rsidR="00000000" w:rsidRPr="001F179D" w:rsidP="001F179D">
      <w:pPr>
        <w:pStyle w:val="ListBullet"/>
      </w:pPr>
      <w:r w:rsidRPr="001F179D">
        <w:t xml:space="preserve">The unit should be assessed holistically and the judgement of competence based on a holistic assessment of the evidence. </w:t>
      </w:r>
    </w:p>
    <w:p w:rsidR="00000000" w:rsidRPr="001F179D" w:rsidP="001F179D">
      <w:pPr>
        <w:pStyle w:val="ListBullet"/>
      </w:pPr>
      <w:r w:rsidRPr="001F179D">
        <w:t>The collection of performance evidence:</w:t>
      </w:r>
    </w:p>
    <w:p w:rsidR="00000000" w:rsidRPr="001F179D" w:rsidP="001F179D">
      <w:pPr>
        <w:pStyle w:val="ListBullet2"/>
      </w:pPr>
      <w:r w:rsidRPr="001F179D">
        <w:t xml:space="preserve">should occur over a range of situations which include typical </w:t>
      </w:r>
      <w:r w:rsidRPr="001F179D">
        <w:t>disruptions to normal, smooth operation of an operating plant</w:t>
      </w:r>
    </w:p>
    <w:p w:rsidR="00000000" w:rsidRPr="001F179D" w:rsidP="001F179D">
      <w:pPr>
        <w:pStyle w:val="ListBullet2"/>
      </w:pPr>
      <w:r w:rsidRPr="001F179D">
        <w:t>will typically include a supervisor/third-party report or other evidence, focusing on consistent performance and problem recognition and solving. A supervisor/third-party report must be prepared</w:t>
      </w:r>
      <w:r w:rsidRPr="001F179D">
        <w:t xml:space="preserve"> by someone who has a direct, relevant, current relationship with the person being assessed and who is in a position to form a judgement on workplace performance relevant to the unit of competency </w:t>
      </w:r>
    </w:p>
    <w:p w:rsidR="00000000" w:rsidRPr="001F179D" w:rsidP="001F179D">
      <w:pPr>
        <w:pStyle w:val="ListBullet2"/>
      </w:pPr>
      <w:r w:rsidRPr="001F179D">
        <w:t>must include maintenance of an actual pipeline easement, t</w:t>
      </w:r>
      <w:r w:rsidRPr="001F179D">
        <w:t>he use of appropriate items of equipment requiring demonstration of operation and responding to problems</w:t>
      </w:r>
    </w:p>
    <w:p w:rsidR="00000000" w:rsidRPr="001F179D" w:rsidP="001F179D">
      <w:pPr>
        <w:pStyle w:val="ListBullet2"/>
      </w:pPr>
      <w:r w:rsidRPr="001F179D">
        <w:t>may use industry-based simulation for part only of the unit where safety, lack of opportunity or significant cost is an issue.</w:t>
      </w:r>
    </w:p>
    <w:p w:rsidR="00000000" w:rsidRPr="001F179D" w:rsidP="001F179D">
      <w:pPr>
        <w:pStyle w:val="ListBullet"/>
      </w:pPr>
      <w:r w:rsidRPr="001F179D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1F179D">
        <w:t xml:space="preserve">ational workplace conditions. This must cover all aspects of workplace performance, including environment, task skills, task management skills, contingency management skills and job role environment skills. </w:t>
      </w:r>
    </w:p>
    <w:p w:rsidR="00000000" w:rsidRPr="001F179D" w:rsidP="001F179D">
      <w:pPr>
        <w:pStyle w:val="ListBullet"/>
      </w:pPr>
      <w:r w:rsidRPr="001F179D">
        <w:t>Assessment in a simulated environment should use</w:t>
      </w:r>
      <w:r w:rsidRPr="001F179D">
        <w:t xml:space="preserve"> evidence collected from one or more of: </w:t>
      </w:r>
    </w:p>
    <w:p w:rsidR="00000000" w:rsidRPr="001F179D" w:rsidP="001F179D">
      <w:pPr>
        <w:pStyle w:val="ListBullet2"/>
      </w:pPr>
      <w:r w:rsidRPr="001F179D">
        <w:t xml:space="preserve">walk-throughs </w:t>
      </w:r>
    </w:p>
    <w:p w:rsidR="00000000" w:rsidRPr="001F179D" w:rsidP="001F179D">
      <w:pPr>
        <w:pStyle w:val="ListBullet2"/>
      </w:pPr>
      <w:r w:rsidRPr="001F179D">
        <w:t>demonstration of skills</w:t>
      </w:r>
    </w:p>
    <w:p w:rsidR="00000000" w:rsidRPr="001F179D" w:rsidP="001F179D">
      <w:pPr>
        <w:pStyle w:val="ListBullet2"/>
      </w:pPr>
      <w:r w:rsidRPr="001F179D">
        <w:t xml:space="preserve">industry based case studies/scenarios </w:t>
      </w:r>
    </w:p>
    <w:p w:rsidR="00000000" w:rsidRPr="001F179D" w:rsidP="001F179D">
      <w:pPr>
        <w:pStyle w:val="ListBullet2"/>
      </w:pPr>
      <w:r w:rsidRPr="001F179D">
        <w:t>‘what ifs’.</w:t>
      </w:r>
    </w:p>
    <w:p w:rsidR="00000000" w:rsidRPr="001F179D" w:rsidP="001F179D">
      <w:pPr>
        <w:pStyle w:val="ListBullet"/>
      </w:pPr>
      <w:r w:rsidRPr="001F179D">
        <w:t>Knowledge evidence may be collected concurrently with performance evidence (provided a record is kept) or through an indep</w:t>
      </w:r>
      <w:r w:rsidRPr="001F179D">
        <w:t>endent process, such as workbooks, written assessments or interviews (provided a record is kept).</w:t>
      </w:r>
    </w:p>
    <w:p w:rsidR="00000000" w:rsidRPr="001F179D" w:rsidP="001F179D">
      <w:pPr>
        <w:pStyle w:val="ListBullet"/>
      </w:pPr>
      <w:r w:rsidRPr="001F179D">
        <w:t>Assessment processes and techniques must be appropriate to the language, literacy and numeracy requirements of the work being performed and the needs of the c</w:t>
      </w:r>
      <w:r w:rsidRPr="001F179D">
        <w:t>andidate.</w:t>
      </w:r>
    </w:p>
    <w:p w:rsidR="00000000" w:rsidRPr="001F179D" w:rsidP="001F179D">
      <w:pPr>
        <w:pStyle w:val="ListBullet"/>
      </w:pPr>
      <w:r w:rsidRPr="001F179D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F179D" w:rsidP="001F179D">
      <w:pPr>
        <w:pStyle w:val="ListBullet"/>
      </w:pPr>
      <w:r w:rsidRPr="001F179D">
        <w:t>The regulatory framework wil</w:t>
      </w:r>
      <w:r w:rsidRPr="001F179D">
        <w:t>l be reflected in workplace policies and procedures and is not required to be independently assessed.</w:t>
      </w:r>
    </w:p>
    <w:p w:rsidR="00000000" w:rsidRPr="001F179D" w:rsidP="001F179D">
      <w:pPr>
        <w:pStyle w:val="ListBullet"/>
      </w:pPr>
      <w:r w:rsidRPr="001F179D">
        <w:t>Foundation skills are integral to competent performance of the unit and should not be assessed separately.</w:t>
      </w:r>
    </w:p>
    <w:p w:rsidR="00000000" w:rsidRPr="001F179D" w:rsidP="001F179D">
      <w:pPr>
        <w:pStyle w:val="ListBullet"/>
      </w:pPr>
      <w:r w:rsidRPr="001F179D">
        <w:t xml:space="preserve">Assessors must satisfy the assessor competency </w:t>
      </w:r>
      <w:r w:rsidRPr="001F179D">
        <w:t>requirements that are in place at the time of the assessment as set by the VET regulator.</w:t>
      </w:r>
    </w:p>
    <w:p w:rsidR="00000000" w:rsidRPr="001F179D" w:rsidP="001F179D">
      <w:pPr>
        <w:pStyle w:val="ListBullet"/>
      </w:pPr>
      <w:r w:rsidRPr="001F179D">
        <w:t>In addition, the assessor or anyone acting in subject matter expert role in assessment must demonstrate both technical competency and currency. If the assessor cannot</w:t>
      </w:r>
      <w:r w:rsidRPr="001F179D">
        <w:t xml:space="preserve"> demonstrate technical competency and currency they must assess with a subject matter expert who does meet these requirements. </w:t>
      </w:r>
    </w:p>
    <w:p w:rsidR="00000000" w:rsidRPr="001F179D" w:rsidP="001F179D">
      <w:pPr>
        <w:pStyle w:val="ListBullet"/>
      </w:pPr>
      <w:r w:rsidRPr="001F179D">
        <w:t>Technical competence can be demonstrated through one or more of:</w:t>
      </w:r>
    </w:p>
    <w:p w:rsidR="00000000" w:rsidRPr="001F179D" w:rsidP="001F179D">
      <w:pPr>
        <w:pStyle w:val="ListBullet2"/>
      </w:pPr>
      <w:r w:rsidRPr="001F179D">
        <w:t xml:space="preserve">relevant VET or other qualification/Statement of Attainment </w:t>
      </w:r>
    </w:p>
    <w:p w:rsidR="00000000" w:rsidRPr="001F179D" w:rsidP="001F179D">
      <w:pPr>
        <w:pStyle w:val="ListBullet2"/>
      </w:pPr>
      <w:r w:rsidRPr="001F179D">
        <w:t xml:space="preserve">appropriate workplace experience undertaking the type of work being assessed under routine and non-routine conditions </w:t>
      </w:r>
    </w:p>
    <w:p w:rsidR="00000000" w:rsidRPr="001F179D" w:rsidP="001F179D">
      <w:pPr>
        <w:pStyle w:val="ListBullet2"/>
      </w:pPr>
      <w:r w:rsidRPr="001F179D">
        <w:t>appropriate workplace experience supervising/evaluating the type of work being assessed under routine and non-routine conditions</w:t>
      </w:r>
    </w:p>
    <w:p w:rsidR="00000000" w:rsidRPr="001F179D" w:rsidP="001F179D">
      <w:pPr>
        <w:pStyle w:val="ListBullet"/>
      </w:pPr>
      <w:r w:rsidRPr="001F179D">
        <w:t>Currenc</w:t>
      </w:r>
      <w:r w:rsidRPr="001F179D">
        <w:t>y can be demonstrated through one or more of:</w:t>
      </w:r>
    </w:p>
    <w:p w:rsidR="00000000" w:rsidRPr="001F179D" w:rsidP="001F179D">
      <w:pPr>
        <w:pStyle w:val="ListBullet2"/>
      </w:pPr>
      <w:r w:rsidRPr="001F179D">
        <w:t xml:space="preserve">being currently employed undertaking the type of work being assessed </w:t>
      </w:r>
    </w:p>
    <w:p w:rsidR="00000000" w:rsidRPr="001F179D" w:rsidP="001F179D">
      <w:pPr>
        <w:pStyle w:val="ListBullet2"/>
      </w:pPr>
      <w:r w:rsidRPr="001F179D">
        <w:t>being employed by the organisation undertaking the type of work being assessed and having maintained currency in accordance with that organ</w:t>
      </w:r>
      <w:r w:rsidRPr="001F179D">
        <w:t xml:space="preserve">isation’s policies and procedures </w:t>
      </w:r>
    </w:p>
    <w:p w:rsidR="00000000" w:rsidRPr="001F179D" w:rsidP="001F179D">
      <w:pPr>
        <w:pStyle w:val="ListBullet2"/>
      </w:pPr>
      <w:r w:rsidRPr="001F179D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1F179D" w:rsidP="001F179D">
      <w:pPr>
        <w:pStyle w:val="ListBullet2"/>
      </w:pPr>
      <w:r w:rsidRPr="001F179D">
        <w:t>conducting on-the-job training/assessments</w:t>
      </w:r>
      <w:r w:rsidRPr="001F179D">
        <w:t xml:space="preserve"> of the type of work being assessed </w:t>
      </w:r>
    </w:p>
    <w:p w:rsidR="00000000" w:rsidRPr="001F179D" w:rsidP="001F179D">
      <w:pPr>
        <w:pStyle w:val="ListBullet2"/>
      </w:pPr>
      <w:r w:rsidRPr="001F179D">
        <w:t>being an active member of a relevant professional body and participating in activities relevant to the assessment of this type of work</w:t>
      </w:r>
    </w:p>
    <w:p w:rsidR="00000000" w:rsidRPr="001F179D" w:rsidP="001F179D">
      <w:pPr>
        <w:pStyle w:val="AllowPageBreak"/>
      </w:pPr>
    </w:p>
    <w:p w:rsidR="00000000" w:rsidRPr="001F179D" w:rsidP="001F179D">
      <w:pPr>
        <w:pStyle w:val="Heading1"/>
      </w:pPr>
      <w:bookmarkStart w:id="5" w:name="O_909546"/>
      <w:bookmarkEnd w:id="5"/>
      <w:r w:rsidRPr="001F179D">
        <w:t>Links</w:t>
      </w:r>
    </w:p>
    <w:p w:rsidR="00000000" w:rsidRPr="001F179D" w:rsidP="003501CA">
      <w:pPr>
        <w:pStyle w:val="BodyText"/>
      </w:pPr>
      <w:r w:rsidRPr="001F17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8677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F179D" w:rsidP="001F179D"/>
    <w:sectPr w:rsidSect="001F17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9D" w:rsidRPr="003501CA" w:rsidP="00350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1CA" w:rsidP="001F17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1CA" w:rsidP="001F17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01CA" w:rsidP="001F17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79D" w:rsidRPr="003501CA" w:rsidP="00350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7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1CA" w:rsidRPr="002D2AF8" w:rsidP="001F17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PMASUP241 Maintain pipeline easements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3501CA" w:rsidP="001F17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AECC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6ED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145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7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7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7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7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7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7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7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7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7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7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7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79D"/>
  </w:style>
  <w:style w:type="character" w:customStyle="1" w:styleId="Heading1Char">
    <w:name w:val="Heading 1 Char"/>
    <w:basedOn w:val="DefaultParagraphFont"/>
    <w:link w:val="Heading1"/>
    <w:rsid w:val="001F17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7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7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7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17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7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7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7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7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7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7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7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7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7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7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7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7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7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7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7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7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7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7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79D"/>
    <w:rPr>
      <w:b/>
      <w:spacing w:val="0"/>
    </w:rPr>
  </w:style>
  <w:style w:type="paragraph" w:customStyle="1" w:styleId="SuperTitle">
    <w:name w:val="SuperTitle"/>
    <w:basedOn w:val="Title"/>
    <w:rsid w:val="001F17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7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7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7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7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7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7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7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7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7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7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7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79D"/>
    <w:rPr>
      <w:i/>
    </w:rPr>
  </w:style>
  <w:style w:type="paragraph" w:styleId="Caption">
    <w:name w:val="caption"/>
    <w:basedOn w:val="BodyText"/>
    <w:next w:val="Normal"/>
    <w:qFormat/>
    <w:rsid w:val="001F17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7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7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79D"/>
  </w:style>
  <w:style w:type="paragraph" w:styleId="TableofFigures">
    <w:name w:val="table of figures"/>
    <w:basedOn w:val="Normal"/>
    <w:next w:val="Normal"/>
    <w:semiHidden/>
    <w:rsid w:val="001F17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7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79D"/>
    <w:rPr>
      <w:rFonts w:ascii="Wingdings" w:hAnsi="Wingdings"/>
    </w:rPr>
  </w:style>
  <w:style w:type="paragraph" w:customStyle="1" w:styleId="TableHeading">
    <w:name w:val="Table Heading"/>
    <w:basedOn w:val="HeadingBase"/>
    <w:rsid w:val="001F17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79D"/>
    <w:rPr>
      <w:color w:val="0033CC"/>
      <w:u w:val="none"/>
    </w:rPr>
  </w:style>
  <w:style w:type="paragraph" w:customStyle="1" w:styleId="BodyTextRight">
    <w:name w:val="Body Text Right"/>
    <w:basedOn w:val="BodyText"/>
    <w:rsid w:val="001F17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7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7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7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7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7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79D"/>
    <w:rPr>
      <w:sz w:val="32"/>
    </w:rPr>
  </w:style>
  <w:style w:type="paragraph" w:customStyle="1" w:styleId="HeadingProcedure">
    <w:name w:val="Heading Procedure"/>
    <w:basedOn w:val="HeadingBase"/>
    <w:next w:val="Normal"/>
    <w:rsid w:val="001F17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79D"/>
    <w:pPr>
      <w:spacing w:before="60" w:after="60"/>
    </w:pPr>
  </w:style>
  <w:style w:type="paragraph" w:styleId="ListContinue">
    <w:name w:val="List Continue"/>
    <w:basedOn w:val="List"/>
    <w:rsid w:val="001F179D"/>
    <w:pPr>
      <w:ind w:firstLine="0"/>
    </w:pPr>
  </w:style>
  <w:style w:type="paragraph" w:customStyle="1" w:styleId="ListNote">
    <w:name w:val="List Note"/>
    <w:basedOn w:val="List"/>
    <w:rsid w:val="001F17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7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7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79D"/>
    <w:rPr>
      <w:rFonts w:ascii="Courier New" w:hAnsi="Courier New"/>
    </w:rPr>
  </w:style>
  <w:style w:type="paragraph" w:customStyle="1" w:styleId="NoteBullet">
    <w:name w:val="Note Bullet"/>
    <w:basedOn w:val="Note"/>
    <w:rsid w:val="001F17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7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7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7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7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7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7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79D"/>
    <w:rPr>
      <w:b/>
      <w:smallCaps/>
    </w:rPr>
  </w:style>
  <w:style w:type="paragraph" w:customStyle="1" w:styleId="TableListNumber">
    <w:name w:val="Table List Number"/>
    <w:basedOn w:val="ListNumber"/>
    <w:rsid w:val="001F17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7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79D"/>
    <w:pPr>
      <w:numPr>
        <w:numId w:val="9"/>
      </w:numPr>
    </w:pPr>
  </w:style>
  <w:style w:type="paragraph" w:customStyle="1" w:styleId="ListAlpha2">
    <w:name w:val="List Alpha 2"/>
    <w:basedOn w:val="List2"/>
    <w:rsid w:val="001F179D"/>
    <w:pPr>
      <w:numPr>
        <w:numId w:val="8"/>
      </w:numPr>
    </w:pPr>
  </w:style>
  <w:style w:type="paragraph" w:styleId="List2">
    <w:name w:val="List 2"/>
    <w:basedOn w:val="BodyText"/>
    <w:rsid w:val="001F17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7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7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7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7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7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79D"/>
    <w:pPr>
      <w:numPr>
        <w:numId w:val="4"/>
      </w:numPr>
    </w:pPr>
  </w:style>
  <w:style w:type="paragraph" w:styleId="ListContinue2">
    <w:name w:val="List Continue 2"/>
    <w:basedOn w:val="List2"/>
    <w:rsid w:val="001F179D"/>
    <w:pPr>
      <w:ind w:firstLine="0"/>
    </w:pPr>
  </w:style>
  <w:style w:type="paragraph" w:styleId="ListContinue3">
    <w:name w:val="List Continue 3"/>
    <w:basedOn w:val="List3"/>
    <w:rsid w:val="001F179D"/>
    <w:pPr>
      <w:ind w:left="1021" w:firstLine="0"/>
    </w:pPr>
  </w:style>
  <w:style w:type="paragraph" w:styleId="ListContinue4">
    <w:name w:val="List Continue 4"/>
    <w:basedOn w:val="List4"/>
    <w:rsid w:val="001F179D"/>
    <w:pPr>
      <w:ind w:firstLine="0"/>
    </w:pPr>
  </w:style>
  <w:style w:type="paragraph" w:styleId="ListContinue5">
    <w:name w:val="List Continue 5"/>
    <w:basedOn w:val="List5"/>
    <w:rsid w:val="001F179D"/>
    <w:pPr>
      <w:ind w:firstLine="0"/>
    </w:pPr>
  </w:style>
  <w:style w:type="paragraph" w:styleId="ListNumber3">
    <w:name w:val="List Number 3"/>
    <w:basedOn w:val="List3"/>
    <w:rsid w:val="001F179D"/>
    <w:pPr>
      <w:numPr>
        <w:numId w:val="5"/>
      </w:numPr>
    </w:pPr>
  </w:style>
  <w:style w:type="paragraph" w:styleId="ListNumber4">
    <w:name w:val="List Number 4"/>
    <w:basedOn w:val="List4"/>
    <w:rsid w:val="001F179D"/>
    <w:pPr>
      <w:numPr>
        <w:numId w:val="6"/>
      </w:numPr>
    </w:pPr>
  </w:style>
  <w:style w:type="paragraph" w:styleId="ListNumber5">
    <w:name w:val="List Number 5"/>
    <w:basedOn w:val="List5"/>
    <w:rsid w:val="001F179D"/>
    <w:pPr>
      <w:numPr>
        <w:numId w:val="7"/>
      </w:numPr>
    </w:pPr>
  </w:style>
  <w:style w:type="paragraph" w:styleId="BlockText">
    <w:name w:val="Block Text"/>
    <w:basedOn w:val="Normal"/>
    <w:rsid w:val="001F17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7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79D"/>
    <w:rPr>
      <w:sz w:val="16"/>
      <w:vertAlign w:val="superscript"/>
    </w:rPr>
  </w:style>
  <w:style w:type="character" w:customStyle="1" w:styleId="Symbols">
    <w:name w:val="Symbols"/>
    <w:basedOn w:val="DefaultParagraphFont"/>
    <w:rsid w:val="001F179D"/>
    <w:rPr>
      <w:rFonts w:ascii="Symbol" w:hAnsi="Symbol"/>
    </w:rPr>
  </w:style>
  <w:style w:type="character" w:customStyle="1" w:styleId="MenuOptions">
    <w:name w:val="Menu Options"/>
    <w:basedOn w:val="DefaultParagraphFont"/>
    <w:rsid w:val="001F17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79D"/>
    <w:rPr>
      <w:b/>
    </w:rPr>
  </w:style>
  <w:style w:type="character" w:customStyle="1" w:styleId="Underlined">
    <w:name w:val="Underlined"/>
    <w:basedOn w:val="DefaultParagraphFont"/>
    <w:rsid w:val="001F179D"/>
    <w:rPr>
      <w:u w:val="single"/>
    </w:rPr>
  </w:style>
  <w:style w:type="paragraph" w:customStyle="1" w:styleId="TableBodyTextRight">
    <w:name w:val="Table Body Text Right"/>
    <w:basedOn w:val="TableBodyText"/>
    <w:rsid w:val="001F17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79D"/>
    <w:rPr>
      <w:sz w:val="18"/>
    </w:rPr>
  </w:style>
  <w:style w:type="paragraph" w:customStyle="1" w:styleId="BodySmallRight">
    <w:name w:val="Body Small Right"/>
    <w:basedOn w:val="BodyTextRight"/>
    <w:rsid w:val="001F179D"/>
    <w:rPr>
      <w:sz w:val="18"/>
      <w:szCs w:val="18"/>
    </w:rPr>
  </w:style>
  <w:style w:type="paragraph" w:customStyle="1" w:styleId="MarginEdition">
    <w:name w:val="Margin Edition"/>
    <w:basedOn w:val="MarginNote"/>
    <w:rsid w:val="001F17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79D"/>
    <w:rPr>
      <w:sz w:val="2"/>
      <w:szCs w:val="2"/>
    </w:rPr>
  </w:style>
  <w:style w:type="character" w:customStyle="1" w:styleId="Small">
    <w:name w:val="Small"/>
    <w:basedOn w:val="DefaultParagraphFont"/>
    <w:rsid w:val="001F179D"/>
    <w:rPr>
      <w:sz w:val="16"/>
    </w:rPr>
  </w:style>
  <w:style w:type="paragraph" w:customStyle="1" w:styleId="WideTable">
    <w:name w:val="Wide Table"/>
    <w:basedOn w:val="Normal"/>
    <w:rsid w:val="001F17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79D"/>
  </w:style>
  <w:style w:type="paragraph" w:styleId="Quote">
    <w:name w:val="Quote"/>
    <w:basedOn w:val="Heading1"/>
    <w:link w:val="QuoteChar"/>
    <w:qFormat/>
    <w:rsid w:val="001F17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7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79D"/>
    <w:pPr>
      <w:pageBreakBefore/>
    </w:pPr>
  </w:style>
  <w:style w:type="paragraph" w:customStyle="1" w:styleId="Border">
    <w:name w:val="Border"/>
    <w:basedOn w:val="Normal"/>
    <w:qFormat/>
    <w:rsid w:val="001F17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7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7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7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7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7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7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7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7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79D"/>
    <w:rPr>
      <w:u w:val="single"/>
    </w:rPr>
  </w:style>
  <w:style w:type="character" w:customStyle="1" w:styleId="BoldandItalics">
    <w:name w:val="Bold and Italics"/>
    <w:qFormat/>
    <w:rsid w:val="001F179D"/>
    <w:rPr>
      <w:b/>
      <w:i/>
      <w:u w:val="none"/>
    </w:rPr>
  </w:style>
  <w:style w:type="paragraph" w:styleId="BalloonText">
    <w:name w:val="Balloon Text"/>
    <w:basedOn w:val="Normal"/>
    <w:link w:val="BalloonTextChar"/>
    <w:rsid w:val="001F1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7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7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7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7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7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79D"/>
    <w:pPr>
      <w:spacing w:before="0" w:after="0"/>
    </w:pPr>
  </w:style>
  <w:style w:type="paragraph" w:customStyle="1" w:styleId="BodyTextBold">
    <w:name w:val="Body Text Bold"/>
    <w:basedOn w:val="BodyText"/>
    <w:qFormat/>
    <w:rsid w:val="001F179D"/>
    <w:rPr>
      <w:b/>
    </w:rPr>
  </w:style>
  <w:style w:type="character" w:styleId="Hyperlink">
    <w:name w:val="Hyperlink"/>
    <w:basedOn w:val="DefaultParagraphFont"/>
    <w:uiPriority w:val="99"/>
    <w:unhideWhenUsed/>
    <w:rsid w:val="00350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5028</Characters>
  <Application>Microsoft Office Word</Application>
  <DocSecurity>0</DocSecurity>
  <Lines>111</Lines>
  <Paragraphs>78</Paragraphs>
  <ScaleCrop>false</ScaleCrop>
  <Company>Author-it Software Corporation Ltd.</Company>
  <LinksUpToDate>false</LinksUpToDate>
  <CharactersWithSpaces>5729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PMASUP241 Maintain pipeline easements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2022-09-21T04:51:00Z</dcterms:created>
  <dcterms:modified xsi:type="dcterms:W3CDTF">2022-09-21T04:51:00Z</dcterms:modified>
</cp:coreProperties>
</file>