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8A9" w:rsidP="00B81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PMASUP237 Undertake crane, dogging and load transfer operations</w:t>
      </w:r>
      <w:r>
        <w:fldChar w:fldCharType="end"/>
      </w:r>
    </w:p>
    <w:p w:rsidR="00B818A9" w:rsidP="00B818A9">
      <w:pPr>
        <w:pStyle w:val="Version"/>
        <w:sectPr w:rsidSect="00BC5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27D" w:rsidP="00BC527D">
      <w:pPr>
        <w:pStyle w:val="SuperHeading"/>
      </w:pPr>
      <w:r w:rsidRPr="00BC527D">
        <w:t>PMASUP237 Undertake crane, dogging and load transfer operations</w:t>
      </w:r>
    </w:p>
    <w:p w:rsidR="00000000" w:rsidRPr="00BC527D" w:rsidP="00BC527D">
      <w:pPr>
        <w:pStyle w:val="Heading1"/>
      </w:pPr>
      <w:bookmarkStart w:id="1" w:name="O_909532"/>
      <w:bookmarkEnd w:id="1"/>
      <w:r w:rsidRPr="00BC527D">
        <w:t>Modification History</w:t>
      </w:r>
    </w:p>
    <w:p w:rsidR="00000000" w:rsidRPr="00BC527D" w:rsidP="00B818A9">
      <w:pPr>
        <w:pStyle w:val="BodyText"/>
      </w:pPr>
      <w:r w:rsidRPr="00BC527D">
        <w:t>Release 1. Supersedes and is equivalent to PMASUP237B Undertake crane, dogging and load transfer operations</w:t>
      </w:r>
    </w:p>
    <w:p w:rsidR="00000000" w:rsidRPr="00BC527D" w:rsidP="00BC527D">
      <w:pPr>
        <w:pStyle w:val="Heading1"/>
      </w:pPr>
      <w:bookmarkStart w:id="2" w:name="O_909540"/>
      <w:bookmarkEnd w:id="2"/>
      <w:r w:rsidRPr="00BC527D">
        <w:t>Application</w:t>
      </w:r>
    </w:p>
    <w:p w:rsidR="00000000" w:rsidRPr="00BC527D" w:rsidP="00B818A9">
      <w:pPr>
        <w:pStyle w:val="BodyText"/>
      </w:pPr>
      <w:r w:rsidRPr="00BC527D">
        <w:t xml:space="preserve">This unit of competency covers the skills and knowledge required to use load shifting equipment to move materials and portable plant around a site.   </w:t>
      </w:r>
    </w:p>
    <w:p w:rsidR="00000000" w:rsidRPr="00BC527D" w:rsidP="00B818A9">
      <w:pPr>
        <w:pStyle w:val="BodyText"/>
      </w:pPr>
      <w:r w:rsidRPr="00BC527D">
        <w:t>This unit of competency applies to operators who hold a qualification as a crane operator or licensed do</w:t>
      </w:r>
      <w:r w:rsidRPr="00BC527D">
        <w:t>gger or are licensed to operate heavy machinery.</w:t>
      </w:r>
    </w:p>
    <w:p w:rsidR="00000000" w:rsidRPr="00BC527D" w:rsidP="00B818A9">
      <w:pPr>
        <w:pStyle w:val="BodyText"/>
      </w:pPr>
      <w:r w:rsidRPr="00BC527D">
        <w:t>This unit of competency applies to operators who are required to move equipment and supplies, load, unload and stack the items, and initiate routine and emergency maintenance on equipment.</w:t>
      </w:r>
    </w:p>
    <w:p w:rsidR="00000000" w:rsidRPr="00BC527D" w:rsidP="00B818A9">
      <w:pPr>
        <w:pStyle w:val="BodyText"/>
      </w:pPr>
      <w:r w:rsidRPr="00BC527D">
        <w:t>This unit of com</w:t>
      </w:r>
      <w:r w:rsidRPr="00BC527D">
        <w:t>petency applies to an individual working alone or as part of a team or group and working in liaison with other shift team members and the control room operator, as appropriate.</w:t>
      </w:r>
    </w:p>
    <w:p w:rsidR="00000000" w:rsidRPr="00BC527D" w:rsidP="00B818A9">
      <w:pPr>
        <w:pStyle w:val="BodyText"/>
      </w:pPr>
      <w:r w:rsidRPr="00BC527D">
        <w:t>Some jurisdictions may require the holder of this unit to be licensed or certi</w:t>
      </w:r>
      <w:r w:rsidRPr="00BC527D">
        <w:t>fied and users should check with the relevant authorities.</w:t>
      </w:r>
    </w:p>
    <w:p w:rsidR="00000000" w:rsidRPr="00BC527D" w:rsidP="00BC527D">
      <w:pPr>
        <w:pStyle w:val="Heading1"/>
      </w:pPr>
      <w:bookmarkStart w:id="3" w:name="O_909539"/>
      <w:bookmarkEnd w:id="3"/>
      <w:r w:rsidRPr="00BC527D">
        <w:t>Pre-requisite Unit</w:t>
      </w:r>
    </w:p>
    <w:p w:rsidR="00000000" w:rsidRPr="00BC527D" w:rsidP="00B818A9">
      <w:pPr>
        <w:pStyle w:val="BodyText"/>
      </w:pPr>
      <w:r w:rsidRPr="00BC527D">
        <w:t>Nil</w:t>
      </w:r>
    </w:p>
    <w:p w:rsidR="00000000" w:rsidRPr="00BC527D" w:rsidP="00BC527D">
      <w:pPr>
        <w:pStyle w:val="Heading1"/>
      </w:pPr>
      <w:bookmarkStart w:id="4" w:name="O_909538"/>
      <w:bookmarkEnd w:id="4"/>
      <w:r w:rsidRPr="00BC527D">
        <w:t>Competency Field</w:t>
      </w:r>
    </w:p>
    <w:p w:rsidR="00000000" w:rsidRPr="00BC527D" w:rsidP="00B818A9">
      <w:pPr>
        <w:pStyle w:val="BodyText"/>
      </w:pPr>
      <w:r w:rsidRPr="00BC527D">
        <w:t>Support</w:t>
      </w:r>
    </w:p>
    <w:p w:rsidR="00000000" w:rsidRPr="00BC527D" w:rsidP="00BC527D">
      <w:pPr>
        <w:pStyle w:val="Heading1"/>
      </w:pPr>
      <w:bookmarkStart w:id="5" w:name="O_909537"/>
      <w:bookmarkEnd w:id="5"/>
      <w:r w:rsidRPr="00BC527D">
        <w:t>Unit Sector</w:t>
      </w:r>
    </w:p>
    <w:p w:rsidR="00000000" w:rsidRPr="00BC527D" w:rsidP="00BC527D">
      <w:pPr>
        <w:pStyle w:val="Heading1"/>
      </w:pPr>
      <w:bookmarkStart w:id="6" w:name="O_909536"/>
      <w:bookmarkEnd w:id="6"/>
      <w:r w:rsidRPr="00BC52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 xml:space="preserve">Elements describe the </w:t>
            </w:r>
            <w:r w:rsidRPr="00BC527D">
              <w:t>essential outc</w:t>
            </w:r>
            <w:r w:rsidRPr="00BC527D">
              <w:t>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 xml:space="preserve">Performance criteria describe the performance needed to </w:t>
            </w:r>
            <w:r w:rsidRPr="00BC527D">
              <w:t>demonstrate achievement of the element.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Plan and prepare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Carry out a job hazard analysis (JHA)/job safety analysis (JSA) for job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Adhere to site requirements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Secure a permit to work, as required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Determine coordination requirements with other site personnel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 xml:space="preserve">Determine job method to include hazard prevention and controls, Australian Standards for safety procedures, codes of practice and manufacturer </w:t>
            </w:r>
            <w:r w:rsidRPr="00BC527D">
              <w:t>specifications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Erect barricades, warning signs and overhead protection to requirements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Determine mass and dimensions of load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Determine safe working load (SWL)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Determine positioning of load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Select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Select lifting/moving equipment and accessories consistent with requirements and within safe working capacity of equipment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Inspect gear and label and reject damaged/worn items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Select, use and correctly fit personal protective equipment (PPE)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Secure load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Secure load and protect to prevent damage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Secure moving/loose parts of load and lash to prevent movement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Attach, position, adjust and secure equipment correctly, to meet requirements for movement of load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Move load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Prepare load destination to accept load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Move load safely to required destination in accordance with planned procedure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Use standard communication signals to coordinate safe movement of the load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Remove gear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Remove equipment/gear/accessories safely from load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Inspect equipment/gear/accessories for wear and damage, clean, maintain and store, and record usage and condition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Complete site/job records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Identify hazards in site work area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Assess the risks arising from those hazards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Implement measures to control those risks in line with procedures and duty of care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Monitor transfer frequently and critically throughout load shifting using measured/indicated data and smell, sight, sound and feel as appropriate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Recognise transfer problems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Analyse cause of transfer problems within scope of skill level</w:t>
            </w:r>
          </w:p>
        </w:tc>
      </w:tr>
      <w:tr w:rsidTr="00BC5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Take timely action to solve transfer problems</w:t>
            </w:r>
          </w:p>
        </w:tc>
      </w:tr>
    </w:tbl>
    <w:p w:rsidR="00000000" w:rsidRPr="00BC527D" w:rsidP="00BC527D">
      <w:pPr>
        <w:pStyle w:val="BodyText"/>
      </w:pPr>
    </w:p>
    <w:p w:rsidR="00000000" w:rsidRPr="00BC527D" w:rsidP="00BC527D">
      <w:pPr>
        <w:pStyle w:val="AllowPageBreak"/>
      </w:pPr>
    </w:p>
    <w:p w:rsidR="00000000" w:rsidRPr="00BC527D" w:rsidP="00BC527D">
      <w:pPr>
        <w:pStyle w:val="Heading1"/>
      </w:pPr>
      <w:bookmarkStart w:id="7" w:name="O_909535"/>
      <w:bookmarkEnd w:id="7"/>
      <w:r w:rsidRPr="00BC527D">
        <w:t>Foundation Skills</w:t>
      </w:r>
    </w:p>
    <w:p w:rsidR="00000000" w:rsidRPr="00BC527D" w:rsidP="00B818A9">
      <w:pPr>
        <w:pStyle w:val="BodyText"/>
      </w:pPr>
      <w:r w:rsidRPr="00BC527D">
        <w:t>This section describes those language, literacy, numeracy and employment skills that are essential to performance.</w:t>
      </w:r>
    </w:p>
    <w:p w:rsidR="00000000" w:rsidRPr="00BC527D" w:rsidP="00B818A9">
      <w:pPr>
        <w:pStyle w:val="BodyText"/>
      </w:pPr>
      <w:r w:rsidRPr="00BC527D">
        <w:t>Foundation skills essential to performance are explicit in the performance criteria of this unit of competency.</w:t>
      </w:r>
    </w:p>
    <w:p w:rsidR="00000000" w:rsidRPr="00BC527D" w:rsidP="00BC527D">
      <w:pPr>
        <w:pStyle w:val="Heading1"/>
      </w:pPr>
      <w:bookmarkStart w:id="8" w:name="O_909534"/>
      <w:bookmarkEnd w:id="8"/>
      <w:r w:rsidRPr="00BC527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t>This field allows for different work environments and conditions that may affect performance. Essential ope</w:t>
            </w:r>
            <w:r w:rsidRPr="00BC527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The latest version of all legislation, regulations, i</w:t>
            </w:r>
            <w:r w:rsidRPr="00BC527D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BC527D" w:rsidP="00BC527D">
            <w:pPr>
              <w:pStyle w:val="ListBullet"/>
            </w:pPr>
            <w:r w:rsidRPr="00BC527D">
              <w:t>legislative requirements, including work health and safety (WHS)</w:t>
            </w:r>
          </w:p>
          <w:p w:rsidR="00000000" w:rsidRPr="00BC527D" w:rsidP="00BC527D">
            <w:pPr>
              <w:pStyle w:val="ListBullet"/>
            </w:pPr>
            <w:r w:rsidRPr="00BC527D">
              <w:t>industry codes of practice and guidelines</w:t>
            </w:r>
          </w:p>
          <w:p w:rsidR="00000000" w:rsidRPr="00BC527D" w:rsidP="00BC527D">
            <w:pPr>
              <w:pStyle w:val="ListBullet"/>
            </w:pPr>
            <w:r w:rsidRPr="00BC527D">
              <w:t xml:space="preserve">environmental regulations and guidelines </w:t>
            </w:r>
          </w:p>
          <w:p w:rsidR="00000000" w:rsidRPr="00BC527D" w:rsidP="00BC527D">
            <w:pPr>
              <w:pStyle w:val="ListBullet"/>
            </w:pPr>
            <w:r w:rsidRPr="00BC527D">
              <w:t>Australian and other standards</w:t>
            </w:r>
          </w:p>
          <w:p w:rsidR="00000000" w:rsidRPr="00BC527D" w:rsidP="00BC527D">
            <w:pPr>
              <w:pStyle w:val="ListBullet"/>
            </w:pPr>
            <w:r w:rsidRPr="00BC527D">
              <w:t xml:space="preserve">licence and certification requirements </w:t>
            </w:r>
          </w:p>
          <w:p w:rsidR="00000000" w:rsidRPr="00BC527D" w:rsidP="00BC527D">
            <w:pPr>
              <w:pStyle w:val="ListBullet"/>
            </w:pPr>
            <w:r w:rsidRPr="00BC527D">
              <w:t>road traffic authority requirements</w:t>
            </w:r>
          </w:p>
          <w:p w:rsidR="00000000" w:rsidRPr="00BC527D" w:rsidP="00BC527D">
            <w:pPr>
              <w:pStyle w:val="BodyText"/>
            </w:pPr>
          </w:p>
          <w:p w:rsidR="00000000" w:rsidRPr="00BC527D" w:rsidP="00BC527D">
            <w:pPr>
              <w:pStyle w:val="BodyText"/>
            </w:pPr>
            <w:r w:rsidRPr="00BC527D">
              <w:t>All operations to which this unit applies are subject to stringe</w:t>
            </w:r>
            <w:r w:rsidRPr="00BC527D">
              <w:t>nt health, safety and environment (HSE) requirements, which may be imposed through state/territory or federal legislation, and these must not be compromised at any time. Where there is an apparent conflict between performance criteria and HSE requirements,</w:t>
            </w:r>
            <w:r w:rsidRPr="00BC527D">
              <w:t xml:space="preserve"> the HSE requirements take precedence.</w:t>
            </w:r>
          </w:p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All operations must be performed in accordance with relevant procedures.</w:t>
            </w:r>
          </w:p>
          <w:p w:rsidR="00000000" w:rsidRPr="00BC527D" w:rsidP="00BC527D">
            <w:pPr>
              <w:pStyle w:val="BodyText"/>
            </w:pPr>
          </w:p>
          <w:p w:rsidR="00000000" w:rsidRPr="00BC527D" w:rsidP="00BC527D">
            <w:pPr>
              <w:pStyle w:val="BodyText"/>
            </w:pPr>
            <w:r w:rsidRPr="00BC527D">
              <w:t>Procedures are written, verbal, visual, computer-based or in some other form, include one or more of the following:</w:t>
            </w:r>
          </w:p>
          <w:p w:rsidR="00000000" w:rsidRPr="00BC527D" w:rsidP="00BC527D">
            <w:pPr>
              <w:pStyle w:val="ListBullet"/>
            </w:pPr>
            <w:r w:rsidRPr="00BC527D">
              <w:t>plans</w:t>
            </w:r>
          </w:p>
          <w:p w:rsidR="00000000" w:rsidRPr="00BC527D" w:rsidP="00BC527D">
            <w:pPr>
              <w:pStyle w:val="ListBullet"/>
            </w:pPr>
            <w:r w:rsidRPr="00BC527D">
              <w:t>drawings</w:t>
            </w:r>
          </w:p>
          <w:p w:rsidR="00000000" w:rsidRPr="00BC527D" w:rsidP="00BC527D">
            <w:pPr>
              <w:pStyle w:val="ListBullet"/>
            </w:pPr>
            <w:r w:rsidRPr="00BC527D">
              <w:t xml:space="preserve">specifications </w:t>
            </w:r>
          </w:p>
          <w:p w:rsidR="00000000" w:rsidRPr="00BC527D" w:rsidP="00BC527D">
            <w:pPr>
              <w:pStyle w:val="ListBullet"/>
            </w:pPr>
            <w:r w:rsidRPr="00BC527D">
              <w:t>emergency procedures</w:t>
            </w:r>
          </w:p>
          <w:p w:rsidR="00000000" w:rsidRPr="00BC527D" w:rsidP="00BC527D">
            <w:pPr>
              <w:pStyle w:val="ListBullet"/>
            </w:pPr>
            <w:r w:rsidRPr="00BC527D">
              <w:t>work instructions</w:t>
            </w:r>
          </w:p>
          <w:p w:rsidR="00000000" w:rsidRPr="00BC527D" w:rsidP="00BC527D">
            <w:pPr>
              <w:pStyle w:val="ListBullet"/>
            </w:pPr>
            <w:r w:rsidRPr="00BC527D">
              <w:t>standard operating procedures (SOPs)</w:t>
            </w:r>
          </w:p>
          <w:p w:rsidR="00000000" w:rsidRPr="00BC527D" w:rsidP="00BC527D">
            <w:pPr>
              <w:pStyle w:val="ListBullet"/>
            </w:pPr>
            <w:r w:rsidRPr="00BC527D">
              <w:t>safe work method statements (SWMS)</w:t>
            </w:r>
          </w:p>
          <w:p w:rsidR="00000000" w:rsidRPr="00BC527D" w:rsidP="00BC527D">
            <w:pPr>
              <w:pStyle w:val="ListBullet"/>
            </w:pPr>
            <w:r w:rsidRPr="00BC527D">
              <w:t>formulas/recipes</w:t>
            </w:r>
          </w:p>
          <w:p w:rsidR="00000000" w:rsidRPr="00BC527D" w:rsidP="00BC527D">
            <w:pPr>
              <w:pStyle w:val="ListBullet"/>
            </w:pPr>
            <w:r w:rsidRPr="00BC527D">
              <w:t>batch sheets</w:t>
            </w:r>
          </w:p>
          <w:p w:rsidR="00000000" w:rsidRPr="00BC527D" w:rsidP="00BC527D">
            <w:pPr>
              <w:pStyle w:val="ListBullet"/>
            </w:pPr>
            <w:r w:rsidRPr="00BC527D">
              <w:t>temporary instructions</w:t>
            </w:r>
          </w:p>
          <w:p w:rsidR="00000000" w:rsidRPr="00BC527D" w:rsidP="00BC527D">
            <w:pPr>
              <w:pStyle w:val="ListBullet"/>
            </w:pPr>
            <w:r w:rsidRPr="00BC527D">
              <w:t>any similar instructions provided for the smooth running of the pla</w:t>
            </w:r>
            <w:r w:rsidRPr="00BC527D">
              <w:t>nt</w:t>
            </w:r>
          </w:p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Hazards include one or more of the following:</w:t>
            </w:r>
          </w:p>
          <w:p w:rsidR="00000000" w:rsidRPr="00BC527D" w:rsidP="00BC527D">
            <w:pPr>
              <w:pStyle w:val="ListBullet"/>
            </w:pPr>
            <w:r w:rsidRPr="00BC527D">
              <w:t>electricity</w:t>
            </w:r>
          </w:p>
          <w:p w:rsidR="00000000" w:rsidRPr="00BC527D" w:rsidP="00BC527D">
            <w:pPr>
              <w:pStyle w:val="ListBullet"/>
            </w:pPr>
            <w:r w:rsidRPr="00BC527D">
              <w:t>gas</w:t>
            </w:r>
          </w:p>
          <w:p w:rsidR="00000000" w:rsidRPr="00BC527D" w:rsidP="00BC527D">
            <w:pPr>
              <w:pStyle w:val="ListBullet"/>
            </w:pPr>
            <w:r w:rsidRPr="00BC527D">
              <w:t xml:space="preserve">gases and liquids under pressure </w:t>
            </w:r>
          </w:p>
          <w:p w:rsidR="00000000" w:rsidRPr="00BC527D" w:rsidP="00BC527D">
            <w:pPr>
              <w:pStyle w:val="ListBullet"/>
            </w:pPr>
            <w:r w:rsidRPr="00BC527D">
              <w:t>structural hazards</w:t>
            </w:r>
          </w:p>
          <w:p w:rsidR="00000000" w:rsidRPr="00BC527D" w:rsidP="00BC527D">
            <w:pPr>
              <w:pStyle w:val="ListBullet"/>
            </w:pPr>
            <w:r w:rsidRPr="00BC527D">
              <w:t>structural collapse</w:t>
            </w:r>
          </w:p>
          <w:p w:rsidR="00000000" w:rsidRPr="00BC527D" w:rsidP="00BC527D">
            <w:pPr>
              <w:pStyle w:val="ListBullet"/>
            </w:pPr>
            <w:r w:rsidRPr="00BC527D">
              <w:t>equipment failures</w:t>
            </w:r>
          </w:p>
          <w:p w:rsidR="00000000" w:rsidRPr="00BC527D" w:rsidP="00BC527D">
            <w:pPr>
              <w:pStyle w:val="ListBullet"/>
            </w:pPr>
            <w:r w:rsidRPr="00BC527D">
              <w:t>industrial (machinery, equipment and product)</w:t>
            </w:r>
          </w:p>
          <w:p w:rsidR="00000000" w:rsidRPr="00BC527D" w:rsidP="00BC527D">
            <w:pPr>
              <w:pStyle w:val="ListBullet"/>
            </w:pPr>
            <w:r w:rsidRPr="00BC527D">
              <w:t>equipment or product mass</w:t>
            </w:r>
          </w:p>
          <w:p w:rsidR="00000000" w:rsidRPr="00BC527D" w:rsidP="00BC527D">
            <w:pPr>
              <w:pStyle w:val="ListBullet"/>
            </w:pPr>
            <w:r w:rsidRPr="00BC527D">
              <w:t>noise, rotational equipment or vibration</w:t>
            </w:r>
          </w:p>
          <w:p w:rsidR="00000000" w:rsidRPr="00BC527D" w:rsidP="00BC527D">
            <w:pPr>
              <w:pStyle w:val="ListBullet"/>
            </w:pPr>
            <w:r w:rsidRPr="00BC527D">
              <w:t>plant services (steam, condensate and cooling water)</w:t>
            </w:r>
          </w:p>
          <w:p w:rsidR="00000000" w:rsidRPr="00BC527D" w:rsidP="00BC527D">
            <w:pPr>
              <w:pStyle w:val="ListBullet"/>
            </w:pPr>
            <w:r w:rsidRPr="00BC527D">
              <w:t xml:space="preserve">limited head spaces or overhangs </w:t>
            </w:r>
          </w:p>
          <w:p w:rsidR="00000000" w:rsidRPr="00BC527D" w:rsidP="00BC527D">
            <w:pPr>
              <w:pStyle w:val="ListBullet"/>
            </w:pPr>
            <w:r w:rsidRPr="00BC527D">
              <w:t>working at heights, in restricted or confined spaces, or in environments subjected to heat, noise, dusts or vapours</w:t>
            </w:r>
          </w:p>
          <w:p w:rsidR="00000000" w:rsidRPr="00BC527D" w:rsidP="00BC527D">
            <w:pPr>
              <w:pStyle w:val="ListBullet"/>
            </w:pPr>
            <w:r w:rsidRPr="00BC527D">
              <w:t>flammability</w:t>
            </w:r>
            <w:r w:rsidRPr="00BC527D">
              <w:t xml:space="preserve"> and explosivity</w:t>
            </w:r>
          </w:p>
          <w:p w:rsidR="00000000" w:rsidRPr="00BC527D" w:rsidP="00BC527D">
            <w:pPr>
              <w:pStyle w:val="ListBullet"/>
            </w:pPr>
            <w:r w:rsidRPr="00BC527D">
              <w:t>hazardous products and materials</w:t>
            </w:r>
          </w:p>
          <w:p w:rsidR="00000000" w:rsidRPr="00BC527D" w:rsidP="00BC527D">
            <w:pPr>
              <w:pStyle w:val="ListBullet"/>
            </w:pPr>
            <w:r w:rsidRPr="00BC527D">
              <w:t>unauthorised personnel</w:t>
            </w:r>
          </w:p>
          <w:p w:rsidR="00000000" w:rsidRPr="00BC527D" w:rsidP="00BC527D">
            <w:pPr>
              <w:pStyle w:val="ListBullet"/>
            </w:pPr>
            <w:r w:rsidRPr="00BC527D">
              <w:t>sharp edges, protrusions or obstructions</w:t>
            </w:r>
          </w:p>
          <w:p w:rsidR="00000000" w:rsidRPr="00BC527D" w:rsidP="00BC527D">
            <w:pPr>
              <w:pStyle w:val="ListBullet"/>
            </w:pPr>
            <w:r w:rsidRPr="00BC527D">
              <w:t>slippery surfaces, spills or leaks</w:t>
            </w:r>
          </w:p>
          <w:p w:rsidR="00000000" w:rsidRPr="00BC527D" w:rsidP="00BC527D">
            <w:pPr>
              <w:pStyle w:val="ListBullet"/>
            </w:pPr>
            <w:r w:rsidRPr="00BC527D">
              <w:t>extreme weather</w:t>
            </w:r>
          </w:p>
          <w:p w:rsidR="00000000" w:rsidRPr="00BC527D" w:rsidP="00BC527D">
            <w:pPr>
              <w:pStyle w:val="ListBullet"/>
            </w:pPr>
            <w:r w:rsidRPr="00BC527D">
              <w:t>other hazards that might arise</w:t>
            </w:r>
          </w:p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 xml:space="preserve">Routine problems must be resolved by applying known solutions. </w:t>
            </w:r>
          </w:p>
          <w:p w:rsidR="00000000" w:rsidRPr="00BC527D" w:rsidP="00BC527D">
            <w:pPr>
              <w:pStyle w:val="BodyText"/>
            </w:pPr>
          </w:p>
          <w:p w:rsidR="00000000" w:rsidRPr="00BC527D" w:rsidP="00BC527D">
            <w:pPr>
              <w:pStyle w:val="BodyText"/>
            </w:pPr>
            <w:r w:rsidRPr="00BC527D">
              <w:t>Routine problems are predictable and include one or more of the following:</w:t>
            </w:r>
          </w:p>
          <w:p w:rsidR="00000000" w:rsidRPr="00BC527D" w:rsidP="00BC527D">
            <w:pPr>
              <w:pStyle w:val="ListBullet"/>
            </w:pPr>
            <w:r w:rsidRPr="00BC527D">
              <w:t>unstable loads or load swinging</w:t>
            </w:r>
          </w:p>
          <w:p w:rsidR="00000000" w:rsidRPr="00BC527D" w:rsidP="00BC527D">
            <w:pPr>
              <w:pStyle w:val="ListBullet"/>
            </w:pPr>
            <w:r w:rsidRPr="00BC527D">
              <w:t>faulty or damaged lifting gear</w:t>
            </w:r>
          </w:p>
          <w:p w:rsidR="00000000" w:rsidRPr="00BC527D" w:rsidP="00BC527D">
            <w:pPr>
              <w:pStyle w:val="ListBullet"/>
            </w:pPr>
            <w:r w:rsidRPr="00BC527D">
              <w:t>obstructions on site</w:t>
            </w:r>
          </w:p>
          <w:p w:rsidR="00000000" w:rsidRPr="00BC527D" w:rsidP="00BC527D">
            <w:pPr>
              <w:pStyle w:val="ListBullet"/>
            </w:pPr>
            <w:r w:rsidRPr="00BC527D">
              <w:t>unsafe lifting practices</w:t>
            </w:r>
          </w:p>
          <w:p w:rsidR="00000000" w:rsidRPr="00BC527D" w:rsidP="00BC527D">
            <w:pPr>
              <w:pStyle w:val="BodyText"/>
            </w:pPr>
          </w:p>
          <w:p w:rsidR="00000000" w:rsidRPr="00BC527D" w:rsidP="00BC527D">
            <w:pPr>
              <w:pStyle w:val="BodyText"/>
            </w:pPr>
            <w:r w:rsidRPr="00BC527D">
              <w:t>Known</w:t>
            </w:r>
            <w:r w:rsidRPr="00BC527D">
              <w:t xml:space="preserve"> solutions are drawn from one or more of the following:</w:t>
            </w:r>
          </w:p>
          <w:p w:rsidR="00000000" w:rsidRPr="00BC527D" w:rsidP="00BC527D">
            <w:pPr>
              <w:pStyle w:val="ListBullet"/>
            </w:pPr>
            <w:r w:rsidRPr="00BC527D">
              <w:t>procedures</w:t>
            </w:r>
          </w:p>
          <w:p w:rsidR="00000000" w:rsidRPr="00BC527D" w:rsidP="00BC527D">
            <w:pPr>
              <w:pStyle w:val="ListBullet"/>
            </w:pPr>
            <w:r w:rsidRPr="00BC527D">
              <w:t>training</w:t>
            </w:r>
          </w:p>
          <w:p w:rsidR="00000000" w:rsidRPr="00BC527D" w:rsidP="00BC527D">
            <w:pPr>
              <w:pStyle w:val="ListBullet"/>
            </w:pPr>
            <w:r w:rsidRPr="00BC527D">
              <w:t>remembered experience</w:t>
            </w:r>
          </w:p>
          <w:p w:rsidR="00000000" w:rsidRPr="00BC527D" w:rsidP="00BC527D">
            <w:pPr>
              <w:pStyle w:val="BodyText"/>
            </w:pPr>
          </w:p>
          <w:p w:rsidR="00000000" w:rsidRPr="00BC527D" w:rsidP="00BC527D">
            <w:pPr>
              <w:pStyle w:val="BodyText"/>
            </w:pPr>
            <w:r w:rsidRPr="00BC527D">
              <w:t>Non-routine problems must be reported according to according to relevant procedures.</w:t>
            </w:r>
          </w:p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Load shifting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This unit of competency includes all such items of equipment and unit operations which form part of the site load-shifting system, including as appropriate to the facility:</w:t>
            </w:r>
          </w:p>
          <w:p w:rsidR="00000000" w:rsidRPr="00BC527D" w:rsidP="00BC527D">
            <w:pPr>
              <w:pStyle w:val="ListBullet"/>
            </w:pPr>
            <w:r w:rsidRPr="00BC527D">
              <w:t>crane</w:t>
            </w:r>
          </w:p>
          <w:p w:rsidR="00000000" w:rsidRPr="00BC527D" w:rsidP="00BC527D">
            <w:pPr>
              <w:pStyle w:val="ListBullet"/>
            </w:pPr>
            <w:r w:rsidRPr="00BC527D">
              <w:t>front end loader</w:t>
            </w:r>
          </w:p>
          <w:p w:rsidR="00000000" w:rsidRPr="00BC527D" w:rsidP="00BC527D">
            <w:pPr>
              <w:pStyle w:val="ListBullet"/>
            </w:pPr>
            <w:r w:rsidRPr="00BC527D">
              <w:t>dogging and rigging equipment</w:t>
            </w:r>
          </w:p>
          <w:p w:rsidR="00000000" w:rsidRPr="00BC527D" w:rsidP="00BC527D">
            <w:pPr>
              <w:pStyle w:val="ListBullet"/>
            </w:pPr>
            <w:r w:rsidRPr="00BC527D">
              <w:t>load-shifting equipment (e.g.</w:t>
            </w:r>
            <w:r w:rsidRPr="00BC527D">
              <w:t xml:space="preserve"> slings, ropes, shackles, eye bolts, spreader beams, equalising gear, clamps, pulley systems, winches, packs and rigging screws)</w:t>
            </w:r>
          </w:p>
          <w:p w:rsidR="00000000" w:rsidRPr="00BC527D" w:rsidP="00BC527D">
            <w:pPr>
              <w:pStyle w:val="BodyText"/>
            </w:pPr>
          </w:p>
          <w:p w:rsidR="00000000" w:rsidRPr="00BC527D" w:rsidP="00BC527D">
            <w:pPr>
              <w:pStyle w:val="BodyText"/>
            </w:pPr>
            <w:r w:rsidRPr="00BC527D">
              <w:t>Typical of the plant and equipment moved are:</w:t>
            </w:r>
          </w:p>
          <w:p w:rsidR="00000000" w:rsidRPr="00BC527D" w:rsidP="00BC527D">
            <w:pPr>
              <w:pStyle w:val="ListBullet"/>
            </w:pPr>
            <w:r w:rsidRPr="00BC527D">
              <w:t>packaged compressor units</w:t>
            </w:r>
          </w:p>
          <w:p w:rsidR="00000000" w:rsidRPr="00BC527D" w:rsidP="00BC527D">
            <w:pPr>
              <w:pStyle w:val="ListBullet"/>
            </w:pPr>
            <w:r w:rsidRPr="00BC527D">
              <w:t>large pumps and valves</w:t>
            </w:r>
          </w:p>
          <w:p w:rsidR="00000000" w:rsidRPr="00BC527D" w:rsidP="00BC527D">
            <w:pPr>
              <w:pStyle w:val="ListBullet"/>
            </w:pPr>
            <w:r w:rsidRPr="00BC527D">
              <w:t>pipe</w:t>
            </w:r>
          </w:p>
          <w:p w:rsidR="00000000" w:rsidP="00BC527D">
            <w:pPr>
              <w:pStyle w:val="BodyText"/>
              <w:rPr>
                <w:lang w:val="en-NZ"/>
              </w:rPr>
            </w:pPr>
          </w:p>
        </w:tc>
      </w:tr>
      <w:tr w:rsidTr="00B818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27D">
            <w:pPr>
              <w:pStyle w:val="BodyText"/>
              <w:rPr>
                <w:lang w:val="en-NZ"/>
              </w:rPr>
            </w:pPr>
            <w:r w:rsidRPr="00BC527D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27D" w:rsidP="00BC527D">
            <w:pPr>
              <w:pStyle w:val="BodyText"/>
            </w:pPr>
            <w:r w:rsidRPr="00BC527D">
              <w:t>Action taken in response to problems includes one or more of the following:</w:t>
            </w:r>
          </w:p>
          <w:p w:rsidR="00000000" w:rsidRPr="00BC527D" w:rsidP="00BC527D">
            <w:pPr>
              <w:pStyle w:val="ListBullet"/>
            </w:pPr>
            <w:r w:rsidRPr="00BC527D">
              <w:t>determining problems needing action</w:t>
            </w:r>
          </w:p>
          <w:p w:rsidR="00000000" w:rsidRPr="00BC527D" w:rsidP="00BC527D">
            <w:pPr>
              <w:pStyle w:val="ListBullet"/>
            </w:pPr>
            <w:r w:rsidRPr="00BC527D">
              <w:t>determining possible fault causes</w:t>
            </w:r>
          </w:p>
          <w:p w:rsidR="00000000" w:rsidRPr="00BC527D" w:rsidP="00BC527D">
            <w:pPr>
              <w:pStyle w:val="ListBullet"/>
            </w:pPr>
            <w:r w:rsidRPr="00BC527D">
              <w:t>rectifying problem using appropriate solution within area of responsibility</w:t>
            </w:r>
          </w:p>
          <w:p w:rsidR="00000000" w:rsidRPr="00BC527D" w:rsidP="00BC527D">
            <w:pPr>
              <w:pStyle w:val="ListBullet"/>
            </w:pPr>
            <w:r w:rsidRPr="00BC527D">
              <w:t>following through items initiated</w:t>
            </w:r>
            <w:r w:rsidRPr="00BC527D">
              <w:t xml:space="preserve"> until final resolution has occurred</w:t>
            </w:r>
          </w:p>
          <w:p w:rsidR="00000000" w:rsidRPr="00BC527D" w:rsidP="00BC527D">
            <w:pPr>
              <w:pStyle w:val="ListBullet"/>
            </w:pPr>
            <w:r w:rsidRPr="00BC527D">
              <w:t>reporting problems outside area of responsibility to designated person</w:t>
            </w:r>
          </w:p>
        </w:tc>
      </w:tr>
    </w:tbl>
    <w:p w:rsidR="00000000" w:rsidRPr="00BC527D" w:rsidP="00BC527D">
      <w:pPr>
        <w:pStyle w:val="BodyText"/>
      </w:pPr>
    </w:p>
    <w:p w:rsidR="00000000" w:rsidRPr="00BC527D" w:rsidP="00BC527D">
      <w:pPr>
        <w:pStyle w:val="AllowPageBreak"/>
      </w:pPr>
    </w:p>
    <w:p w:rsidR="00000000" w:rsidRPr="00BC527D" w:rsidP="00BC527D">
      <w:pPr>
        <w:pStyle w:val="Heading1"/>
      </w:pPr>
      <w:bookmarkStart w:id="9" w:name="O_909533"/>
      <w:bookmarkEnd w:id="9"/>
      <w:r w:rsidRPr="00BC527D">
        <w:t>Unit Mapping Information</w:t>
      </w:r>
    </w:p>
    <w:p w:rsidR="00000000" w:rsidRPr="00BC527D" w:rsidP="00B818A9">
      <w:pPr>
        <w:pStyle w:val="BodyText"/>
      </w:pPr>
      <w:r w:rsidRPr="00BC527D">
        <w:t>Release 1. Supersedes and is equivalent to PMASUP237B Undertake cr</w:t>
      </w:r>
      <w:r w:rsidRPr="00BC527D">
        <w:t>ane, dogging and load transfer operations</w:t>
      </w:r>
    </w:p>
    <w:p w:rsidR="00000000" w:rsidRPr="00BC527D" w:rsidP="00BC527D">
      <w:pPr>
        <w:pStyle w:val="Heading1"/>
      </w:pPr>
      <w:bookmarkStart w:id="10" w:name="O_909526"/>
      <w:bookmarkEnd w:id="10"/>
      <w:r w:rsidRPr="00BC527D">
        <w:t>Links</w:t>
      </w:r>
    </w:p>
    <w:p w:rsidR="00000000" w:rsidRPr="00BC527D" w:rsidP="00B818A9">
      <w:pPr>
        <w:pStyle w:val="BodyText"/>
      </w:pPr>
      <w:r w:rsidRPr="00BC5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4116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C527D" w:rsidP="00B818A9">
      <w:pPr>
        <w:pStyle w:val="BodyText"/>
        <w:sectPr w:rsidSect="00BC52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27D" w:rsidP="00BC527D">
      <w:pPr>
        <w:pStyle w:val="SuperHeading"/>
      </w:pPr>
      <w:r w:rsidRPr="00BC527D">
        <w:t>Assessment Requirements for PMASUP237 Undertake crane, dogging and load transfer operations</w:t>
      </w:r>
    </w:p>
    <w:p w:rsidR="00000000" w:rsidRPr="00BC527D" w:rsidP="00BC527D">
      <w:pPr>
        <w:pStyle w:val="Heading1"/>
      </w:pPr>
      <w:bookmarkStart w:id="11" w:name="O_909528"/>
      <w:bookmarkEnd w:id="11"/>
      <w:r w:rsidRPr="00BC527D">
        <w:t>Modification History</w:t>
      </w:r>
    </w:p>
    <w:p w:rsidR="00000000" w:rsidRPr="00BC527D" w:rsidP="00B818A9">
      <w:pPr>
        <w:pStyle w:val="BodyText"/>
      </w:pPr>
      <w:r w:rsidRPr="00BC527D">
        <w:t>Release 1. Supersedes and is equivalent to PMASUP237B Undertake crane, dogging and load transfer operations</w:t>
      </w:r>
    </w:p>
    <w:p w:rsidR="00000000" w:rsidRPr="00BC527D" w:rsidP="00BC527D">
      <w:pPr>
        <w:pStyle w:val="Heading1"/>
      </w:pPr>
      <w:bookmarkStart w:id="12" w:name="O_909531"/>
      <w:bookmarkEnd w:id="12"/>
      <w:r w:rsidRPr="00BC527D">
        <w:t>Performance Evidence</w:t>
      </w:r>
    </w:p>
    <w:p w:rsidR="00000000" w:rsidRPr="00BC527D" w:rsidP="00B818A9">
      <w:pPr>
        <w:pStyle w:val="BodyText"/>
      </w:pPr>
      <w:r w:rsidRPr="00BC527D">
        <w:t>Evidence required to demonstrate competence in this unit must be relevant to and satisfy the requirements of the elements and performance criteria and include the ability to:</w:t>
      </w:r>
    </w:p>
    <w:p w:rsidR="00000000" w:rsidRPr="00BC527D" w:rsidP="00BC527D">
      <w:pPr>
        <w:pStyle w:val="ListBullet"/>
      </w:pPr>
      <w:r w:rsidRPr="00BC527D">
        <w:t xml:space="preserve">determine work permit requirements </w:t>
      </w:r>
    </w:p>
    <w:p w:rsidR="00000000" w:rsidRPr="00BC527D" w:rsidP="00BC527D">
      <w:pPr>
        <w:pStyle w:val="ListBullet"/>
      </w:pPr>
      <w:r w:rsidRPr="00BC527D">
        <w:t>select and use equipmen</w:t>
      </w:r>
      <w:r w:rsidRPr="00BC527D">
        <w:t>t to secure, move and remove loads</w:t>
      </w:r>
    </w:p>
    <w:p w:rsidR="00000000" w:rsidRPr="00BC527D" w:rsidP="00BC527D">
      <w:pPr>
        <w:pStyle w:val="ListBullet"/>
      </w:pPr>
      <w:r w:rsidRPr="00BC527D">
        <w:t>undertake checks and inspections to confirm processes and equipment conform to safety requirements and job specifications</w:t>
      </w:r>
    </w:p>
    <w:p w:rsidR="00000000" w:rsidRPr="00BC527D" w:rsidP="00BC527D">
      <w:pPr>
        <w:pStyle w:val="ListBullet"/>
      </w:pPr>
      <w:r w:rsidRPr="00BC527D">
        <w:t>determine the most likely cause of routine problems and take action to ensure a timely return to fu</w:t>
      </w:r>
      <w:r w:rsidRPr="00BC527D">
        <w:t>ll performance</w:t>
      </w:r>
    </w:p>
    <w:p w:rsidR="00000000" w:rsidRPr="00BC527D" w:rsidP="00BC527D">
      <w:pPr>
        <w:pStyle w:val="ListBullet"/>
      </w:pPr>
      <w:r w:rsidRPr="00BC527D">
        <w:t>distinguish between causes of problems/alarms/fault indications, such as:</w:t>
      </w:r>
    </w:p>
    <w:p w:rsidR="00000000" w:rsidRPr="00BC527D" w:rsidP="00BC527D">
      <w:pPr>
        <w:pStyle w:val="ListBullet2"/>
      </w:pPr>
      <w:r w:rsidRPr="00BC527D">
        <w:t>equipment failures</w:t>
      </w:r>
    </w:p>
    <w:p w:rsidR="00000000" w:rsidRPr="00BC527D" w:rsidP="00BC527D">
      <w:pPr>
        <w:pStyle w:val="ListBullet2"/>
      </w:pPr>
      <w:r w:rsidRPr="00BC527D">
        <w:t>load spills or damage</w:t>
      </w:r>
    </w:p>
    <w:p w:rsidR="00000000" w:rsidRPr="00BC527D" w:rsidP="00BC527D">
      <w:pPr>
        <w:pStyle w:val="ListBullet2"/>
      </w:pPr>
      <w:r w:rsidRPr="00BC527D">
        <w:t>electrical failure</w:t>
      </w:r>
    </w:p>
    <w:p w:rsidR="00000000" w:rsidRPr="00BC527D" w:rsidP="00BC527D">
      <w:pPr>
        <w:pStyle w:val="ListBullet2"/>
      </w:pPr>
      <w:r w:rsidRPr="00BC527D">
        <w:t>mechanical failure</w:t>
      </w:r>
    </w:p>
    <w:p w:rsidR="00000000" w:rsidRPr="00BC527D" w:rsidP="00BC527D">
      <w:pPr>
        <w:pStyle w:val="ListBullet2"/>
      </w:pPr>
      <w:r w:rsidRPr="00BC527D">
        <w:t>operational problems</w:t>
      </w:r>
    </w:p>
    <w:p w:rsidR="00000000" w:rsidRPr="00BC527D" w:rsidP="00BC527D">
      <w:pPr>
        <w:pStyle w:val="ListBullet"/>
      </w:pPr>
      <w:r w:rsidRPr="00BC527D">
        <w:t>complete records.</w:t>
      </w:r>
    </w:p>
    <w:p w:rsidR="00000000" w:rsidRPr="00BC527D" w:rsidP="00BC527D">
      <w:pPr>
        <w:pStyle w:val="AllowPageBreak"/>
      </w:pPr>
    </w:p>
    <w:p w:rsidR="00000000" w:rsidRPr="00BC527D" w:rsidP="00BC527D">
      <w:pPr>
        <w:pStyle w:val="Heading1"/>
      </w:pPr>
      <w:bookmarkStart w:id="13" w:name="O_909530"/>
      <w:bookmarkEnd w:id="13"/>
      <w:r w:rsidRPr="00BC527D">
        <w:t>Knowledge Evidence</w:t>
      </w:r>
    </w:p>
    <w:p w:rsidR="00000000" w:rsidRPr="00BC527D" w:rsidP="00B818A9">
      <w:pPr>
        <w:pStyle w:val="BodyText"/>
      </w:pPr>
      <w:r w:rsidRPr="00BC527D">
        <w:t>Evidence must be provided that demonstrates knowledge of:</w:t>
      </w:r>
    </w:p>
    <w:p w:rsidR="00000000" w:rsidRPr="00BC527D" w:rsidP="00BC527D">
      <w:pPr>
        <w:pStyle w:val="ListBullet"/>
      </w:pPr>
      <w:r w:rsidRPr="00BC527D">
        <w:t>safe working capacity and limits of the equipment</w:t>
      </w:r>
    </w:p>
    <w:p w:rsidR="00000000" w:rsidRPr="00BC527D" w:rsidP="00BC527D">
      <w:pPr>
        <w:pStyle w:val="ListBullet"/>
      </w:pPr>
      <w:r w:rsidRPr="00BC527D">
        <w:t>company-specific work organisations and work flow</w:t>
      </w:r>
    </w:p>
    <w:p w:rsidR="00000000" w:rsidRPr="00BC527D" w:rsidP="00BC527D">
      <w:pPr>
        <w:pStyle w:val="ListBullet"/>
      </w:pPr>
      <w:r w:rsidRPr="00BC527D">
        <w:t>nature/condition of materials being shifted and the particular hazards of each</w:t>
      </w:r>
    </w:p>
    <w:p w:rsidR="00000000" w:rsidRPr="00BC527D" w:rsidP="00BC527D">
      <w:pPr>
        <w:pStyle w:val="ListBullet"/>
      </w:pPr>
      <w:r w:rsidRPr="00BC527D">
        <w:t>organisational procedures, including those covering:</w:t>
      </w:r>
    </w:p>
    <w:p w:rsidR="00000000" w:rsidRPr="00BC527D" w:rsidP="00BC527D">
      <w:pPr>
        <w:pStyle w:val="ListBullet2"/>
      </w:pPr>
      <w:r w:rsidRPr="00BC527D">
        <w:t>work permit systems</w:t>
      </w:r>
    </w:p>
    <w:p w:rsidR="00000000" w:rsidRPr="00BC527D" w:rsidP="00BC527D">
      <w:pPr>
        <w:pStyle w:val="ListBullet2"/>
      </w:pPr>
      <w:r w:rsidRPr="00BC527D">
        <w:t>safety, hazards and hazard control</w:t>
      </w:r>
    </w:p>
    <w:p w:rsidR="00000000" w:rsidRPr="00BC527D" w:rsidP="00BC527D">
      <w:pPr>
        <w:pStyle w:val="ListBullet2"/>
      </w:pPr>
      <w:r w:rsidRPr="00BC527D">
        <w:t>personal protective equipment (PPE)</w:t>
      </w:r>
    </w:p>
    <w:p w:rsidR="00000000" w:rsidRPr="00BC527D" w:rsidP="00BC527D">
      <w:pPr>
        <w:pStyle w:val="ListBullet2"/>
      </w:pPr>
      <w:r w:rsidRPr="00BC527D">
        <w:t>organisation standard operating procedures (SOPs)</w:t>
      </w:r>
    </w:p>
    <w:p w:rsidR="00000000" w:rsidRPr="00BC527D" w:rsidP="00BC527D">
      <w:pPr>
        <w:pStyle w:val="ListBullet"/>
      </w:pPr>
      <w:r w:rsidRPr="00BC527D">
        <w:t>hierarchy of control.</w:t>
      </w:r>
    </w:p>
    <w:p w:rsidR="00000000" w:rsidRPr="00BC527D" w:rsidP="00BC527D">
      <w:pPr>
        <w:pStyle w:val="AllowPageBreak"/>
      </w:pPr>
    </w:p>
    <w:p w:rsidR="00000000" w:rsidRPr="00BC527D" w:rsidP="00BC527D">
      <w:pPr>
        <w:pStyle w:val="Heading1"/>
      </w:pPr>
      <w:bookmarkStart w:id="14" w:name="O_909529"/>
      <w:bookmarkEnd w:id="14"/>
      <w:r w:rsidRPr="00BC527D">
        <w:t>Assessment Conditions</w:t>
      </w:r>
    </w:p>
    <w:p w:rsidR="00000000" w:rsidRPr="00BC527D" w:rsidP="00BC527D">
      <w:pPr>
        <w:pStyle w:val="ListBullet"/>
      </w:pPr>
      <w:r w:rsidRPr="00BC527D">
        <w:t xml:space="preserve">The unit should be assessed holistically and the judgement of competence based on a holistic assessment of the evidence. </w:t>
      </w:r>
    </w:p>
    <w:p w:rsidR="00000000" w:rsidRPr="00BC527D" w:rsidP="00BC527D">
      <w:pPr>
        <w:pStyle w:val="ListBullet"/>
      </w:pPr>
      <w:r w:rsidRPr="00BC527D">
        <w:t>The collection of performance evidence:</w:t>
      </w:r>
    </w:p>
    <w:p w:rsidR="00000000" w:rsidRPr="00BC527D" w:rsidP="00BC527D">
      <w:pPr>
        <w:pStyle w:val="ListBullet2"/>
      </w:pPr>
      <w:r w:rsidRPr="00BC527D">
        <w:t>should occur over a range of situations which include typical disruptions to normal, smooth</w:t>
      </w:r>
      <w:r w:rsidRPr="00BC527D">
        <w:t xml:space="preserve"> operation of an operating plant</w:t>
      </w:r>
    </w:p>
    <w:p w:rsidR="00000000" w:rsidRPr="00BC527D" w:rsidP="00BC527D">
      <w:pPr>
        <w:pStyle w:val="ListBullet2"/>
      </w:pPr>
      <w:r w:rsidRPr="00BC527D">
        <w:t>will typically include a supervisor/third-party report or other evidence, focusing on consistent performance and problem recognition and solving. A supervisor/third-party report must be prepared by someone who has a direct,</w:t>
      </w:r>
      <w:r w:rsidRPr="00BC527D">
        <w:t xml:space="preserve"> relevant, current relationship with the person being assessed and who is in a position to form a judgement on workplace performance relevant to the unit of competency </w:t>
      </w:r>
    </w:p>
    <w:p w:rsidR="00000000" w:rsidRPr="00BC527D" w:rsidP="00BC527D">
      <w:pPr>
        <w:pStyle w:val="ListBullet2"/>
      </w:pPr>
      <w:r w:rsidRPr="00BC527D">
        <w:t>must include the use of appropr</w:t>
      </w:r>
      <w:r w:rsidRPr="00BC527D">
        <w:t>iate industrial load shifting equipment and the moving of actual industrial type loads requiring demonstration of load transfers</w:t>
      </w:r>
    </w:p>
    <w:p w:rsidR="00000000" w:rsidRPr="00BC527D" w:rsidP="00BC527D">
      <w:pPr>
        <w:pStyle w:val="ListBullet2"/>
      </w:pPr>
      <w:r w:rsidRPr="00BC527D">
        <w:t>may use industry-based simulation for part only of the unit where safety, lack of opportunity or significant cost is an issue.</w:t>
      </w:r>
    </w:p>
    <w:p w:rsidR="00000000" w:rsidRPr="00BC527D" w:rsidP="00BC527D">
      <w:pPr>
        <w:pStyle w:val="ListBullet"/>
      </w:pPr>
      <w:r w:rsidRPr="00BC527D">
        <w:t>Assessment should occur in operational workplace situations. Where this is not possible, or where personal safety or environmental damage are limiting factors, assessment must occur in a sufficiently rigorous simulated environment reflecting realistic ope</w:t>
      </w:r>
      <w:r w:rsidRPr="00BC527D">
        <w:t xml:space="preserve">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BC527D" w:rsidP="00BC527D">
      <w:pPr>
        <w:pStyle w:val="ListBullet"/>
      </w:pPr>
      <w:r w:rsidRPr="00BC527D">
        <w:t>Assessment in a simulated environment should us</w:t>
      </w:r>
      <w:r w:rsidRPr="00BC527D">
        <w:t xml:space="preserve">e evidence collected from one or more of: </w:t>
      </w:r>
    </w:p>
    <w:p w:rsidR="00000000" w:rsidRPr="00BC527D" w:rsidP="00BC527D">
      <w:pPr>
        <w:pStyle w:val="ListBullet2"/>
      </w:pPr>
      <w:r w:rsidRPr="00BC527D">
        <w:t>walk-throughs</w:t>
      </w:r>
    </w:p>
    <w:p w:rsidR="00000000" w:rsidRPr="00BC527D" w:rsidP="00BC527D">
      <w:pPr>
        <w:pStyle w:val="ListBullet2"/>
      </w:pPr>
      <w:r w:rsidRPr="00BC527D">
        <w:t xml:space="preserve">pilot plant operation </w:t>
      </w:r>
    </w:p>
    <w:p w:rsidR="00000000" w:rsidRPr="00BC527D" w:rsidP="00BC527D">
      <w:pPr>
        <w:pStyle w:val="ListBullet2"/>
      </w:pPr>
      <w:r w:rsidRPr="00BC527D">
        <w:t xml:space="preserve">demonstration of skills </w:t>
      </w:r>
    </w:p>
    <w:p w:rsidR="00000000" w:rsidRPr="00BC527D" w:rsidP="00BC527D">
      <w:pPr>
        <w:pStyle w:val="ListBullet2"/>
      </w:pPr>
      <w:r w:rsidRPr="00BC527D">
        <w:t xml:space="preserve">industry-based case studies/scenarios </w:t>
      </w:r>
    </w:p>
    <w:p w:rsidR="00000000" w:rsidRPr="00BC527D" w:rsidP="00BC527D">
      <w:pPr>
        <w:pStyle w:val="ListBullet2"/>
      </w:pPr>
      <w:r w:rsidRPr="00BC527D">
        <w:t>‘what ifs’.</w:t>
      </w:r>
    </w:p>
    <w:p w:rsidR="00000000" w:rsidRPr="00BC527D" w:rsidP="00BC527D">
      <w:pPr>
        <w:pStyle w:val="ListBullet"/>
      </w:pPr>
      <w:r w:rsidRPr="00BC527D">
        <w:t>Knowledge evidence may be collected concurrently with performance evidence (provided a record is k</w:t>
      </w:r>
      <w:r w:rsidRPr="00BC527D">
        <w:t>ept) or through an independent process, such as workbooks, written assessments or interviews (provided a record is kept).</w:t>
      </w:r>
    </w:p>
    <w:p w:rsidR="00000000" w:rsidRPr="00BC527D" w:rsidP="00BC527D">
      <w:pPr>
        <w:pStyle w:val="ListBullet"/>
      </w:pPr>
      <w:r w:rsidRPr="00BC527D">
        <w:t>Assessment processes and techniques must be appropriate to the language, literacy and numeracy requirements of the work being performe</w:t>
      </w:r>
      <w:r w:rsidRPr="00BC527D">
        <w:t>d and the needs of the candidate.</w:t>
      </w:r>
    </w:p>
    <w:p w:rsidR="00000000" w:rsidRPr="00BC527D" w:rsidP="00BC527D">
      <w:pPr>
        <w:pStyle w:val="ListBullet"/>
      </w:pPr>
      <w:r w:rsidRPr="00BC527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C527D" w:rsidP="00BC527D">
      <w:pPr>
        <w:pStyle w:val="ListBullet"/>
      </w:pPr>
      <w:r w:rsidRPr="00BC527D">
        <w:t xml:space="preserve">The </w:t>
      </w:r>
      <w:r w:rsidRPr="00BC527D">
        <w:t>regulatory framework will be reflected in workplace policies and procedures and is not required to be independently assessed.</w:t>
      </w:r>
    </w:p>
    <w:p w:rsidR="00000000" w:rsidRPr="00BC527D" w:rsidP="00BC527D">
      <w:pPr>
        <w:pStyle w:val="ListBullet"/>
      </w:pPr>
      <w:r w:rsidRPr="00BC527D">
        <w:t>Foundation skills are integral to competent performance of the unit and should not be assessed separately.</w:t>
      </w:r>
    </w:p>
    <w:p w:rsidR="00000000" w:rsidRPr="00BC527D" w:rsidP="00BC527D">
      <w:pPr>
        <w:pStyle w:val="ListBullet"/>
      </w:pPr>
      <w:r w:rsidRPr="00BC527D">
        <w:t>Assessors must satisfy the assessor competency requirements that are in place at the time of the assessment as set by the VET regulator.</w:t>
      </w:r>
    </w:p>
    <w:p w:rsidR="00000000" w:rsidRPr="00BC527D" w:rsidP="00BC527D">
      <w:pPr>
        <w:pStyle w:val="ListBullet"/>
      </w:pPr>
      <w:r w:rsidRPr="00BC527D">
        <w:t xml:space="preserve">In addition, the assessor or anyone acting in subject matter expert role in assessment must demonstrate both technical </w:t>
      </w:r>
      <w:r w:rsidRPr="00BC527D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BC527D" w:rsidP="00BC527D">
      <w:pPr>
        <w:pStyle w:val="ListBullet"/>
      </w:pPr>
      <w:r w:rsidRPr="00BC527D">
        <w:t>Technical competence can be demonstrated through one or more of:</w:t>
      </w:r>
    </w:p>
    <w:p w:rsidR="00000000" w:rsidRPr="00BC527D" w:rsidP="00BC527D">
      <w:pPr>
        <w:pStyle w:val="ListBullet2"/>
      </w:pPr>
      <w:r w:rsidRPr="00BC527D">
        <w:t>relevant VET or</w:t>
      </w:r>
      <w:r w:rsidRPr="00BC527D">
        <w:t xml:space="preserve"> other qualification/Statement of Attainment </w:t>
      </w:r>
    </w:p>
    <w:p w:rsidR="00000000" w:rsidRPr="00BC527D" w:rsidP="00BC527D">
      <w:pPr>
        <w:pStyle w:val="ListBullet2"/>
      </w:pPr>
      <w:r w:rsidRPr="00BC527D">
        <w:t xml:space="preserve">appropriate workplace experience undertaking the type of work being assessed under routine and non-routine conditions </w:t>
      </w:r>
    </w:p>
    <w:p w:rsidR="00000000" w:rsidRPr="00BC527D" w:rsidP="00BC527D">
      <w:pPr>
        <w:pStyle w:val="ListBullet2"/>
      </w:pPr>
      <w:r w:rsidRPr="00BC527D">
        <w:t>appropriate workplace experience supervising/evaluating the type of work being assessed und</w:t>
      </w:r>
      <w:r w:rsidRPr="00BC527D">
        <w:t>er routine and non-routine conditions</w:t>
      </w:r>
    </w:p>
    <w:p w:rsidR="00000000" w:rsidRPr="00BC527D" w:rsidP="00BC527D">
      <w:pPr>
        <w:pStyle w:val="ListBullet"/>
      </w:pPr>
      <w:r w:rsidRPr="00BC527D">
        <w:t>Currency can be demonstrated through one or more of:</w:t>
      </w:r>
    </w:p>
    <w:p w:rsidR="00000000" w:rsidRPr="00BC527D" w:rsidP="00BC527D">
      <w:pPr>
        <w:pStyle w:val="ListBullet2"/>
      </w:pPr>
      <w:r w:rsidRPr="00BC527D">
        <w:t xml:space="preserve">being currently employed undertaking the type of work being assessed </w:t>
      </w:r>
    </w:p>
    <w:p w:rsidR="00000000" w:rsidRPr="00BC527D" w:rsidP="00BC527D">
      <w:pPr>
        <w:pStyle w:val="ListBullet2"/>
      </w:pPr>
      <w:r w:rsidRPr="00BC527D">
        <w:t>being employed by the organisation undertaking the type of work being assessed and having mai</w:t>
      </w:r>
      <w:r w:rsidRPr="00BC527D">
        <w:t xml:space="preserve">ntained currency in accordance with that organisation’s policies and procedures </w:t>
      </w:r>
    </w:p>
    <w:p w:rsidR="00000000" w:rsidRPr="00BC527D" w:rsidP="00BC527D">
      <w:pPr>
        <w:pStyle w:val="ListBullet2"/>
      </w:pPr>
      <w:r w:rsidRPr="00BC527D">
        <w:t>having consulted/had contact with an organisation undertaking the type of work being assessed within the last twelve months, the consultation/contact being related to assessme</w:t>
      </w:r>
      <w:r w:rsidRPr="00BC527D">
        <w:t xml:space="preserve">nt </w:t>
      </w:r>
    </w:p>
    <w:p w:rsidR="00000000" w:rsidRPr="00BC527D" w:rsidP="00BC527D">
      <w:pPr>
        <w:pStyle w:val="ListBullet2"/>
      </w:pPr>
      <w:r w:rsidRPr="00BC527D">
        <w:t xml:space="preserve">conducting on-the-job training/assessments of the type of work being assessed </w:t>
      </w:r>
    </w:p>
    <w:p w:rsidR="00000000" w:rsidRPr="00BC527D" w:rsidP="00BC527D">
      <w:pPr>
        <w:pStyle w:val="ListBullet2"/>
      </w:pPr>
      <w:r w:rsidRPr="00BC527D">
        <w:t>being an active member of a relevant professional body and participating in activities relevant to the assessment of this type of work</w:t>
      </w:r>
    </w:p>
    <w:p w:rsidR="00000000" w:rsidRPr="00BC527D" w:rsidP="00BC527D">
      <w:pPr>
        <w:pStyle w:val="AllowPageBreak"/>
      </w:pPr>
    </w:p>
    <w:p w:rsidR="00000000" w:rsidRPr="00BC527D" w:rsidP="00BC527D">
      <w:pPr>
        <w:pStyle w:val="Heading1"/>
      </w:pPr>
      <w:bookmarkStart w:id="15" w:name="O_909527"/>
      <w:bookmarkEnd w:id="15"/>
      <w:r w:rsidRPr="00BC527D">
        <w:t>Links</w:t>
      </w:r>
    </w:p>
    <w:p w:rsidR="00000000" w:rsidRPr="00BC527D" w:rsidP="00B818A9">
      <w:pPr>
        <w:pStyle w:val="BodyText"/>
      </w:pPr>
      <w:r w:rsidRPr="00BC5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4116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C527D" w:rsidP="00BC527D"/>
    <w:sectPr w:rsidSect="00BC52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 w:rsidRPr="00B818A9" w:rsidP="00B81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A9" w:rsidP="00BC5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818A9" w:rsidP="00BC5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18A9" w:rsidP="00BC52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 w:rsidP="00BC5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8A9">
      <w:t>Approved</w:t>
    </w:r>
    <w:r w:rsidR="00B818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8A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8A9">
      <w:rPr>
        <w:noProof/>
      </w:rPr>
      <w:t>8</w:t>
    </w:r>
    <w:r>
      <w:rPr>
        <w:noProof/>
      </w:rPr>
      <w:fldChar w:fldCharType="end"/>
    </w:r>
  </w:p>
  <w:p w:rsidR="00BC527D" w:rsidP="00BC5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8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8A9">
      <w:t>Manufacturing Industry Skills Alliance</w:t>
    </w:r>
    <w:r w:rsidR="00B818A9">
      <w:fldChar w:fldCharType="end"/>
    </w:r>
  </w:p>
  <w:p w:rsidR="00BC527D" w:rsidP="00BC5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27D" w:rsidRPr="00B818A9" w:rsidP="00B81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A9" w:rsidRPr="002D2AF8" w:rsidP="00BC5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PMASUP237 Undertake crane, dogging and load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18A9" w:rsidP="00BC52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7D" w:rsidRPr="002D2AF8" w:rsidP="00BC5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8A9">
      <w:t>PMASUP237 Undertake crane, dogging and load transfer operations</w:t>
    </w:r>
    <w:r w:rsidR="00B818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8A9">
      <w:rPr>
        <w:noProof/>
      </w:rPr>
      <w:t>2 March 2025</w:t>
    </w:r>
    <w:r>
      <w:fldChar w:fldCharType="end"/>
    </w:r>
  </w:p>
  <w:p w:rsidR="00BC527D" w:rsidP="00BC5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BE0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869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00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27D"/>
  </w:style>
  <w:style w:type="character" w:customStyle="1" w:styleId="Heading1Char">
    <w:name w:val="Heading 1 Char"/>
    <w:basedOn w:val="DefaultParagraphFont"/>
    <w:link w:val="Heading1"/>
    <w:rsid w:val="00BC5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2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27D"/>
    <w:rPr>
      <w:b/>
      <w:spacing w:val="0"/>
    </w:rPr>
  </w:style>
  <w:style w:type="paragraph" w:styleId="ListBullet2">
    <w:name w:val="List Bullet 2"/>
    <w:basedOn w:val="List2"/>
    <w:rsid w:val="00BC52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2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27D"/>
    <w:rPr>
      <w:i/>
    </w:rPr>
  </w:style>
  <w:style w:type="paragraph" w:styleId="Caption">
    <w:name w:val="caption"/>
    <w:basedOn w:val="BodyText"/>
    <w:next w:val="Normal"/>
    <w:qFormat/>
    <w:rsid w:val="00BC5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27D"/>
  </w:style>
  <w:style w:type="paragraph" w:styleId="TableofFigures">
    <w:name w:val="table of figures"/>
    <w:basedOn w:val="Normal"/>
    <w:next w:val="Normal"/>
    <w:semiHidden/>
    <w:rsid w:val="00BC5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2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27D"/>
    <w:rPr>
      <w:rFonts w:ascii="Wingdings" w:hAnsi="Wingdings"/>
    </w:rPr>
  </w:style>
  <w:style w:type="paragraph" w:customStyle="1" w:styleId="TableHeading">
    <w:name w:val="Table Heading"/>
    <w:basedOn w:val="HeadingBase"/>
    <w:rsid w:val="00BC5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27D"/>
    <w:rPr>
      <w:color w:val="0033CC"/>
      <w:u w:val="none"/>
    </w:rPr>
  </w:style>
  <w:style w:type="paragraph" w:customStyle="1" w:styleId="BodyTextRight">
    <w:name w:val="Body Text Right"/>
    <w:basedOn w:val="BodyText"/>
    <w:rsid w:val="00BC5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27D"/>
    <w:rPr>
      <w:sz w:val="32"/>
    </w:rPr>
  </w:style>
  <w:style w:type="paragraph" w:customStyle="1" w:styleId="HeadingProcedure">
    <w:name w:val="Heading Procedure"/>
    <w:basedOn w:val="HeadingBase"/>
    <w:next w:val="Normal"/>
    <w:rsid w:val="00BC5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27D"/>
    <w:pPr>
      <w:spacing w:before="60" w:after="60"/>
    </w:pPr>
  </w:style>
  <w:style w:type="paragraph" w:styleId="ListContinue">
    <w:name w:val="List Continue"/>
    <w:basedOn w:val="List"/>
    <w:rsid w:val="00BC527D"/>
    <w:pPr>
      <w:ind w:firstLine="0"/>
    </w:pPr>
  </w:style>
  <w:style w:type="paragraph" w:customStyle="1" w:styleId="ListNote">
    <w:name w:val="List Note"/>
    <w:basedOn w:val="List"/>
    <w:rsid w:val="00BC5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27D"/>
    <w:rPr>
      <w:rFonts w:ascii="Courier New" w:hAnsi="Courier New"/>
    </w:rPr>
  </w:style>
  <w:style w:type="paragraph" w:customStyle="1" w:styleId="NoteBullet">
    <w:name w:val="Note Bullet"/>
    <w:basedOn w:val="Note"/>
    <w:rsid w:val="00BC5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27D"/>
    <w:rPr>
      <w:b/>
      <w:smallCaps/>
    </w:rPr>
  </w:style>
  <w:style w:type="paragraph" w:customStyle="1" w:styleId="TableListNumber">
    <w:name w:val="Table List Number"/>
    <w:basedOn w:val="ListNumber"/>
    <w:rsid w:val="00BC5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27D"/>
    <w:pPr>
      <w:numPr>
        <w:numId w:val="9"/>
      </w:numPr>
    </w:pPr>
  </w:style>
  <w:style w:type="paragraph" w:customStyle="1" w:styleId="ListAlpha2">
    <w:name w:val="List Alpha 2"/>
    <w:basedOn w:val="List2"/>
    <w:rsid w:val="00BC527D"/>
    <w:pPr>
      <w:numPr>
        <w:numId w:val="8"/>
      </w:numPr>
    </w:pPr>
  </w:style>
  <w:style w:type="paragraph" w:styleId="List2">
    <w:name w:val="List 2"/>
    <w:basedOn w:val="BodyText"/>
    <w:rsid w:val="00BC5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27D"/>
    <w:pPr>
      <w:numPr>
        <w:numId w:val="4"/>
      </w:numPr>
    </w:pPr>
  </w:style>
  <w:style w:type="paragraph" w:styleId="ListContinue2">
    <w:name w:val="List Continue 2"/>
    <w:basedOn w:val="List2"/>
    <w:rsid w:val="00BC527D"/>
    <w:pPr>
      <w:ind w:firstLine="0"/>
    </w:pPr>
  </w:style>
  <w:style w:type="paragraph" w:styleId="ListContinue3">
    <w:name w:val="List Continue 3"/>
    <w:basedOn w:val="List3"/>
    <w:rsid w:val="00BC527D"/>
    <w:pPr>
      <w:ind w:left="1021" w:firstLine="0"/>
    </w:pPr>
  </w:style>
  <w:style w:type="paragraph" w:styleId="ListContinue4">
    <w:name w:val="List Continue 4"/>
    <w:basedOn w:val="List4"/>
    <w:rsid w:val="00BC527D"/>
    <w:pPr>
      <w:ind w:firstLine="0"/>
    </w:pPr>
  </w:style>
  <w:style w:type="paragraph" w:styleId="ListContinue5">
    <w:name w:val="List Continue 5"/>
    <w:basedOn w:val="List5"/>
    <w:rsid w:val="00BC527D"/>
    <w:pPr>
      <w:ind w:firstLine="0"/>
    </w:pPr>
  </w:style>
  <w:style w:type="paragraph" w:styleId="ListNumber3">
    <w:name w:val="List Number 3"/>
    <w:basedOn w:val="List3"/>
    <w:rsid w:val="00BC527D"/>
    <w:pPr>
      <w:numPr>
        <w:numId w:val="5"/>
      </w:numPr>
    </w:pPr>
  </w:style>
  <w:style w:type="paragraph" w:styleId="ListNumber4">
    <w:name w:val="List Number 4"/>
    <w:basedOn w:val="List4"/>
    <w:rsid w:val="00BC527D"/>
    <w:pPr>
      <w:numPr>
        <w:numId w:val="6"/>
      </w:numPr>
    </w:pPr>
  </w:style>
  <w:style w:type="paragraph" w:styleId="ListNumber5">
    <w:name w:val="List Number 5"/>
    <w:basedOn w:val="List5"/>
    <w:rsid w:val="00BC527D"/>
    <w:pPr>
      <w:numPr>
        <w:numId w:val="7"/>
      </w:numPr>
    </w:pPr>
  </w:style>
  <w:style w:type="paragraph" w:styleId="BlockText">
    <w:name w:val="Block Text"/>
    <w:basedOn w:val="Normal"/>
    <w:rsid w:val="00BC5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27D"/>
    <w:rPr>
      <w:sz w:val="16"/>
      <w:vertAlign w:val="superscript"/>
    </w:rPr>
  </w:style>
  <w:style w:type="character" w:customStyle="1" w:styleId="Symbols">
    <w:name w:val="Symbols"/>
    <w:basedOn w:val="DefaultParagraphFont"/>
    <w:rsid w:val="00BC527D"/>
    <w:rPr>
      <w:rFonts w:ascii="Symbol" w:hAnsi="Symbol"/>
    </w:rPr>
  </w:style>
  <w:style w:type="character" w:customStyle="1" w:styleId="MenuOptions">
    <w:name w:val="Menu Options"/>
    <w:basedOn w:val="DefaultParagraphFont"/>
    <w:rsid w:val="00BC5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27D"/>
    <w:rPr>
      <w:b/>
    </w:rPr>
  </w:style>
  <w:style w:type="character" w:customStyle="1" w:styleId="Underlined">
    <w:name w:val="Underlined"/>
    <w:basedOn w:val="DefaultParagraphFont"/>
    <w:rsid w:val="00BC527D"/>
    <w:rPr>
      <w:u w:val="single"/>
    </w:rPr>
  </w:style>
  <w:style w:type="paragraph" w:customStyle="1" w:styleId="TableBodyTextRight">
    <w:name w:val="Table Body Text Right"/>
    <w:basedOn w:val="TableBodyText"/>
    <w:rsid w:val="00BC5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27D"/>
    <w:rPr>
      <w:sz w:val="18"/>
    </w:rPr>
  </w:style>
  <w:style w:type="paragraph" w:customStyle="1" w:styleId="BodySmallRight">
    <w:name w:val="Body Small Right"/>
    <w:basedOn w:val="BodyTextRight"/>
    <w:rsid w:val="00BC527D"/>
    <w:rPr>
      <w:sz w:val="18"/>
      <w:szCs w:val="18"/>
    </w:rPr>
  </w:style>
  <w:style w:type="paragraph" w:customStyle="1" w:styleId="MarginEdition">
    <w:name w:val="Margin Edition"/>
    <w:basedOn w:val="MarginNote"/>
    <w:rsid w:val="00BC5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27D"/>
    <w:rPr>
      <w:sz w:val="2"/>
      <w:szCs w:val="2"/>
    </w:rPr>
  </w:style>
  <w:style w:type="character" w:customStyle="1" w:styleId="Small">
    <w:name w:val="Small"/>
    <w:basedOn w:val="DefaultParagraphFont"/>
    <w:rsid w:val="00BC527D"/>
    <w:rPr>
      <w:sz w:val="16"/>
    </w:rPr>
  </w:style>
  <w:style w:type="paragraph" w:customStyle="1" w:styleId="WideTable">
    <w:name w:val="Wide Table"/>
    <w:basedOn w:val="Normal"/>
    <w:rsid w:val="00BC5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27D"/>
  </w:style>
  <w:style w:type="paragraph" w:styleId="Quote">
    <w:name w:val="Quote"/>
    <w:basedOn w:val="Heading1"/>
    <w:link w:val="QuoteChar"/>
    <w:qFormat/>
    <w:rsid w:val="00BC5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27D"/>
    <w:pPr>
      <w:pageBreakBefore/>
    </w:pPr>
  </w:style>
  <w:style w:type="paragraph" w:customStyle="1" w:styleId="Border">
    <w:name w:val="Border"/>
    <w:basedOn w:val="Normal"/>
    <w:qFormat/>
    <w:rsid w:val="00BC5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27D"/>
    <w:rPr>
      <w:u w:val="single"/>
    </w:rPr>
  </w:style>
  <w:style w:type="character" w:customStyle="1" w:styleId="BoldandItalics">
    <w:name w:val="Bold and Italics"/>
    <w:qFormat/>
    <w:rsid w:val="00BC527D"/>
    <w:rPr>
      <w:b/>
      <w:i/>
      <w:u w:val="none"/>
    </w:rPr>
  </w:style>
  <w:style w:type="paragraph" w:styleId="BalloonText">
    <w:name w:val="Balloon Text"/>
    <w:basedOn w:val="Normal"/>
    <w:link w:val="BalloonTextChar"/>
    <w:rsid w:val="00BC5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27D"/>
    <w:pPr>
      <w:spacing w:before="0" w:after="0"/>
    </w:pPr>
  </w:style>
  <w:style w:type="paragraph" w:customStyle="1" w:styleId="BodyTextBold">
    <w:name w:val="Body Text Bold"/>
    <w:basedOn w:val="BodyText"/>
    <w:qFormat/>
    <w:rsid w:val="00BC527D"/>
    <w:rPr>
      <w:b/>
    </w:rPr>
  </w:style>
  <w:style w:type="character" w:styleId="Hyperlink">
    <w:name w:val="Hyperlink"/>
    <w:basedOn w:val="DefaultParagraphFont"/>
    <w:uiPriority w:val="99"/>
    <w:unhideWhenUsed/>
    <w:rsid w:val="00B81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1872</Words>
  <Characters>11630</Characters>
  <Application>Microsoft Office Word</Application>
  <DocSecurity>0</DocSecurity>
  <Lines>430</Lines>
  <Paragraphs>270</Paragraphs>
  <ScaleCrop>false</ScaleCrop>
  <Company>Author-it Software Corporation Ltd.</Company>
  <LinksUpToDate>false</LinksUpToDate>
  <CharactersWithSpaces>13232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PMASUP237 Undertake crane, dogging and load transfer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