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355" w:rsidP="003F5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PMASMELT270 Supply product from reduction cells</w:t>
      </w:r>
      <w:r>
        <w:fldChar w:fldCharType="end"/>
      </w:r>
    </w:p>
    <w:p w:rsidR="003F5355" w:rsidP="003F5355">
      <w:pPr>
        <w:pStyle w:val="Version"/>
        <w:sectPr w:rsidSect="00452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17F" w:rsidP="0045217F">
      <w:pPr>
        <w:pStyle w:val="SuperHeading"/>
      </w:pPr>
      <w:r w:rsidRPr="0045217F">
        <w:t>Assessment Requirements for PMASMELT270 Supply product from reduction cells</w:t>
      </w:r>
    </w:p>
    <w:p w:rsidR="00000000" w:rsidRPr="0045217F" w:rsidP="0045217F">
      <w:pPr>
        <w:pStyle w:val="Heading1"/>
      </w:pPr>
      <w:bookmarkStart w:id="1" w:name="O_909243"/>
      <w:bookmarkEnd w:id="1"/>
      <w:r w:rsidRPr="0045217F">
        <w:t>Modification History</w:t>
      </w:r>
    </w:p>
    <w:p w:rsidR="00000000" w:rsidRPr="0045217F" w:rsidP="003F5355">
      <w:pPr>
        <w:pStyle w:val="BodyText"/>
      </w:pPr>
      <w:r w:rsidRPr="0045217F">
        <w:t>Release 1. Supersedes and is equivalent to PMASMELT270A Supply product from reduction cells</w:t>
      </w:r>
    </w:p>
    <w:p w:rsidR="00000000" w:rsidRPr="0045217F" w:rsidP="0045217F">
      <w:pPr>
        <w:pStyle w:val="Heading1"/>
      </w:pPr>
      <w:bookmarkStart w:id="2" w:name="O_909246"/>
      <w:bookmarkEnd w:id="2"/>
      <w:r w:rsidRPr="0045217F">
        <w:t>Performance Evidence</w:t>
      </w:r>
    </w:p>
    <w:p w:rsidR="00000000" w:rsidRPr="0045217F" w:rsidP="003F5355">
      <w:pPr>
        <w:pStyle w:val="BodyText"/>
      </w:pPr>
      <w:r w:rsidRPr="0045217F">
        <w:t>Evidence required to demonstrate competence in this unit must be relevant to and satisfy the requirements of the elements and performance criteria, and include the ability to:</w:t>
      </w:r>
    </w:p>
    <w:p w:rsidR="00000000" w:rsidRPr="0045217F" w:rsidP="0045217F">
      <w:pPr>
        <w:pStyle w:val="ListBullet"/>
      </w:pPr>
      <w:r w:rsidRPr="0045217F">
        <w:t>tap metal and bath</w:t>
      </w:r>
    </w:p>
    <w:p w:rsidR="00000000" w:rsidRPr="0045217F" w:rsidP="0045217F">
      <w:pPr>
        <w:pStyle w:val="ListBullet"/>
      </w:pPr>
      <w:r w:rsidRPr="0045217F">
        <w:t>monitor equipment conditions and maintenance requirements an</w:t>
      </w:r>
      <w:r w:rsidRPr="0045217F">
        <w:t xml:space="preserve">d take action </w:t>
      </w:r>
    </w:p>
    <w:p w:rsidR="00000000" w:rsidRPr="0045217F" w:rsidP="0045217F">
      <w:pPr>
        <w:pStyle w:val="ListBullet"/>
      </w:pPr>
      <w:r w:rsidRPr="0045217F">
        <w:t>monitor process parameters and performance and make adjustments according to procedures</w:t>
      </w:r>
    </w:p>
    <w:p w:rsidR="00000000" w:rsidRPr="0045217F" w:rsidP="0045217F">
      <w:pPr>
        <w:pStyle w:val="ListBullet"/>
      </w:pPr>
      <w:r w:rsidRPr="0045217F">
        <w:t>recognise early warning signs of equipment/processes needing attention or with potential problems and take action to ensure a timely return to full perfo</w:t>
      </w:r>
      <w:r w:rsidRPr="0045217F">
        <w:t>rmance</w:t>
      </w:r>
    </w:p>
    <w:p w:rsidR="00000000" w:rsidRPr="0045217F" w:rsidP="0045217F">
      <w:pPr>
        <w:pStyle w:val="ListBullet"/>
      </w:pPr>
      <w:r w:rsidRPr="0045217F">
        <w:t>isolate and de-isolate equipment</w:t>
      </w:r>
    </w:p>
    <w:p w:rsidR="00000000" w:rsidRPr="0045217F" w:rsidP="0045217F">
      <w:pPr>
        <w:pStyle w:val="ListBullet"/>
      </w:pPr>
      <w:r w:rsidRPr="0045217F">
        <w:t xml:space="preserve">identify hazards and apply hazard control procedures </w:t>
      </w:r>
    </w:p>
    <w:p w:rsidR="00000000" w:rsidRPr="0045217F" w:rsidP="0045217F">
      <w:pPr>
        <w:pStyle w:val="ListBullet"/>
      </w:pPr>
      <w:r w:rsidRPr="0045217F">
        <w:t>respond to emergencies</w:t>
      </w:r>
    </w:p>
    <w:p w:rsidR="00000000" w:rsidRPr="0045217F" w:rsidP="0045217F">
      <w:pPr>
        <w:pStyle w:val="ListBullet"/>
      </w:pPr>
      <w:r w:rsidRPr="0045217F">
        <w:t>apply housekeeping procedures, including cleaning the area, removal of contaminants, safety inspections and rectification of issues that co</w:t>
      </w:r>
      <w:r w:rsidRPr="0045217F">
        <w:t>uld compromise safety.</w:t>
      </w:r>
    </w:p>
    <w:p w:rsidR="00000000" w:rsidRPr="0045217F" w:rsidP="0045217F">
      <w:pPr>
        <w:pStyle w:val="AllowPageBreak"/>
      </w:pPr>
    </w:p>
    <w:p w:rsidR="00000000" w:rsidRPr="0045217F" w:rsidP="0045217F">
      <w:pPr>
        <w:pStyle w:val="Heading1"/>
      </w:pPr>
      <w:bookmarkStart w:id="3" w:name="O_909245"/>
      <w:bookmarkEnd w:id="3"/>
      <w:r w:rsidRPr="0045217F">
        <w:t>Knowledge Evidence</w:t>
      </w:r>
    </w:p>
    <w:p w:rsidR="00000000" w:rsidRPr="0045217F" w:rsidP="003F5355">
      <w:pPr>
        <w:pStyle w:val="BodyText"/>
      </w:pPr>
      <w:r w:rsidRPr="0045217F">
        <w:t>Evidence must be provided that demonstrates knowledge of:</w:t>
      </w:r>
    </w:p>
    <w:p w:rsidR="00000000" w:rsidRPr="0045217F" w:rsidP="0045217F">
      <w:pPr>
        <w:pStyle w:val="ListBullet"/>
      </w:pPr>
      <w:r w:rsidRPr="0045217F">
        <w:t>all items on a schematic of the reduction cell process and the function of each</w:t>
      </w:r>
    </w:p>
    <w:p w:rsidR="00000000" w:rsidRPr="0045217F" w:rsidP="0045217F">
      <w:pPr>
        <w:pStyle w:val="ListBullet"/>
      </w:pPr>
      <w:r w:rsidRPr="0045217F">
        <w:t>basic principles of operation of tapping equipment</w:t>
      </w:r>
    </w:p>
    <w:p w:rsidR="00000000" w:rsidRPr="0045217F" w:rsidP="0045217F">
      <w:pPr>
        <w:pStyle w:val="ListBullet"/>
      </w:pPr>
      <w:r w:rsidRPr="0045217F">
        <w:t>basic u</w:t>
      </w:r>
      <w:r w:rsidRPr="0045217F">
        <w:t>nderstanding of the product specifications, including depth of cover and uniformity of aluminium layer, and variations required on the input and output side</w:t>
      </w:r>
    </w:p>
    <w:p w:rsidR="00000000" w:rsidRPr="0045217F" w:rsidP="0045217F">
      <w:pPr>
        <w:pStyle w:val="ListBullet"/>
      </w:pPr>
      <w:r w:rsidRPr="0045217F">
        <w:t>process parameters and limits (e.g. temperature, moisture and flow)</w:t>
      </w:r>
    </w:p>
    <w:p w:rsidR="00000000" w:rsidRPr="0045217F" w:rsidP="0045217F">
      <w:pPr>
        <w:pStyle w:val="ListBullet"/>
      </w:pPr>
      <w:r w:rsidRPr="0045217F">
        <w:t xml:space="preserve">emergency responses, including </w:t>
      </w:r>
      <w:r w:rsidRPr="0045217F">
        <w:t xml:space="preserve">those related to: </w:t>
      </w:r>
    </w:p>
    <w:p w:rsidR="00000000" w:rsidRPr="0045217F" w:rsidP="0045217F">
      <w:pPr>
        <w:pStyle w:val="ListBullet2"/>
      </w:pPr>
      <w:r w:rsidRPr="0045217F">
        <w:t xml:space="preserve">tap outs </w:t>
      </w:r>
    </w:p>
    <w:p w:rsidR="00000000" w:rsidRPr="0045217F" w:rsidP="0045217F">
      <w:pPr>
        <w:pStyle w:val="ListBullet2"/>
      </w:pPr>
      <w:r w:rsidRPr="0045217F">
        <w:t xml:space="preserve">leak/loss of containment </w:t>
      </w:r>
    </w:p>
    <w:p w:rsidR="00000000" w:rsidRPr="0045217F" w:rsidP="0045217F">
      <w:pPr>
        <w:pStyle w:val="ListBullet2"/>
      </w:pPr>
      <w:r w:rsidRPr="0045217F">
        <w:t>evacuation due to fire or open cell circuit</w:t>
      </w:r>
    </w:p>
    <w:p w:rsidR="00000000" w:rsidRPr="0045217F" w:rsidP="0045217F">
      <w:pPr>
        <w:pStyle w:val="ListBullet2"/>
      </w:pPr>
      <w:r w:rsidRPr="0045217F">
        <w:t>loss of power</w:t>
      </w:r>
    </w:p>
    <w:p w:rsidR="00000000" w:rsidRPr="0045217F" w:rsidP="0045217F">
      <w:pPr>
        <w:pStyle w:val="ListBullet2"/>
      </w:pPr>
      <w:r w:rsidRPr="0045217F">
        <w:t>excessive emissions of fumes or particulate</w:t>
      </w:r>
    </w:p>
    <w:p w:rsidR="00000000" w:rsidRPr="0045217F" w:rsidP="0045217F">
      <w:pPr>
        <w:pStyle w:val="ListBullet2"/>
      </w:pPr>
      <w:r w:rsidRPr="0045217F">
        <w:t>major oil spill</w:t>
      </w:r>
    </w:p>
    <w:p w:rsidR="00000000" w:rsidRPr="0045217F" w:rsidP="0045217F">
      <w:pPr>
        <w:pStyle w:val="ListBullet2"/>
      </w:pPr>
      <w:r w:rsidRPr="0045217F">
        <w:t>equipment failure</w:t>
      </w:r>
    </w:p>
    <w:p w:rsidR="00000000" w:rsidRPr="0045217F" w:rsidP="0045217F">
      <w:pPr>
        <w:pStyle w:val="ListBullet"/>
      </w:pPr>
      <w:r w:rsidRPr="0045217F">
        <w:t>typical hazards associated with electromagnetic effects, moisture, wet bath and wet soda ash, and how to recognise them</w:t>
      </w:r>
    </w:p>
    <w:p w:rsidR="00000000" w:rsidRPr="0045217F" w:rsidP="0045217F">
      <w:pPr>
        <w:pStyle w:val="ListBullet"/>
      </w:pPr>
      <w:r w:rsidRPr="0045217F">
        <w:t xml:space="preserve">correct use of personal protective equipment (PPE), including specific insulated boots, heat resistant material, full-ventilated suits, </w:t>
      </w:r>
      <w:r w:rsidRPr="0045217F">
        <w:t>full-face masks and other situation-specific equipment.</w:t>
      </w:r>
    </w:p>
    <w:p w:rsidR="00000000" w:rsidRPr="0045217F" w:rsidP="0045217F">
      <w:pPr>
        <w:pStyle w:val="AllowPageBreak"/>
      </w:pPr>
    </w:p>
    <w:p w:rsidR="00000000" w:rsidRPr="0045217F" w:rsidP="0045217F">
      <w:pPr>
        <w:pStyle w:val="Heading1"/>
      </w:pPr>
      <w:bookmarkStart w:id="4" w:name="O_909244"/>
      <w:bookmarkEnd w:id="4"/>
      <w:r w:rsidRPr="0045217F">
        <w:t>Assessment Conditions</w:t>
      </w:r>
    </w:p>
    <w:p w:rsidR="00000000" w:rsidRPr="0045217F" w:rsidP="0045217F">
      <w:pPr>
        <w:pStyle w:val="ListBullet"/>
      </w:pPr>
      <w:r w:rsidRPr="0045217F">
        <w:t xml:space="preserve">The unit should be assessed holistically and the judgement of competence based on a holistic assessment of the evidence. </w:t>
      </w:r>
    </w:p>
    <w:p w:rsidR="00000000" w:rsidRPr="0045217F" w:rsidP="0045217F">
      <w:pPr>
        <w:pStyle w:val="ListBullet"/>
      </w:pPr>
      <w:r w:rsidRPr="0045217F">
        <w:t>The collection of performance evidence</w:t>
      </w:r>
      <w:r w:rsidRPr="0045217F">
        <w:t>:</w:t>
      </w:r>
    </w:p>
    <w:p w:rsidR="00000000" w:rsidRPr="0045217F" w:rsidP="0045217F">
      <w:pPr>
        <w:pStyle w:val="ListBullet2"/>
      </w:pPr>
      <w:r w:rsidRPr="0045217F">
        <w:t>should occur over a range of situations which include typical disruptions to normal, smooth operation of an operating plant</w:t>
      </w:r>
    </w:p>
    <w:p w:rsidR="00000000" w:rsidRPr="0045217F" w:rsidP="0045217F">
      <w:pPr>
        <w:pStyle w:val="ListBullet2"/>
      </w:pPr>
      <w:r w:rsidRPr="0045217F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45217F">
        <w:t xml:space="preserve">ith the person being assessed and who is in a position to form a judgement on workplace performance relevant to the unit of competency </w:t>
      </w:r>
    </w:p>
    <w:p w:rsidR="00000000" w:rsidRPr="0045217F" w:rsidP="0045217F">
      <w:pPr>
        <w:pStyle w:val="ListBullet2"/>
      </w:pPr>
      <w:r w:rsidRPr="0045217F">
        <w:t>must include the use of an appropriate industrial item of equipment requiring demonstration of operation, start-up and s</w:t>
      </w:r>
      <w:r w:rsidRPr="0045217F">
        <w:t>hutdown procedures and responding to problems</w:t>
      </w:r>
    </w:p>
    <w:p w:rsidR="00000000" w:rsidRPr="0045217F" w:rsidP="0045217F">
      <w:pPr>
        <w:pStyle w:val="ListBullet2"/>
      </w:pPr>
      <w:r w:rsidRPr="0045217F">
        <w:t>may use industry-based simulation for part only of the unit where safety, lack of opportunity or significant cost is an issue.</w:t>
      </w:r>
    </w:p>
    <w:p w:rsidR="00000000" w:rsidRPr="0045217F" w:rsidP="0045217F">
      <w:pPr>
        <w:pStyle w:val="ListBullet"/>
      </w:pPr>
      <w:r w:rsidRPr="0045217F">
        <w:t>Assessment should occur in operational workplace situations. Where this is not pos</w:t>
      </w:r>
      <w:r w:rsidRPr="0045217F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45217F">
        <w:t xml:space="preserve">, including environment, task skills, task management skills, contingency management skills and job role environment skills. </w:t>
      </w:r>
    </w:p>
    <w:p w:rsidR="00000000" w:rsidRPr="0045217F" w:rsidP="0045217F">
      <w:pPr>
        <w:pStyle w:val="ListBullet"/>
      </w:pPr>
      <w:r w:rsidRPr="0045217F">
        <w:t xml:space="preserve">Assessment in a simulated environment should use evidence collected from one or more of: </w:t>
      </w:r>
    </w:p>
    <w:p w:rsidR="00000000" w:rsidRPr="0045217F" w:rsidP="0045217F">
      <w:pPr>
        <w:pStyle w:val="ListBullet2"/>
      </w:pPr>
      <w:r w:rsidRPr="0045217F">
        <w:t>walk-throughs</w:t>
      </w:r>
    </w:p>
    <w:p w:rsidR="00000000" w:rsidRPr="0045217F" w:rsidP="0045217F">
      <w:pPr>
        <w:pStyle w:val="ListBullet2"/>
      </w:pPr>
      <w:r w:rsidRPr="0045217F">
        <w:t>pilot plant operation</w:t>
      </w:r>
    </w:p>
    <w:p w:rsidR="00000000" w:rsidRPr="0045217F" w:rsidP="0045217F">
      <w:pPr>
        <w:pStyle w:val="ListBullet2"/>
      </w:pPr>
      <w:r w:rsidRPr="0045217F">
        <w:t>dem</w:t>
      </w:r>
      <w:r w:rsidRPr="0045217F">
        <w:t xml:space="preserve">onstration of skills </w:t>
      </w:r>
    </w:p>
    <w:p w:rsidR="00000000" w:rsidRPr="0045217F" w:rsidP="0045217F">
      <w:pPr>
        <w:pStyle w:val="ListBullet2"/>
      </w:pPr>
      <w:r w:rsidRPr="0045217F">
        <w:t xml:space="preserve">industry-based case studies/scenarios </w:t>
      </w:r>
    </w:p>
    <w:p w:rsidR="00000000" w:rsidRPr="0045217F" w:rsidP="0045217F">
      <w:pPr>
        <w:pStyle w:val="ListBullet2"/>
      </w:pPr>
      <w:r w:rsidRPr="0045217F">
        <w:t>‘what ifs’.</w:t>
      </w:r>
    </w:p>
    <w:p w:rsidR="00000000" w:rsidRPr="0045217F" w:rsidP="0045217F">
      <w:pPr>
        <w:pStyle w:val="ListBullet"/>
      </w:pPr>
      <w:r w:rsidRPr="0045217F">
        <w:t>Knowledge evidence may be collected concurrently with performance evidence (provided a record is kept) or through an independent process, such as workbooks, written assessments or in</w:t>
      </w:r>
      <w:r w:rsidRPr="0045217F">
        <w:t>terviews (provided a record is kept).</w:t>
      </w:r>
    </w:p>
    <w:p w:rsidR="00000000" w:rsidRPr="0045217F" w:rsidP="0045217F">
      <w:pPr>
        <w:pStyle w:val="ListBullet"/>
      </w:pPr>
      <w:r w:rsidRPr="0045217F">
        <w:t>Assessment processes and techniques must be appropriate to the language, literacy and numeracy requirements of the work being performed and the needs of the candidate.</w:t>
      </w:r>
    </w:p>
    <w:p w:rsidR="00000000" w:rsidRPr="0045217F" w:rsidP="0045217F">
      <w:pPr>
        <w:pStyle w:val="ListBullet"/>
      </w:pPr>
      <w:r w:rsidRPr="0045217F">
        <w:t>Conditions for assessment must include access to a</w:t>
      </w:r>
      <w:r w:rsidRPr="0045217F">
        <w:t>ll tools, equipment, materials and documentation required, including relevant workplace procedures, product and manufacturing specifications associated with this unit.</w:t>
      </w:r>
    </w:p>
    <w:p w:rsidR="00000000" w:rsidRPr="0045217F" w:rsidP="0045217F">
      <w:pPr>
        <w:pStyle w:val="ListBullet"/>
      </w:pPr>
      <w:r w:rsidRPr="0045217F">
        <w:t>The regulatory framework will be reflected in workplace policies and procedures and is n</w:t>
      </w:r>
      <w:r w:rsidRPr="0045217F">
        <w:t>ot required to be independently assessed.</w:t>
      </w:r>
    </w:p>
    <w:p w:rsidR="00000000" w:rsidRPr="0045217F" w:rsidP="0045217F">
      <w:pPr>
        <w:pStyle w:val="ListBullet"/>
      </w:pPr>
      <w:r w:rsidRPr="0045217F">
        <w:t>Foundation skills are integral to competent performance of the unit and should not be assessed separately.</w:t>
      </w:r>
    </w:p>
    <w:p w:rsidR="00000000" w:rsidRPr="0045217F" w:rsidP="0045217F">
      <w:pPr>
        <w:pStyle w:val="ListBullet"/>
      </w:pPr>
      <w:r w:rsidRPr="0045217F">
        <w:t>Assessors must satisfy the assessor co</w:t>
      </w:r>
      <w:r w:rsidRPr="0045217F">
        <w:t>mpetency requirements that are in place at the time of the assessment as set by the VET regulator.</w:t>
      </w:r>
    </w:p>
    <w:p w:rsidR="00000000" w:rsidRPr="0045217F" w:rsidP="0045217F">
      <w:pPr>
        <w:pStyle w:val="ListBullet"/>
      </w:pPr>
      <w:r w:rsidRPr="0045217F">
        <w:t>In addition, the assessor or anyone acting in subject matter expert role in assessment must demonstrate both technical competency and currency. If the assess</w:t>
      </w:r>
      <w:r w:rsidRPr="0045217F">
        <w:t xml:space="preserve">or cannot demonstrate technical competency and currency they must assess with a subject matter expert who does meet these requirements. </w:t>
      </w:r>
    </w:p>
    <w:p w:rsidR="00000000" w:rsidRPr="0045217F" w:rsidP="0045217F">
      <w:pPr>
        <w:pStyle w:val="ListBullet"/>
      </w:pPr>
      <w:r w:rsidRPr="0045217F">
        <w:t>Technical competence can be demonstrated through one or more of:</w:t>
      </w:r>
    </w:p>
    <w:p w:rsidR="00000000" w:rsidRPr="0045217F" w:rsidP="0045217F">
      <w:pPr>
        <w:pStyle w:val="ListBullet2"/>
      </w:pPr>
      <w:r w:rsidRPr="0045217F">
        <w:t>relevant VET or other qualification/Statement of Atta</w:t>
      </w:r>
      <w:r w:rsidRPr="0045217F">
        <w:t xml:space="preserve">inment </w:t>
      </w:r>
    </w:p>
    <w:p w:rsidR="00000000" w:rsidRPr="0045217F" w:rsidP="0045217F">
      <w:pPr>
        <w:pStyle w:val="ListBullet2"/>
      </w:pPr>
      <w:r w:rsidRPr="0045217F">
        <w:t xml:space="preserve">appropriate workplace experience undertaking the type of work being assessed under routine and non-routine conditions </w:t>
      </w:r>
    </w:p>
    <w:p w:rsidR="00000000" w:rsidRPr="0045217F" w:rsidP="0045217F">
      <w:pPr>
        <w:pStyle w:val="ListBullet2"/>
      </w:pPr>
      <w:r w:rsidRPr="0045217F">
        <w:t>appropriate workplace experience supervising/evaluating the type of work being assessed under routine and non-routine conditions</w:t>
      </w:r>
    </w:p>
    <w:p w:rsidR="00000000" w:rsidRPr="0045217F" w:rsidP="0045217F">
      <w:pPr>
        <w:pStyle w:val="ListBullet"/>
      </w:pPr>
      <w:r w:rsidRPr="0045217F">
        <w:t>Currency can be demonstrated through one or more of:</w:t>
      </w:r>
    </w:p>
    <w:p w:rsidR="00000000" w:rsidRPr="0045217F" w:rsidP="0045217F">
      <w:pPr>
        <w:pStyle w:val="ListBullet2"/>
      </w:pPr>
      <w:r w:rsidRPr="0045217F">
        <w:t xml:space="preserve">being currently employed undertaking the type of work being assessed </w:t>
      </w:r>
    </w:p>
    <w:p w:rsidR="00000000" w:rsidRPr="0045217F" w:rsidP="0045217F">
      <w:pPr>
        <w:pStyle w:val="ListBullet2"/>
      </w:pPr>
      <w:r w:rsidRPr="0045217F">
        <w:t>being employed by the organisation undertaking the type of work being assessed and having maintained currency in accordance with th</w:t>
      </w:r>
      <w:r w:rsidRPr="0045217F">
        <w:t xml:space="preserve">at organisation’s policies and procedures </w:t>
      </w:r>
    </w:p>
    <w:p w:rsidR="00000000" w:rsidRPr="0045217F" w:rsidP="0045217F">
      <w:pPr>
        <w:pStyle w:val="ListBullet2"/>
      </w:pPr>
      <w:r w:rsidRPr="0045217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45217F" w:rsidP="0045217F">
      <w:pPr>
        <w:pStyle w:val="ListBullet2"/>
      </w:pPr>
      <w:r w:rsidRPr="0045217F">
        <w:t>conducting on-the-job training/ass</w:t>
      </w:r>
      <w:r w:rsidRPr="0045217F">
        <w:t xml:space="preserve">essments of the type of work being assessed </w:t>
      </w:r>
    </w:p>
    <w:p w:rsidR="00000000" w:rsidRPr="0045217F" w:rsidP="0045217F">
      <w:pPr>
        <w:pStyle w:val="ListBullet2"/>
      </w:pPr>
      <w:r w:rsidRPr="0045217F">
        <w:t>being an active member of a relevant professional body and participating in activities relevant to the assessment of this type of work</w:t>
      </w:r>
    </w:p>
    <w:p w:rsidR="00000000" w:rsidRPr="0045217F" w:rsidP="0045217F">
      <w:pPr>
        <w:pStyle w:val="AllowPageBreak"/>
      </w:pPr>
    </w:p>
    <w:p w:rsidR="00000000" w:rsidRPr="0045217F" w:rsidP="0045217F">
      <w:pPr>
        <w:pStyle w:val="Heading1"/>
      </w:pPr>
      <w:bookmarkStart w:id="5" w:name="O_909242"/>
      <w:bookmarkEnd w:id="5"/>
      <w:r w:rsidRPr="0045217F">
        <w:t>Links</w:t>
      </w:r>
    </w:p>
    <w:p w:rsidR="00000000" w:rsidRPr="0045217F" w:rsidP="003F5355">
      <w:pPr>
        <w:pStyle w:val="BodyText"/>
      </w:pPr>
      <w:r w:rsidRPr="004521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31A1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5217F" w:rsidP="0045217F"/>
    <w:sectPr w:rsidSect="004521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7F" w:rsidRPr="003F5355" w:rsidP="003F5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55" w:rsidP="00452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355" w:rsidP="00452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5355" w:rsidP="00452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17F" w:rsidRPr="003F5355" w:rsidP="003F5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55" w:rsidRPr="002D2AF8" w:rsidP="00452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PMASMELT270 Supply product from reduction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F5355" w:rsidP="00452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C41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BA8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503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17F"/>
  </w:style>
  <w:style w:type="character" w:customStyle="1" w:styleId="Heading1Char">
    <w:name w:val="Heading 1 Char"/>
    <w:basedOn w:val="DefaultParagraphFont"/>
    <w:link w:val="Heading1"/>
    <w:rsid w:val="00452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1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1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1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17F"/>
    <w:rPr>
      <w:b/>
      <w:spacing w:val="0"/>
    </w:rPr>
  </w:style>
  <w:style w:type="paragraph" w:customStyle="1" w:styleId="SuperTitle">
    <w:name w:val="SuperTitle"/>
    <w:basedOn w:val="Title"/>
    <w:rsid w:val="00452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1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17F"/>
    <w:rPr>
      <w:i/>
    </w:rPr>
  </w:style>
  <w:style w:type="paragraph" w:styleId="Caption">
    <w:name w:val="caption"/>
    <w:basedOn w:val="BodyText"/>
    <w:next w:val="Normal"/>
    <w:qFormat/>
    <w:rsid w:val="00452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17F"/>
  </w:style>
  <w:style w:type="paragraph" w:styleId="TableofFigures">
    <w:name w:val="table of figures"/>
    <w:basedOn w:val="Normal"/>
    <w:next w:val="Normal"/>
    <w:semiHidden/>
    <w:rsid w:val="00452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1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17F"/>
    <w:rPr>
      <w:rFonts w:ascii="Wingdings" w:hAnsi="Wingdings"/>
    </w:rPr>
  </w:style>
  <w:style w:type="paragraph" w:customStyle="1" w:styleId="TableHeading">
    <w:name w:val="Table Heading"/>
    <w:basedOn w:val="HeadingBase"/>
    <w:rsid w:val="00452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17F"/>
    <w:rPr>
      <w:color w:val="0033CC"/>
      <w:u w:val="none"/>
    </w:rPr>
  </w:style>
  <w:style w:type="paragraph" w:customStyle="1" w:styleId="BodyTextRight">
    <w:name w:val="Body Text Right"/>
    <w:basedOn w:val="BodyText"/>
    <w:rsid w:val="00452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1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17F"/>
    <w:rPr>
      <w:sz w:val="32"/>
    </w:rPr>
  </w:style>
  <w:style w:type="paragraph" w:customStyle="1" w:styleId="HeadingProcedure">
    <w:name w:val="Heading Procedure"/>
    <w:basedOn w:val="HeadingBase"/>
    <w:next w:val="Normal"/>
    <w:rsid w:val="00452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17F"/>
    <w:pPr>
      <w:spacing w:before="60" w:after="60"/>
    </w:pPr>
  </w:style>
  <w:style w:type="paragraph" w:styleId="ListContinue">
    <w:name w:val="List Continue"/>
    <w:basedOn w:val="List"/>
    <w:rsid w:val="0045217F"/>
    <w:pPr>
      <w:ind w:firstLine="0"/>
    </w:pPr>
  </w:style>
  <w:style w:type="paragraph" w:customStyle="1" w:styleId="ListNote">
    <w:name w:val="List Note"/>
    <w:basedOn w:val="List"/>
    <w:rsid w:val="00452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17F"/>
    <w:rPr>
      <w:rFonts w:ascii="Courier New" w:hAnsi="Courier New"/>
    </w:rPr>
  </w:style>
  <w:style w:type="paragraph" w:customStyle="1" w:styleId="NoteBullet">
    <w:name w:val="Note Bullet"/>
    <w:basedOn w:val="Note"/>
    <w:rsid w:val="00452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1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17F"/>
    <w:rPr>
      <w:b/>
      <w:smallCaps/>
    </w:rPr>
  </w:style>
  <w:style w:type="paragraph" w:customStyle="1" w:styleId="TableListNumber">
    <w:name w:val="Table List Number"/>
    <w:basedOn w:val="ListNumber"/>
    <w:rsid w:val="00452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17F"/>
    <w:pPr>
      <w:numPr>
        <w:numId w:val="9"/>
      </w:numPr>
    </w:pPr>
  </w:style>
  <w:style w:type="paragraph" w:customStyle="1" w:styleId="ListAlpha2">
    <w:name w:val="List Alpha 2"/>
    <w:basedOn w:val="List2"/>
    <w:rsid w:val="0045217F"/>
    <w:pPr>
      <w:numPr>
        <w:numId w:val="8"/>
      </w:numPr>
    </w:pPr>
  </w:style>
  <w:style w:type="paragraph" w:styleId="List2">
    <w:name w:val="List 2"/>
    <w:basedOn w:val="BodyText"/>
    <w:rsid w:val="00452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1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1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17F"/>
    <w:pPr>
      <w:numPr>
        <w:numId w:val="4"/>
      </w:numPr>
    </w:pPr>
  </w:style>
  <w:style w:type="paragraph" w:styleId="ListContinue2">
    <w:name w:val="List Continue 2"/>
    <w:basedOn w:val="List2"/>
    <w:rsid w:val="0045217F"/>
    <w:pPr>
      <w:ind w:firstLine="0"/>
    </w:pPr>
  </w:style>
  <w:style w:type="paragraph" w:styleId="ListContinue3">
    <w:name w:val="List Continue 3"/>
    <w:basedOn w:val="List3"/>
    <w:rsid w:val="0045217F"/>
    <w:pPr>
      <w:ind w:left="1021" w:firstLine="0"/>
    </w:pPr>
  </w:style>
  <w:style w:type="paragraph" w:styleId="ListContinue4">
    <w:name w:val="List Continue 4"/>
    <w:basedOn w:val="List4"/>
    <w:rsid w:val="0045217F"/>
    <w:pPr>
      <w:ind w:firstLine="0"/>
    </w:pPr>
  </w:style>
  <w:style w:type="paragraph" w:styleId="ListContinue5">
    <w:name w:val="List Continue 5"/>
    <w:basedOn w:val="List5"/>
    <w:rsid w:val="0045217F"/>
    <w:pPr>
      <w:ind w:firstLine="0"/>
    </w:pPr>
  </w:style>
  <w:style w:type="paragraph" w:styleId="ListNumber3">
    <w:name w:val="List Number 3"/>
    <w:basedOn w:val="List3"/>
    <w:rsid w:val="0045217F"/>
    <w:pPr>
      <w:numPr>
        <w:numId w:val="5"/>
      </w:numPr>
    </w:pPr>
  </w:style>
  <w:style w:type="paragraph" w:styleId="ListNumber4">
    <w:name w:val="List Number 4"/>
    <w:basedOn w:val="List4"/>
    <w:rsid w:val="0045217F"/>
    <w:pPr>
      <w:numPr>
        <w:numId w:val="6"/>
      </w:numPr>
    </w:pPr>
  </w:style>
  <w:style w:type="paragraph" w:styleId="ListNumber5">
    <w:name w:val="List Number 5"/>
    <w:basedOn w:val="List5"/>
    <w:rsid w:val="0045217F"/>
    <w:pPr>
      <w:numPr>
        <w:numId w:val="7"/>
      </w:numPr>
    </w:pPr>
  </w:style>
  <w:style w:type="paragraph" w:styleId="BlockText">
    <w:name w:val="Block Text"/>
    <w:basedOn w:val="Normal"/>
    <w:rsid w:val="00452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17F"/>
    <w:rPr>
      <w:sz w:val="16"/>
      <w:vertAlign w:val="superscript"/>
    </w:rPr>
  </w:style>
  <w:style w:type="character" w:customStyle="1" w:styleId="Symbols">
    <w:name w:val="Symbols"/>
    <w:basedOn w:val="DefaultParagraphFont"/>
    <w:rsid w:val="0045217F"/>
    <w:rPr>
      <w:rFonts w:ascii="Symbol" w:hAnsi="Symbol"/>
    </w:rPr>
  </w:style>
  <w:style w:type="character" w:customStyle="1" w:styleId="MenuOptions">
    <w:name w:val="Menu Options"/>
    <w:basedOn w:val="DefaultParagraphFont"/>
    <w:rsid w:val="00452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17F"/>
    <w:rPr>
      <w:b/>
    </w:rPr>
  </w:style>
  <w:style w:type="character" w:customStyle="1" w:styleId="Underlined">
    <w:name w:val="Underlined"/>
    <w:basedOn w:val="DefaultParagraphFont"/>
    <w:rsid w:val="0045217F"/>
    <w:rPr>
      <w:u w:val="single"/>
    </w:rPr>
  </w:style>
  <w:style w:type="paragraph" w:customStyle="1" w:styleId="TableBodyTextRight">
    <w:name w:val="Table Body Text Right"/>
    <w:basedOn w:val="TableBodyText"/>
    <w:rsid w:val="00452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17F"/>
    <w:rPr>
      <w:sz w:val="18"/>
    </w:rPr>
  </w:style>
  <w:style w:type="paragraph" w:customStyle="1" w:styleId="BodySmallRight">
    <w:name w:val="Body Small Right"/>
    <w:basedOn w:val="BodyTextRight"/>
    <w:rsid w:val="0045217F"/>
    <w:rPr>
      <w:sz w:val="18"/>
      <w:szCs w:val="18"/>
    </w:rPr>
  </w:style>
  <w:style w:type="paragraph" w:customStyle="1" w:styleId="MarginEdition">
    <w:name w:val="Margin Edition"/>
    <w:basedOn w:val="MarginNote"/>
    <w:rsid w:val="00452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17F"/>
    <w:rPr>
      <w:sz w:val="2"/>
      <w:szCs w:val="2"/>
    </w:rPr>
  </w:style>
  <w:style w:type="character" w:customStyle="1" w:styleId="Small">
    <w:name w:val="Small"/>
    <w:basedOn w:val="DefaultParagraphFont"/>
    <w:rsid w:val="0045217F"/>
    <w:rPr>
      <w:sz w:val="16"/>
    </w:rPr>
  </w:style>
  <w:style w:type="paragraph" w:customStyle="1" w:styleId="WideTable">
    <w:name w:val="Wide Table"/>
    <w:basedOn w:val="Normal"/>
    <w:rsid w:val="00452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17F"/>
  </w:style>
  <w:style w:type="paragraph" w:styleId="Quote">
    <w:name w:val="Quote"/>
    <w:basedOn w:val="Heading1"/>
    <w:link w:val="QuoteChar"/>
    <w:qFormat/>
    <w:rsid w:val="00452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17F"/>
    <w:pPr>
      <w:pageBreakBefore/>
    </w:pPr>
  </w:style>
  <w:style w:type="paragraph" w:customStyle="1" w:styleId="Border">
    <w:name w:val="Border"/>
    <w:basedOn w:val="Normal"/>
    <w:qFormat/>
    <w:rsid w:val="00452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17F"/>
    <w:rPr>
      <w:u w:val="single"/>
    </w:rPr>
  </w:style>
  <w:style w:type="character" w:customStyle="1" w:styleId="BoldandItalics">
    <w:name w:val="Bold and Italics"/>
    <w:qFormat/>
    <w:rsid w:val="0045217F"/>
    <w:rPr>
      <w:b/>
      <w:i/>
      <w:u w:val="none"/>
    </w:rPr>
  </w:style>
  <w:style w:type="paragraph" w:styleId="BalloonText">
    <w:name w:val="Balloon Text"/>
    <w:basedOn w:val="Normal"/>
    <w:link w:val="BalloonTextChar"/>
    <w:rsid w:val="00452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17F"/>
    <w:pPr>
      <w:spacing w:before="0" w:after="0"/>
    </w:pPr>
  </w:style>
  <w:style w:type="paragraph" w:customStyle="1" w:styleId="BodyTextBold">
    <w:name w:val="Body Text Bold"/>
    <w:basedOn w:val="BodyText"/>
    <w:qFormat/>
    <w:rsid w:val="0045217F"/>
    <w:rPr>
      <w:b/>
    </w:rPr>
  </w:style>
  <w:style w:type="character" w:styleId="Hyperlink">
    <w:name w:val="Hyperlink"/>
    <w:basedOn w:val="DefaultParagraphFont"/>
    <w:uiPriority w:val="99"/>
    <w:unhideWhenUsed/>
    <w:rsid w:val="003F5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5511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PMASMELT270 Supply product from reduction cells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