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2EFF" w:rsidP="005A2EFF">
      <w:pPr>
        <w:pStyle w:val="Title"/>
      </w:pPr>
      <w:r>
        <w:fldChar w:fldCharType="begin"/>
      </w:r>
      <w:r>
        <w:instrText xml:space="preserve"> TITLE   \* MERGEFORMAT </w:instrText>
      </w:r>
      <w:r>
        <w:fldChar w:fldCharType="separate"/>
      </w:r>
      <w:r>
        <w:t>PMASMELT269 Operate cell tending equipment</w:t>
      </w:r>
      <w:r>
        <w:fldChar w:fldCharType="end"/>
      </w:r>
    </w:p>
    <w:p w:rsidR="005A2EFF" w:rsidP="005A2EFF">
      <w:pPr>
        <w:pStyle w:val="Version"/>
        <w:sectPr w:rsidSect="009E6E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6EC0" w:rsidP="009E6EC0">
      <w:pPr>
        <w:pStyle w:val="SuperHeading"/>
      </w:pPr>
      <w:r w:rsidRPr="009E6EC0">
        <w:t>PMASMELT269 Operate cell tending equipment</w:t>
      </w:r>
    </w:p>
    <w:p w:rsidR="00000000" w:rsidRPr="009E6EC0" w:rsidP="009E6EC0">
      <w:pPr>
        <w:pStyle w:val="Heading1"/>
      </w:pPr>
      <w:bookmarkStart w:id="1" w:name="O_909228"/>
      <w:bookmarkEnd w:id="1"/>
      <w:r w:rsidRPr="009E6EC0">
        <w:t>Modification History</w:t>
      </w:r>
    </w:p>
    <w:p w:rsidR="00000000" w:rsidRPr="009E6EC0" w:rsidP="005A2EFF">
      <w:pPr>
        <w:pStyle w:val="BodyText"/>
      </w:pPr>
      <w:r w:rsidRPr="009E6EC0">
        <w:t>Release 1. Supersedes and is equivalent to PMASMELT269A Operate cell tending equipment</w:t>
      </w:r>
    </w:p>
    <w:p w:rsidR="00000000" w:rsidRPr="009E6EC0" w:rsidP="009E6EC0">
      <w:pPr>
        <w:pStyle w:val="Heading1"/>
      </w:pPr>
      <w:bookmarkStart w:id="2" w:name="O_909236"/>
      <w:bookmarkEnd w:id="2"/>
      <w:r w:rsidRPr="009E6EC0">
        <w:t>Application</w:t>
      </w:r>
    </w:p>
    <w:p w:rsidR="00000000" w:rsidRPr="009E6EC0" w:rsidP="005A2EFF">
      <w:pPr>
        <w:pStyle w:val="BodyText"/>
      </w:pPr>
      <w:r w:rsidRPr="009E6EC0">
        <w:t>This unit of competency covers the skills and knowledge required to operate cell tending equipment used to adjust and s</w:t>
      </w:r>
      <w:r w:rsidRPr="009E6EC0">
        <w:t>upport the operation of reduction cells for the aluminium smelting (or similar) process.</w:t>
      </w:r>
    </w:p>
    <w:p w:rsidR="00000000" w:rsidRPr="009E6EC0" w:rsidP="005A2EFF">
      <w:pPr>
        <w:pStyle w:val="BodyText"/>
      </w:pPr>
      <w:r w:rsidRPr="009E6EC0">
        <w:t>This unit of competency applies to operators who are required to change anodes, conduct beam raising, conduct metal tapping and bath tapping, replenish cell feed, and</w:t>
      </w:r>
      <w:r w:rsidRPr="009E6EC0">
        <w:t xml:space="preserve"> recognise and respond to </w:t>
      </w:r>
      <w:r>
        <w:t>‘</w:t>
      </w:r>
      <w:r w:rsidRPr="009E6EC0">
        <w:t>out-of-parameter</w:t>
      </w:r>
      <w:r>
        <w:t>’</w:t>
      </w:r>
      <w:r w:rsidRPr="009E6EC0">
        <w:t xml:space="preserve"> issues.</w:t>
      </w:r>
    </w:p>
    <w:p w:rsidR="00000000" w:rsidRPr="009E6EC0" w:rsidP="005A2EFF">
      <w:pPr>
        <w:pStyle w:val="BodyText"/>
      </w:pPr>
      <w:r w:rsidRPr="009E6EC0">
        <w:t>This unit of competency applies to an individual working alone or as part of a team or group and working in liaison with other shift team members and the control room operator, as appropriate. The opera</w:t>
      </w:r>
      <w:r w:rsidRPr="009E6EC0">
        <w:t>tor would be part of a team during start up and shut down procedures.</w:t>
      </w:r>
    </w:p>
    <w:p w:rsidR="00000000" w:rsidRPr="009E6EC0" w:rsidP="005A2EFF">
      <w:pPr>
        <w:pStyle w:val="BodyText"/>
      </w:pPr>
      <w:r w:rsidRPr="009E6EC0">
        <w:t>This unit of competency does not require the operation of a central control panel.</w:t>
      </w:r>
    </w:p>
    <w:p w:rsidR="00000000" w:rsidRPr="009E6EC0" w:rsidP="005A2EFF">
      <w:pPr>
        <w:pStyle w:val="BodyText"/>
      </w:pPr>
      <w:r w:rsidRPr="009E6EC0">
        <w:t>Some jurisdictions may require the operator of some equipment within this unit to be licensed or cert</w:t>
      </w:r>
      <w:r w:rsidRPr="009E6EC0">
        <w:t>ified and users should check with the relevant authorities.</w:t>
      </w:r>
    </w:p>
    <w:p w:rsidR="00000000" w:rsidRPr="009E6EC0" w:rsidP="009E6EC0">
      <w:pPr>
        <w:pStyle w:val="Heading1"/>
      </w:pPr>
      <w:bookmarkStart w:id="3" w:name="O_909235"/>
      <w:bookmarkEnd w:id="3"/>
      <w:r w:rsidRPr="009E6EC0">
        <w:t>Pre-requisite Unit</w:t>
      </w:r>
    </w:p>
    <w:p w:rsidR="00000000" w:rsidRPr="009E6EC0" w:rsidP="005A2EFF">
      <w:pPr>
        <w:pStyle w:val="BodyText"/>
      </w:pPr>
      <w:r w:rsidRPr="009E6EC0">
        <w:t>Nil</w:t>
      </w:r>
    </w:p>
    <w:p w:rsidR="00000000" w:rsidRPr="009E6EC0" w:rsidP="009E6EC0">
      <w:pPr>
        <w:pStyle w:val="Heading1"/>
      </w:pPr>
      <w:bookmarkStart w:id="4" w:name="O_909234"/>
      <w:bookmarkEnd w:id="4"/>
      <w:r w:rsidRPr="009E6EC0">
        <w:t>Competency Field</w:t>
      </w:r>
    </w:p>
    <w:p w:rsidR="00000000" w:rsidRPr="009E6EC0" w:rsidP="005A2EFF">
      <w:pPr>
        <w:pStyle w:val="BodyText"/>
      </w:pPr>
      <w:r w:rsidRPr="009E6EC0">
        <w:t>Operations</w:t>
      </w:r>
    </w:p>
    <w:p w:rsidR="00000000" w:rsidRPr="009E6EC0" w:rsidP="009E6EC0">
      <w:pPr>
        <w:pStyle w:val="Heading1"/>
      </w:pPr>
      <w:bookmarkStart w:id="5" w:name="O_909233"/>
      <w:bookmarkEnd w:id="5"/>
      <w:r w:rsidRPr="009E6EC0">
        <w:t>Unit Sector</w:t>
      </w:r>
    </w:p>
    <w:p w:rsidR="00000000" w:rsidRPr="009E6EC0" w:rsidP="009E6EC0">
      <w:pPr>
        <w:pStyle w:val="Heading1"/>
      </w:pPr>
      <w:bookmarkStart w:id="6" w:name="O_909232"/>
      <w:bookmarkEnd w:id="6"/>
      <w:r w:rsidRPr="009E6EC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E6EC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t xml:space="preserve">Elements describe the essential </w:t>
            </w:r>
            <w:r w:rsidRPr="009E6EC0">
              <w:t>outcomes.</w:t>
            </w:r>
          </w:p>
        </w:tc>
        <w:tc>
          <w:tcPr>
            <w:tcW w:w="6380" w:type="dxa"/>
            <w:gridSpan w:val="2"/>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t>Performance criteria describe the performance needed to demonstrate achievement of the element.</w:t>
            </w:r>
          </w:p>
        </w:tc>
      </w:tr>
      <w:tr w:rsidTr="009E6E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E6EC0" w:rsidP="009E6EC0">
            <w:pPr>
              <w:pStyle w:val="BodyText"/>
            </w:pPr>
            <w:r w:rsidRPr="009E6EC0">
              <w:t>1</w:t>
            </w:r>
          </w:p>
        </w:tc>
        <w:tc>
          <w:tcPr>
            <w:tcW w:w="1962" w:type="dxa"/>
            <w:vMerge w:val="restart"/>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rPr>
                <w:rStyle w:val="SpecialBold"/>
              </w:rPr>
              <w:t>Plan and prepare for operations</w:t>
            </w:r>
          </w:p>
        </w:tc>
        <w:tc>
          <w:tcPr>
            <w:tcW w:w="770" w:type="dxa"/>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t>1.1</w:t>
            </w:r>
          </w:p>
        </w:tc>
        <w:tc>
          <w:tcPr>
            <w:tcW w:w="5610" w:type="dxa"/>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t>Interpret and confirm work requirements before proceeding</w:t>
            </w:r>
          </w:p>
        </w:tc>
      </w:tr>
      <w:tr w:rsidTr="009E6E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t>1.2</w:t>
            </w:r>
          </w:p>
        </w:tc>
        <w:tc>
          <w:tcPr>
            <w:tcW w:w="5610" w:type="dxa"/>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t>Identify and control hazards</w:t>
            </w:r>
          </w:p>
        </w:tc>
      </w:tr>
      <w:tr w:rsidTr="009E6E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t>1.3</w:t>
            </w:r>
          </w:p>
        </w:tc>
        <w:tc>
          <w:tcPr>
            <w:tcW w:w="5610" w:type="dxa"/>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t>Ensure appropriate authorisations have been obtained/issued</w:t>
            </w:r>
          </w:p>
        </w:tc>
      </w:tr>
      <w:tr w:rsidTr="009E6E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t>1.4</w:t>
            </w:r>
          </w:p>
        </w:tc>
        <w:tc>
          <w:tcPr>
            <w:tcW w:w="5610" w:type="dxa"/>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t xml:space="preserve">Identify work flow path blockage (interruptions or bottlenecks) </w:t>
            </w:r>
          </w:p>
        </w:tc>
      </w:tr>
      <w:tr w:rsidTr="009E6EC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E6EC0">
            <w:pPr>
              <w:pStyle w:val="BodyText"/>
              <w:rPr>
                <w:lang w:val="en-NZ"/>
              </w:rPr>
            </w:pPr>
          </w:p>
        </w:tc>
      </w:tr>
      <w:tr w:rsidTr="009E6E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E6EC0" w:rsidP="009E6EC0">
            <w:pPr>
              <w:pStyle w:val="BodyText"/>
            </w:pPr>
            <w:r w:rsidRPr="009E6EC0">
              <w:t>2</w:t>
            </w:r>
          </w:p>
        </w:tc>
        <w:tc>
          <w:tcPr>
            <w:tcW w:w="1962" w:type="dxa"/>
            <w:vMerge w:val="restart"/>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rPr>
                <w:rStyle w:val="SpecialBold"/>
              </w:rPr>
              <w:t>Conduct pre-start requirements to procedures</w:t>
            </w:r>
          </w:p>
        </w:tc>
        <w:tc>
          <w:tcPr>
            <w:tcW w:w="770" w:type="dxa"/>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t>2.1</w:t>
            </w:r>
          </w:p>
        </w:tc>
        <w:tc>
          <w:tcPr>
            <w:tcW w:w="5610" w:type="dxa"/>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t>Conduct routine pre-start equipment checks</w:t>
            </w:r>
          </w:p>
        </w:tc>
      </w:tr>
      <w:tr w:rsidTr="009E6E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t>2.2</w:t>
            </w:r>
          </w:p>
        </w:tc>
        <w:tc>
          <w:tcPr>
            <w:tcW w:w="5610" w:type="dxa"/>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t>Conduct isolation as appropriate for pre-start inspections</w:t>
            </w:r>
          </w:p>
        </w:tc>
      </w:tr>
      <w:tr w:rsidTr="009E6E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t>2.3</w:t>
            </w:r>
          </w:p>
        </w:tc>
        <w:tc>
          <w:tcPr>
            <w:tcW w:w="5610" w:type="dxa"/>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t>Prepare equipment for operation</w:t>
            </w:r>
          </w:p>
        </w:tc>
      </w:tr>
      <w:tr w:rsidTr="009E6E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t>2.4</w:t>
            </w:r>
          </w:p>
        </w:tc>
        <w:tc>
          <w:tcPr>
            <w:tcW w:w="5610" w:type="dxa"/>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t>Complete routine equipment checklists</w:t>
            </w:r>
          </w:p>
        </w:tc>
      </w:tr>
      <w:tr w:rsidTr="009E6E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t>2.5</w:t>
            </w:r>
          </w:p>
        </w:tc>
        <w:tc>
          <w:tcPr>
            <w:tcW w:w="5610" w:type="dxa"/>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t>Complete reports as required for equipment inspections</w:t>
            </w:r>
          </w:p>
        </w:tc>
      </w:tr>
      <w:tr w:rsidTr="009E6EC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E6EC0">
            <w:pPr>
              <w:pStyle w:val="BodyText"/>
              <w:rPr>
                <w:lang w:val="en-NZ"/>
              </w:rPr>
            </w:pPr>
          </w:p>
        </w:tc>
      </w:tr>
      <w:tr w:rsidTr="009E6E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E6EC0" w:rsidP="009E6EC0">
            <w:pPr>
              <w:pStyle w:val="BodyText"/>
            </w:pPr>
            <w:r w:rsidRPr="009E6EC0">
              <w:t>3</w:t>
            </w:r>
          </w:p>
        </w:tc>
        <w:tc>
          <w:tcPr>
            <w:tcW w:w="1962" w:type="dxa"/>
            <w:vMerge w:val="restart"/>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rPr>
                <w:rStyle w:val="SpecialBold"/>
              </w:rPr>
              <w:t>Operate cell tending equipment to procedures</w:t>
            </w:r>
          </w:p>
        </w:tc>
        <w:tc>
          <w:tcPr>
            <w:tcW w:w="770" w:type="dxa"/>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t>3.1</w:t>
            </w:r>
          </w:p>
        </w:tc>
        <w:tc>
          <w:tcPr>
            <w:tcW w:w="5610" w:type="dxa"/>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t>Start up cell tending equipment and perform start up checks as required</w:t>
            </w:r>
          </w:p>
        </w:tc>
      </w:tr>
      <w:tr w:rsidTr="009E6E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t>3.2</w:t>
            </w:r>
          </w:p>
        </w:tc>
        <w:tc>
          <w:tcPr>
            <w:tcW w:w="5610" w:type="dxa"/>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t>Conduct beam raising and anode changing as required</w:t>
            </w:r>
          </w:p>
        </w:tc>
      </w:tr>
      <w:tr w:rsidTr="009E6E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t>3.3</w:t>
            </w:r>
          </w:p>
        </w:tc>
        <w:tc>
          <w:tcPr>
            <w:tcW w:w="5610" w:type="dxa"/>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t>Conduct cell replenishment as required</w:t>
            </w:r>
          </w:p>
        </w:tc>
      </w:tr>
      <w:tr w:rsidTr="009E6E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t>3.4</w:t>
            </w:r>
          </w:p>
        </w:tc>
        <w:tc>
          <w:tcPr>
            <w:tcW w:w="5610" w:type="dxa"/>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t>Conduct metal tapping as required</w:t>
            </w:r>
          </w:p>
        </w:tc>
      </w:tr>
      <w:tr w:rsidTr="009E6E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t>3.5</w:t>
            </w:r>
          </w:p>
        </w:tc>
        <w:tc>
          <w:tcPr>
            <w:tcW w:w="5610" w:type="dxa"/>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t>Transfer metal crucibles as required</w:t>
            </w:r>
          </w:p>
        </w:tc>
      </w:tr>
      <w:tr w:rsidTr="009E6E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t>3.6</w:t>
            </w:r>
          </w:p>
        </w:tc>
        <w:tc>
          <w:tcPr>
            <w:tcW w:w="5610" w:type="dxa"/>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t>Conduct bath tapping as required</w:t>
            </w:r>
          </w:p>
        </w:tc>
      </w:tr>
      <w:tr w:rsidTr="009E6E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t>3.7</w:t>
            </w:r>
          </w:p>
        </w:tc>
        <w:tc>
          <w:tcPr>
            <w:tcW w:w="5610" w:type="dxa"/>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t>Recognise and respond to emergencies should one arise</w:t>
            </w:r>
          </w:p>
        </w:tc>
      </w:tr>
      <w:tr w:rsidTr="009E6E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t>3.8</w:t>
            </w:r>
          </w:p>
        </w:tc>
        <w:tc>
          <w:tcPr>
            <w:tcW w:w="5610" w:type="dxa"/>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t>Communicate with others in the reduction cell area</w:t>
            </w:r>
          </w:p>
        </w:tc>
      </w:tr>
      <w:tr w:rsidTr="009E6EC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E6EC0">
            <w:pPr>
              <w:pStyle w:val="BodyText"/>
              <w:rPr>
                <w:lang w:val="en-NZ"/>
              </w:rPr>
            </w:pPr>
          </w:p>
        </w:tc>
      </w:tr>
      <w:tr w:rsidTr="009E6E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E6EC0" w:rsidP="009E6EC0">
            <w:pPr>
              <w:pStyle w:val="BodyText"/>
            </w:pPr>
            <w:r w:rsidRPr="009E6EC0">
              <w:t>4</w:t>
            </w:r>
          </w:p>
        </w:tc>
        <w:tc>
          <w:tcPr>
            <w:tcW w:w="1962" w:type="dxa"/>
            <w:vMerge w:val="restart"/>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rPr>
                <w:rStyle w:val="SpecialBold"/>
              </w:rPr>
              <w:t>Shut down cell tending equipment</w:t>
            </w:r>
          </w:p>
        </w:tc>
        <w:tc>
          <w:tcPr>
            <w:tcW w:w="770" w:type="dxa"/>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t>4.1</w:t>
            </w:r>
          </w:p>
        </w:tc>
        <w:tc>
          <w:tcPr>
            <w:tcW w:w="5610" w:type="dxa"/>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t>Manoeuvre equipment to suitable parking position</w:t>
            </w:r>
          </w:p>
        </w:tc>
      </w:tr>
      <w:tr w:rsidTr="009E6E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t>4.2</w:t>
            </w:r>
          </w:p>
        </w:tc>
        <w:tc>
          <w:tcPr>
            <w:tcW w:w="5610" w:type="dxa"/>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t>Shut down equipment</w:t>
            </w:r>
          </w:p>
        </w:tc>
      </w:tr>
      <w:tr w:rsidTr="009E6E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t>4.3</w:t>
            </w:r>
          </w:p>
        </w:tc>
        <w:tc>
          <w:tcPr>
            <w:tcW w:w="5610" w:type="dxa"/>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t>Conduct shutdown checks of equipment</w:t>
            </w:r>
          </w:p>
        </w:tc>
      </w:tr>
      <w:tr w:rsidTr="009E6EC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t>4.4</w:t>
            </w:r>
          </w:p>
        </w:tc>
        <w:tc>
          <w:tcPr>
            <w:tcW w:w="5610" w:type="dxa"/>
            <w:tcBorders>
              <w:top w:val="nil"/>
              <w:left w:val="nil"/>
              <w:bottom w:val="nil"/>
              <w:right w:val="nil"/>
            </w:tcBorders>
            <w:tcMar>
              <w:top w:w="0" w:type="dxa"/>
              <w:left w:w="62" w:type="dxa"/>
              <w:bottom w:w="0" w:type="dxa"/>
              <w:right w:w="62" w:type="dxa"/>
            </w:tcMar>
          </w:tcPr>
          <w:p w:rsidR="00000000" w:rsidRPr="009E6EC0" w:rsidP="009E6EC0">
            <w:pPr>
              <w:pStyle w:val="BodyText"/>
            </w:pPr>
            <w:r w:rsidRPr="009E6EC0">
              <w:t>Complete reports as required</w:t>
            </w:r>
          </w:p>
        </w:tc>
      </w:tr>
    </w:tbl>
    <w:p w:rsidR="00000000" w:rsidRPr="009E6EC0" w:rsidP="009E6EC0">
      <w:pPr>
        <w:pStyle w:val="BodyText"/>
      </w:pPr>
    </w:p>
    <w:p w:rsidR="00000000" w:rsidRPr="009E6EC0" w:rsidP="009E6EC0">
      <w:pPr>
        <w:pStyle w:val="AllowPageBreak"/>
      </w:pPr>
    </w:p>
    <w:p w:rsidR="00000000" w:rsidRPr="009E6EC0" w:rsidP="009E6EC0">
      <w:pPr>
        <w:pStyle w:val="Heading1"/>
      </w:pPr>
      <w:bookmarkStart w:id="7" w:name="O_909231"/>
      <w:bookmarkEnd w:id="7"/>
      <w:r w:rsidRPr="009E6EC0">
        <w:t>Foundation Skills</w:t>
      </w:r>
    </w:p>
    <w:p w:rsidR="00000000" w:rsidRPr="009E6EC0" w:rsidP="005A2EFF">
      <w:pPr>
        <w:pStyle w:val="BodyText"/>
      </w:pPr>
      <w:r w:rsidRPr="009E6EC0">
        <w:t>This section describes those language, literacy, numeracy and employment skills that are essential to performance.</w:t>
      </w:r>
    </w:p>
    <w:p w:rsidR="00000000" w:rsidRPr="009E6EC0" w:rsidP="005A2EFF">
      <w:pPr>
        <w:pStyle w:val="BodyText"/>
      </w:pPr>
      <w:r w:rsidRPr="009E6EC0">
        <w:t>Foundation skills essential to performance are explicit in the performance criteria of this unit of competency.</w:t>
      </w:r>
    </w:p>
    <w:p w:rsidR="00000000" w:rsidRPr="009E6EC0" w:rsidP="009E6EC0">
      <w:pPr>
        <w:pStyle w:val="Heading1"/>
      </w:pPr>
      <w:bookmarkStart w:id="8" w:name="O_909230"/>
      <w:bookmarkEnd w:id="8"/>
      <w:r w:rsidRPr="009E6EC0">
        <w:t>Range of Co</w:t>
      </w:r>
      <w:r w:rsidRPr="009E6EC0">
        <w:t>nditions</w:t>
      </w:r>
    </w:p>
    <w:tbl>
      <w:tblPr>
        <w:tblW w:w="0" w:type="auto"/>
        <w:tblCellMar>
          <w:left w:w="62" w:type="dxa"/>
          <w:right w:w="62" w:type="dxa"/>
        </w:tblCellMar>
        <w:tblLook w:val="0000"/>
      </w:tblPr>
      <w:tblGrid>
        <w:gridCol w:w="2163"/>
        <w:gridCol w:w="7033"/>
      </w:tblGrid>
      <w:tr w:rsidTr="005A2EF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t>This field allows for different work environments and conditions that may affect performance. Essential operating conditions that may be present (depending on the work situation, needs of the candidate, accessibility of the item, and local industr</w:t>
            </w:r>
            <w:r w:rsidRPr="009E6EC0">
              <w:t>y and regional contexts) are included.</w:t>
            </w:r>
          </w:p>
        </w:tc>
      </w:tr>
      <w:tr w:rsidTr="005A2E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9E6EC0" w:rsidP="009E6EC0">
            <w:pPr>
              <w:pStyle w:val="BodyText"/>
            </w:pPr>
            <w:r w:rsidRPr="009E6EC0">
              <w:t xml:space="preserve">The latest version of all legislation, regulations, industry codes of practice and Australian/international standards, or the version specified by the local regulatory authority, must be used, </w:t>
            </w:r>
            <w:r w:rsidRPr="009E6EC0">
              <w:t>and include one or more of the following:</w:t>
            </w:r>
          </w:p>
          <w:p w:rsidR="00000000" w:rsidRPr="009E6EC0" w:rsidP="009E6EC0">
            <w:pPr>
              <w:pStyle w:val="ListBullet"/>
            </w:pPr>
            <w:r w:rsidRPr="009E6EC0">
              <w:t>legislative requirements, including work health and safety (WHS)</w:t>
            </w:r>
          </w:p>
          <w:p w:rsidR="00000000" w:rsidRPr="009E6EC0" w:rsidP="009E6EC0">
            <w:pPr>
              <w:pStyle w:val="ListBullet"/>
            </w:pPr>
            <w:r w:rsidRPr="009E6EC0">
              <w:t>industry codes of practice and guidelines</w:t>
            </w:r>
          </w:p>
          <w:p w:rsidR="00000000" w:rsidRPr="009E6EC0" w:rsidP="009E6EC0">
            <w:pPr>
              <w:pStyle w:val="ListBullet"/>
            </w:pPr>
            <w:r w:rsidRPr="009E6EC0">
              <w:t xml:space="preserve">environmental regulations and guidelines </w:t>
            </w:r>
          </w:p>
          <w:p w:rsidR="00000000" w:rsidRPr="009E6EC0" w:rsidP="009E6EC0">
            <w:pPr>
              <w:pStyle w:val="ListBullet"/>
            </w:pPr>
            <w:r w:rsidRPr="009E6EC0">
              <w:t>Australian and other standards</w:t>
            </w:r>
          </w:p>
          <w:p w:rsidR="00000000" w:rsidRPr="009E6EC0" w:rsidP="009E6EC0">
            <w:pPr>
              <w:pStyle w:val="ListBullet"/>
            </w:pPr>
            <w:r w:rsidRPr="009E6EC0">
              <w:t xml:space="preserve">licence and certification requirements </w:t>
            </w:r>
          </w:p>
          <w:p w:rsidR="00000000" w:rsidRPr="009E6EC0" w:rsidP="009E6EC0">
            <w:pPr>
              <w:pStyle w:val="BodyText"/>
            </w:pPr>
          </w:p>
          <w:p w:rsidR="00000000" w:rsidRPr="009E6EC0" w:rsidP="009E6EC0">
            <w:pPr>
              <w:pStyle w:val="BodyText"/>
            </w:pPr>
            <w:r w:rsidRPr="009E6EC0">
              <w:t>All operations to which this unit applies are subject to stringent health, safety and environment (HSE) requirements, which may be imposed through state/territory or federal legislation, and these must not be compro</w:t>
            </w:r>
            <w:r w:rsidRPr="009E6EC0">
              <w:t>mised at any time. Where there is an apparent conflict between performance criteria and HSE requirements, the HSE requirements take precedence.</w:t>
            </w:r>
          </w:p>
          <w:p w:rsidR="00000000" w:rsidP="009E6EC0">
            <w:pPr>
              <w:pStyle w:val="BodyText"/>
              <w:rPr>
                <w:lang w:val="en-NZ"/>
              </w:rPr>
            </w:pPr>
          </w:p>
        </w:tc>
      </w:tr>
      <w:tr w:rsidTr="005A2E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rPr>
                <w:rStyle w:val="SpecialBold"/>
              </w:rPr>
              <w:t>Equipment and tools</w:t>
            </w:r>
          </w:p>
        </w:tc>
        <w:tc>
          <w:tcPr>
            <w:tcW w:w="0" w:type="auto"/>
            <w:tcBorders>
              <w:top w:val="nil"/>
              <w:left w:val="nil"/>
              <w:bottom w:val="nil"/>
              <w:right w:val="nil"/>
            </w:tcBorders>
            <w:tcMar>
              <w:top w:w="0" w:type="dxa"/>
              <w:left w:w="62" w:type="dxa"/>
              <w:bottom w:w="0" w:type="dxa"/>
              <w:right w:w="62" w:type="dxa"/>
            </w:tcMar>
          </w:tcPr>
          <w:p w:rsidR="00000000" w:rsidRPr="009E6EC0" w:rsidP="009E6EC0">
            <w:pPr>
              <w:pStyle w:val="BodyText"/>
            </w:pPr>
            <w:r w:rsidRPr="009E6EC0">
              <w:t>Equipment and tools include one or more of the following:</w:t>
            </w:r>
          </w:p>
          <w:p w:rsidR="00000000" w:rsidRPr="009E6EC0" w:rsidP="009E6EC0">
            <w:pPr>
              <w:pStyle w:val="ListBullet"/>
            </w:pPr>
            <w:r w:rsidRPr="009E6EC0">
              <w:t>reduction cell (pot)</w:t>
            </w:r>
          </w:p>
          <w:p w:rsidR="00000000" w:rsidRPr="009E6EC0" w:rsidP="009E6EC0">
            <w:pPr>
              <w:pStyle w:val="ListBullet"/>
            </w:pPr>
            <w:r w:rsidRPr="009E6EC0">
              <w:t>carbon ano</w:t>
            </w:r>
            <w:r w:rsidRPr="009E6EC0">
              <w:t>des and beams</w:t>
            </w:r>
          </w:p>
          <w:p w:rsidR="00000000" w:rsidRPr="009E6EC0" w:rsidP="009E6EC0">
            <w:pPr>
              <w:pStyle w:val="ListBullet"/>
            </w:pPr>
            <w:r w:rsidRPr="009E6EC0">
              <w:t>cell tending equipment</w:t>
            </w:r>
          </w:p>
          <w:p w:rsidR="00000000" w:rsidRPr="009E6EC0" w:rsidP="009E6EC0">
            <w:pPr>
              <w:pStyle w:val="ListBullet"/>
            </w:pPr>
            <w:r w:rsidRPr="009E6EC0">
              <w:t>harnesses and slings</w:t>
            </w:r>
          </w:p>
          <w:p w:rsidR="00000000" w:rsidRPr="009E6EC0" w:rsidP="009E6EC0">
            <w:pPr>
              <w:pStyle w:val="ListBullet"/>
            </w:pPr>
            <w:r w:rsidRPr="009E6EC0">
              <w:t>materials handling equipment (fixed and/or mobile)</w:t>
            </w:r>
          </w:p>
          <w:p w:rsidR="00000000" w:rsidRPr="009E6EC0" w:rsidP="009E6EC0">
            <w:pPr>
              <w:pStyle w:val="ListBullet"/>
            </w:pPr>
            <w:r w:rsidRPr="009E6EC0">
              <w:t>hand tools</w:t>
            </w:r>
          </w:p>
          <w:p w:rsidR="00000000" w:rsidP="009E6EC0">
            <w:pPr>
              <w:pStyle w:val="BodyText"/>
              <w:rPr>
                <w:lang w:val="en-NZ"/>
              </w:rPr>
            </w:pPr>
          </w:p>
        </w:tc>
      </w:tr>
      <w:tr w:rsidTr="005A2E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9E6EC0" w:rsidP="009E6EC0">
            <w:pPr>
              <w:pStyle w:val="BodyText"/>
            </w:pPr>
            <w:r w:rsidRPr="009E6EC0">
              <w:t>All operations must be performed in accordance with relevant procedures.</w:t>
            </w:r>
          </w:p>
          <w:p w:rsidR="00000000" w:rsidRPr="009E6EC0" w:rsidP="009E6EC0">
            <w:pPr>
              <w:pStyle w:val="BodyText"/>
            </w:pPr>
          </w:p>
          <w:p w:rsidR="00000000" w:rsidRPr="009E6EC0" w:rsidP="009E6EC0">
            <w:pPr>
              <w:pStyle w:val="BodyText"/>
            </w:pPr>
            <w:r w:rsidRPr="009E6EC0">
              <w:t>Procedures are written, verbal, visual, computer-based or in some other form, include one or more of the following:</w:t>
            </w:r>
          </w:p>
          <w:p w:rsidR="00000000" w:rsidRPr="009E6EC0" w:rsidP="009E6EC0">
            <w:pPr>
              <w:pStyle w:val="ListBullet"/>
            </w:pPr>
            <w:r w:rsidRPr="009E6EC0">
              <w:t>emergency procedures</w:t>
            </w:r>
          </w:p>
          <w:p w:rsidR="00000000" w:rsidRPr="009E6EC0" w:rsidP="009E6EC0">
            <w:pPr>
              <w:pStyle w:val="ListBullet"/>
            </w:pPr>
            <w:r w:rsidRPr="009E6EC0">
              <w:t>work instructions</w:t>
            </w:r>
          </w:p>
          <w:p w:rsidR="00000000" w:rsidRPr="009E6EC0" w:rsidP="009E6EC0">
            <w:pPr>
              <w:pStyle w:val="ListBullet"/>
            </w:pPr>
            <w:r w:rsidRPr="009E6EC0">
              <w:t>standard operating procedures (SOPs)</w:t>
            </w:r>
          </w:p>
          <w:p w:rsidR="00000000" w:rsidRPr="009E6EC0" w:rsidP="009E6EC0">
            <w:pPr>
              <w:pStyle w:val="ListBullet"/>
            </w:pPr>
            <w:r w:rsidRPr="009E6EC0">
              <w:t>safe work method statements (SWMS)</w:t>
            </w:r>
          </w:p>
          <w:p w:rsidR="00000000" w:rsidRPr="009E6EC0" w:rsidP="009E6EC0">
            <w:pPr>
              <w:pStyle w:val="ListBullet"/>
            </w:pPr>
            <w:r w:rsidRPr="009E6EC0">
              <w:t>formulas/recipes</w:t>
            </w:r>
          </w:p>
          <w:p w:rsidR="00000000" w:rsidRPr="009E6EC0" w:rsidP="009E6EC0">
            <w:pPr>
              <w:pStyle w:val="ListBullet"/>
            </w:pPr>
            <w:r w:rsidRPr="009E6EC0">
              <w:t>batch sheet</w:t>
            </w:r>
            <w:r w:rsidRPr="009E6EC0">
              <w:t>s</w:t>
            </w:r>
          </w:p>
          <w:p w:rsidR="00000000" w:rsidRPr="009E6EC0" w:rsidP="009E6EC0">
            <w:pPr>
              <w:pStyle w:val="ListBullet"/>
            </w:pPr>
            <w:r w:rsidRPr="009E6EC0">
              <w:t>temporary instructions</w:t>
            </w:r>
          </w:p>
          <w:p w:rsidR="00000000" w:rsidRPr="009E6EC0" w:rsidP="009E6EC0">
            <w:pPr>
              <w:pStyle w:val="ListBullet"/>
            </w:pPr>
            <w:r w:rsidRPr="009E6EC0">
              <w:t xml:space="preserve">any similar instructions provided for the smooth running of the plant </w:t>
            </w:r>
          </w:p>
          <w:p w:rsidR="00000000" w:rsidP="009E6EC0">
            <w:pPr>
              <w:pStyle w:val="BodyText"/>
              <w:rPr>
                <w:lang w:val="en-NZ"/>
              </w:rPr>
            </w:pPr>
          </w:p>
        </w:tc>
      </w:tr>
      <w:tr w:rsidTr="005A2E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9E6EC0" w:rsidP="009E6EC0">
            <w:pPr>
              <w:pStyle w:val="BodyText"/>
            </w:pPr>
            <w:r w:rsidRPr="009E6EC0">
              <w:t>Hazards include one or more of the following:</w:t>
            </w:r>
          </w:p>
          <w:p w:rsidR="00000000" w:rsidRPr="009E6EC0" w:rsidP="009E6EC0">
            <w:pPr>
              <w:pStyle w:val="ListBullet"/>
            </w:pPr>
            <w:r w:rsidRPr="009E6EC0">
              <w:t>heat (e.g. burns, dehydration and heat stress)</w:t>
            </w:r>
          </w:p>
          <w:p w:rsidR="00000000" w:rsidRPr="009E6EC0" w:rsidP="009E6EC0">
            <w:pPr>
              <w:pStyle w:val="ListBullet"/>
            </w:pPr>
            <w:r w:rsidRPr="009E6EC0">
              <w:t>energy sources (e.g. hydraulic, pneumatic and electric)</w:t>
            </w:r>
          </w:p>
          <w:p w:rsidR="00000000" w:rsidRPr="009E6EC0" w:rsidP="009E6EC0">
            <w:pPr>
              <w:pStyle w:val="ListBullet"/>
            </w:pPr>
            <w:r w:rsidRPr="009E6EC0">
              <w:t>electromagnetic effects</w:t>
            </w:r>
          </w:p>
          <w:p w:rsidR="00000000" w:rsidRPr="009E6EC0" w:rsidP="009E6EC0">
            <w:pPr>
              <w:pStyle w:val="ListBullet"/>
            </w:pPr>
            <w:r w:rsidRPr="009E6EC0">
              <w:t>high pressure piping and valves</w:t>
            </w:r>
          </w:p>
          <w:p w:rsidR="00000000" w:rsidRPr="009E6EC0" w:rsidP="009E6EC0">
            <w:pPr>
              <w:pStyle w:val="ListBullet"/>
            </w:pPr>
            <w:r w:rsidRPr="009E6EC0">
              <w:t>pinch and crush points</w:t>
            </w:r>
          </w:p>
          <w:p w:rsidR="00000000" w:rsidRPr="009E6EC0" w:rsidP="009E6EC0">
            <w:pPr>
              <w:pStyle w:val="ListBullet"/>
            </w:pPr>
            <w:r w:rsidRPr="009E6EC0">
              <w:t>moisture</w:t>
            </w:r>
          </w:p>
          <w:p w:rsidR="00000000" w:rsidRPr="009E6EC0" w:rsidP="009E6EC0">
            <w:pPr>
              <w:pStyle w:val="ListBullet"/>
            </w:pPr>
            <w:r w:rsidRPr="009E6EC0">
              <w:t>banned items</w:t>
            </w:r>
          </w:p>
          <w:p w:rsidR="00000000" w:rsidRPr="009E6EC0" w:rsidP="009E6EC0">
            <w:pPr>
              <w:pStyle w:val="ListBullet"/>
            </w:pPr>
            <w:r w:rsidRPr="009E6EC0">
              <w:t>mobile equipment and pedestrian interaction</w:t>
            </w:r>
          </w:p>
          <w:p w:rsidR="00000000" w:rsidRPr="009E6EC0" w:rsidP="009E6EC0">
            <w:pPr>
              <w:pStyle w:val="ListBullet"/>
            </w:pPr>
            <w:r w:rsidRPr="009E6EC0">
              <w:t>suspended loads and roller conveyors</w:t>
            </w:r>
          </w:p>
          <w:p w:rsidR="00000000" w:rsidRPr="009E6EC0" w:rsidP="009E6EC0">
            <w:pPr>
              <w:pStyle w:val="ListBullet"/>
            </w:pPr>
            <w:r w:rsidRPr="009E6EC0">
              <w:t>hazardous materials (e.g. reactive alumina, kaowool, tar and pitch)</w:t>
            </w:r>
          </w:p>
          <w:p w:rsidR="00000000" w:rsidRPr="009E6EC0" w:rsidP="009E6EC0">
            <w:pPr>
              <w:pStyle w:val="ListBullet"/>
            </w:pPr>
            <w:r w:rsidRPr="009E6EC0">
              <w:t>molten materials</w:t>
            </w:r>
          </w:p>
          <w:p w:rsidR="00000000" w:rsidRPr="009E6EC0" w:rsidP="009E6EC0">
            <w:pPr>
              <w:pStyle w:val="ListBullet"/>
            </w:pPr>
            <w:r w:rsidRPr="009E6EC0">
              <w:t>equipment failures</w:t>
            </w:r>
          </w:p>
          <w:p w:rsidR="00000000" w:rsidRPr="009E6EC0" w:rsidP="009E6EC0">
            <w:pPr>
              <w:pStyle w:val="ListBullet"/>
            </w:pPr>
            <w:r w:rsidRPr="009E6EC0">
              <w:t>industrial (machinery, equipment and product)</w:t>
            </w:r>
          </w:p>
          <w:p w:rsidR="00000000" w:rsidRPr="009E6EC0" w:rsidP="009E6EC0">
            <w:pPr>
              <w:pStyle w:val="ListBullet"/>
            </w:pPr>
            <w:r w:rsidRPr="009E6EC0">
              <w:t>equipment or product mass</w:t>
            </w:r>
          </w:p>
          <w:p w:rsidR="00000000" w:rsidRPr="009E6EC0" w:rsidP="009E6EC0">
            <w:pPr>
              <w:pStyle w:val="ListBullet"/>
            </w:pPr>
            <w:r w:rsidRPr="009E6EC0">
              <w:t>noise, rotational equipment or vibration</w:t>
            </w:r>
          </w:p>
          <w:p w:rsidR="00000000" w:rsidRPr="009E6EC0" w:rsidP="009E6EC0">
            <w:pPr>
              <w:pStyle w:val="ListBullet"/>
            </w:pPr>
            <w:r w:rsidRPr="009E6EC0">
              <w:t>other hazards that might arise</w:t>
            </w:r>
          </w:p>
          <w:p w:rsidR="00000000" w:rsidP="009E6EC0">
            <w:pPr>
              <w:pStyle w:val="BodyText"/>
              <w:rPr>
                <w:lang w:val="en-NZ"/>
              </w:rPr>
            </w:pPr>
          </w:p>
        </w:tc>
      </w:tr>
      <w:tr w:rsidTr="005A2E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9E6EC0" w:rsidP="009E6EC0">
            <w:pPr>
              <w:pStyle w:val="BodyText"/>
            </w:pPr>
            <w:r w:rsidRPr="009E6EC0">
              <w:t>Routine problems must be resolved by applying known solut</w:t>
            </w:r>
            <w:r w:rsidRPr="009E6EC0">
              <w:t xml:space="preserve">ions. </w:t>
            </w:r>
          </w:p>
          <w:p w:rsidR="00000000" w:rsidRPr="009E6EC0" w:rsidP="009E6EC0">
            <w:pPr>
              <w:pStyle w:val="BodyText"/>
            </w:pPr>
          </w:p>
          <w:p w:rsidR="00000000" w:rsidRPr="009E6EC0" w:rsidP="009E6EC0">
            <w:pPr>
              <w:pStyle w:val="BodyText"/>
            </w:pPr>
            <w:r w:rsidRPr="009E6EC0">
              <w:t>Routine problems are predictable and include one or more of the following:</w:t>
            </w:r>
          </w:p>
          <w:p w:rsidR="00000000" w:rsidRPr="009E6EC0" w:rsidP="009E6EC0">
            <w:pPr>
              <w:pStyle w:val="ListBullet"/>
            </w:pPr>
            <w:r w:rsidRPr="009E6EC0">
              <w:t>delivery of molten metal from furnace</w:t>
            </w:r>
          </w:p>
          <w:p w:rsidR="00000000" w:rsidRPr="009E6EC0" w:rsidP="009E6EC0">
            <w:pPr>
              <w:pStyle w:val="ListBullet"/>
            </w:pPr>
            <w:r w:rsidRPr="009E6EC0">
              <w:t>pipe failures (e.g. cracks and blockages)</w:t>
            </w:r>
          </w:p>
          <w:p w:rsidR="00000000" w:rsidRPr="009E6EC0" w:rsidP="009E6EC0">
            <w:pPr>
              <w:pStyle w:val="ListBullet"/>
            </w:pPr>
            <w:r w:rsidRPr="009E6EC0">
              <w:t>out-of-parameter operation or product</w:t>
            </w:r>
          </w:p>
          <w:p w:rsidR="00000000" w:rsidRPr="009E6EC0" w:rsidP="009E6EC0">
            <w:pPr>
              <w:pStyle w:val="ListBullet"/>
            </w:pPr>
            <w:r w:rsidRPr="009E6EC0">
              <w:t>fluctuation in temperature, air pressure, power consumption or product movement</w:t>
            </w:r>
          </w:p>
          <w:p w:rsidR="00000000" w:rsidRPr="009E6EC0" w:rsidP="009E6EC0">
            <w:pPr>
              <w:pStyle w:val="ListBullet"/>
            </w:pPr>
            <w:r w:rsidRPr="009E6EC0">
              <w:t>instruments and equipment requiring cleaning</w:t>
            </w:r>
          </w:p>
          <w:p w:rsidR="00000000" w:rsidRPr="009E6EC0" w:rsidP="009E6EC0">
            <w:pPr>
              <w:pStyle w:val="ListBullet"/>
            </w:pPr>
            <w:r w:rsidRPr="009E6EC0">
              <w:t>equipment mechanical and electrical problems</w:t>
            </w:r>
          </w:p>
          <w:p w:rsidR="00000000" w:rsidRPr="009E6EC0" w:rsidP="009E6EC0">
            <w:pPr>
              <w:pStyle w:val="ListBullet"/>
            </w:pPr>
            <w:r w:rsidRPr="009E6EC0">
              <w:t>flow path blockages</w:t>
            </w:r>
          </w:p>
          <w:p w:rsidR="00000000" w:rsidRPr="009E6EC0" w:rsidP="009E6EC0">
            <w:pPr>
              <w:pStyle w:val="ListBullet"/>
            </w:pPr>
            <w:r w:rsidRPr="009E6EC0">
              <w:t>out-of-parameter emissions</w:t>
            </w:r>
          </w:p>
          <w:p w:rsidR="00000000" w:rsidRPr="009E6EC0" w:rsidP="009E6EC0">
            <w:pPr>
              <w:pStyle w:val="ListBullet"/>
            </w:pPr>
            <w:r w:rsidRPr="009E6EC0">
              <w:t xml:space="preserve">unavailability of equipment, personnel </w:t>
            </w:r>
            <w:r w:rsidRPr="009E6EC0">
              <w:t>or material</w:t>
            </w:r>
          </w:p>
          <w:p w:rsidR="00000000" w:rsidRPr="009E6EC0" w:rsidP="009E6EC0">
            <w:pPr>
              <w:pStyle w:val="BodyText"/>
            </w:pPr>
          </w:p>
          <w:p w:rsidR="00000000" w:rsidRPr="009E6EC0" w:rsidP="009E6EC0">
            <w:pPr>
              <w:pStyle w:val="BodyText"/>
            </w:pPr>
            <w:r w:rsidRPr="009E6EC0">
              <w:t>Known solutions are drawn from one or more of the following:</w:t>
            </w:r>
          </w:p>
          <w:p w:rsidR="00000000" w:rsidRPr="009E6EC0" w:rsidP="009E6EC0">
            <w:pPr>
              <w:pStyle w:val="ListBullet"/>
            </w:pPr>
            <w:r w:rsidRPr="009E6EC0">
              <w:t>procedures</w:t>
            </w:r>
          </w:p>
          <w:p w:rsidR="00000000" w:rsidRPr="009E6EC0" w:rsidP="009E6EC0">
            <w:pPr>
              <w:pStyle w:val="ListBullet"/>
            </w:pPr>
            <w:r w:rsidRPr="009E6EC0">
              <w:t>training</w:t>
            </w:r>
          </w:p>
          <w:p w:rsidR="00000000" w:rsidRPr="009E6EC0" w:rsidP="009E6EC0">
            <w:pPr>
              <w:pStyle w:val="ListBullet"/>
            </w:pPr>
            <w:r w:rsidRPr="009E6EC0">
              <w:t>remembered experience</w:t>
            </w:r>
          </w:p>
          <w:p w:rsidR="00000000" w:rsidRPr="009E6EC0" w:rsidP="009E6EC0">
            <w:pPr>
              <w:pStyle w:val="ListBullet"/>
            </w:pPr>
            <w:r w:rsidRPr="009E6EC0">
              <w:t>historical data and records of common faults</w:t>
            </w:r>
          </w:p>
          <w:p w:rsidR="00000000" w:rsidRPr="009E6EC0" w:rsidP="009E6EC0">
            <w:pPr>
              <w:pStyle w:val="ListBullet"/>
            </w:pPr>
            <w:r w:rsidRPr="009E6EC0">
              <w:t>troubleshooting lists and directives</w:t>
            </w:r>
          </w:p>
          <w:p w:rsidR="00000000" w:rsidRPr="009E6EC0" w:rsidP="009E6EC0">
            <w:pPr>
              <w:pStyle w:val="ListBullet"/>
            </w:pPr>
            <w:r w:rsidRPr="009E6EC0">
              <w:t>site procedures</w:t>
            </w:r>
          </w:p>
          <w:p w:rsidR="00000000" w:rsidRPr="009E6EC0" w:rsidP="009E6EC0">
            <w:pPr>
              <w:pStyle w:val="BodyText"/>
            </w:pPr>
          </w:p>
          <w:p w:rsidR="00000000" w:rsidRPr="009E6EC0" w:rsidP="009E6EC0">
            <w:pPr>
              <w:pStyle w:val="BodyText"/>
            </w:pPr>
            <w:r w:rsidRPr="009E6EC0">
              <w:t>Non-routine problems must be reported ac</w:t>
            </w:r>
            <w:r w:rsidRPr="009E6EC0">
              <w:t>cording to according to relevant procedures.</w:t>
            </w:r>
          </w:p>
          <w:p w:rsidR="00000000" w:rsidP="009E6EC0">
            <w:pPr>
              <w:pStyle w:val="BodyText"/>
              <w:rPr>
                <w:lang w:val="en-NZ"/>
              </w:rPr>
            </w:pPr>
          </w:p>
        </w:tc>
      </w:tr>
      <w:tr w:rsidTr="005A2E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rPr>
                <w:rStyle w:val="SpecialBold"/>
              </w:rPr>
              <w:t>Instrument/electrical systems</w:t>
            </w:r>
          </w:p>
        </w:tc>
        <w:tc>
          <w:tcPr>
            <w:tcW w:w="0" w:type="auto"/>
            <w:tcBorders>
              <w:top w:val="nil"/>
              <w:left w:val="nil"/>
              <w:bottom w:val="nil"/>
              <w:right w:val="nil"/>
            </w:tcBorders>
            <w:tcMar>
              <w:top w:w="0" w:type="dxa"/>
              <w:left w:w="62" w:type="dxa"/>
              <w:bottom w:w="0" w:type="dxa"/>
              <w:right w:w="62" w:type="dxa"/>
            </w:tcMar>
          </w:tcPr>
          <w:p w:rsidR="00000000" w:rsidRPr="009E6EC0" w:rsidP="009E6EC0">
            <w:pPr>
              <w:pStyle w:val="BodyText"/>
            </w:pPr>
            <w:r w:rsidRPr="009E6EC0">
              <w:t>Instrument/electrical systems include one or more of the following:</w:t>
            </w:r>
          </w:p>
          <w:p w:rsidR="00000000" w:rsidRPr="009E6EC0" w:rsidP="009E6EC0">
            <w:pPr>
              <w:pStyle w:val="ListBullet"/>
            </w:pPr>
            <w:r w:rsidRPr="009E6EC0">
              <w:t>emergency shutdown systems (ESD)</w:t>
            </w:r>
          </w:p>
          <w:p w:rsidR="00000000" w:rsidRPr="009E6EC0" w:rsidP="009E6EC0">
            <w:pPr>
              <w:pStyle w:val="ListBullet"/>
            </w:pPr>
            <w:r w:rsidRPr="009E6EC0">
              <w:t>fire systems</w:t>
            </w:r>
          </w:p>
          <w:p w:rsidR="00000000" w:rsidRPr="009E6EC0" w:rsidP="009E6EC0">
            <w:pPr>
              <w:pStyle w:val="ListBullet"/>
            </w:pPr>
            <w:r w:rsidRPr="009E6EC0">
              <w:t>pressure and temperature control systems</w:t>
            </w:r>
          </w:p>
          <w:p w:rsidR="00000000" w:rsidRPr="009E6EC0" w:rsidP="009E6EC0">
            <w:pPr>
              <w:pStyle w:val="ListBullet"/>
            </w:pPr>
            <w:r w:rsidRPr="009E6EC0">
              <w:t>communications systems</w:t>
            </w:r>
          </w:p>
          <w:p w:rsidR="00000000" w:rsidRPr="009E6EC0" w:rsidP="009E6EC0">
            <w:pPr>
              <w:pStyle w:val="ListBullet"/>
            </w:pPr>
            <w:r w:rsidRPr="009E6EC0">
              <w:t>utility systems</w:t>
            </w:r>
          </w:p>
          <w:p w:rsidR="00000000" w:rsidP="009E6EC0">
            <w:pPr>
              <w:pStyle w:val="BodyText"/>
              <w:rPr>
                <w:lang w:val="en-NZ"/>
              </w:rPr>
            </w:pPr>
          </w:p>
        </w:tc>
      </w:tr>
      <w:tr w:rsidTr="005A2E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9E6EC0" w:rsidP="009E6EC0">
            <w:pPr>
              <w:pStyle w:val="BodyText"/>
            </w:pPr>
            <w:r w:rsidRPr="009E6EC0">
              <w:t>Operate is to monitor, adjust/make change to the production unit and/or its component items to meet specifications, by one or both of the following:</w:t>
            </w:r>
          </w:p>
          <w:p w:rsidR="00000000" w:rsidRPr="009E6EC0" w:rsidP="009E6EC0">
            <w:pPr>
              <w:pStyle w:val="ListBullet"/>
            </w:pPr>
            <w:r w:rsidRPr="009E6EC0">
              <w:t xml:space="preserve">manually in the plant </w:t>
            </w:r>
          </w:p>
          <w:p w:rsidR="00000000" w:rsidRPr="009E6EC0" w:rsidP="009E6EC0">
            <w:pPr>
              <w:pStyle w:val="ListBullet"/>
            </w:pPr>
            <w:r w:rsidRPr="009E6EC0">
              <w:t>using local controller in the plant</w:t>
            </w:r>
          </w:p>
          <w:p w:rsidR="00000000" w:rsidP="009E6EC0">
            <w:pPr>
              <w:pStyle w:val="BodyText"/>
              <w:rPr>
                <w:lang w:val="en-NZ"/>
              </w:rPr>
            </w:pPr>
          </w:p>
        </w:tc>
      </w:tr>
      <w:tr w:rsidTr="005A2E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rPr>
                <w:rStyle w:val="SpecialBold"/>
              </w:rPr>
              <w:t>Pre-start checks</w:t>
            </w:r>
          </w:p>
        </w:tc>
        <w:tc>
          <w:tcPr>
            <w:tcW w:w="0" w:type="auto"/>
            <w:tcBorders>
              <w:top w:val="nil"/>
              <w:left w:val="nil"/>
              <w:bottom w:val="nil"/>
              <w:right w:val="nil"/>
            </w:tcBorders>
            <w:tcMar>
              <w:top w:w="0" w:type="dxa"/>
              <w:left w:w="62" w:type="dxa"/>
              <w:bottom w:w="0" w:type="dxa"/>
              <w:right w:w="62" w:type="dxa"/>
            </w:tcMar>
          </w:tcPr>
          <w:p w:rsidR="00000000" w:rsidRPr="009E6EC0" w:rsidP="009E6EC0">
            <w:pPr>
              <w:pStyle w:val="BodyText"/>
            </w:pPr>
            <w:r w:rsidRPr="009E6EC0">
              <w:t>Pre-start checks will conform to site procedures or equipment pre-start checklist. They must be completed before the equipment is operated unless stated in the procedures.</w:t>
            </w:r>
          </w:p>
          <w:p w:rsidR="00000000" w:rsidP="009E6EC0">
            <w:pPr>
              <w:pStyle w:val="BodyText"/>
              <w:rPr>
                <w:lang w:val="en-NZ"/>
              </w:rPr>
            </w:pPr>
          </w:p>
        </w:tc>
      </w:tr>
      <w:tr w:rsidTr="005A2E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rPr>
                <w:rStyle w:val="SpecialBold"/>
              </w:rPr>
              <w:t>Reports and records</w:t>
            </w:r>
          </w:p>
        </w:tc>
        <w:tc>
          <w:tcPr>
            <w:tcW w:w="0" w:type="auto"/>
            <w:tcBorders>
              <w:top w:val="nil"/>
              <w:left w:val="nil"/>
              <w:bottom w:val="nil"/>
              <w:right w:val="nil"/>
            </w:tcBorders>
            <w:tcMar>
              <w:top w:w="0" w:type="dxa"/>
              <w:left w:w="62" w:type="dxa"/>
              <w:bottom w:w="0" w:type="dxa"/>
              <w:right w:w="62" w:type="dxa"/>
            </w:tcMar>
          </w:tcPr>
          <w:p w:rsidR="00000000" w:rsidRPr="009E6EC0" w:rsidP="009E6EC0">
            <w:pPr>
              <w:pStyle w:val="BodyText"/>
            </w:pPr>
            <w:r w:rsidRPr="009E6EC0">
              <w:t>Reports and records include one or more of the following:</w:t>
            </w:r>
          </w:p>
          <w:p w:rsidR="00000000" w:rsidRPr="009E6EC0" w:rsidP="009E6EC0">
            <w:pPr>
              <w:pStyle w:val="ListBullet"/>
            </w:pPr>
            <w:r w:rsidRPr="009E6EC0">
              <w:t>com</w:t>
            </w:r>
            <w:r w:rsidRPr="009E6EC0">
              <w:t>puter readouts locally or in the control room</w:t>
            </w:r>
          </w:p>
          <w:p w:rsidR="00000000" w:rsidRPr="009E6EC0" w:rsidP="009E6EC0">
            <w:pPr>
              <w:pStyle w:val="ListBullet"/>
            </w:pPr>
            <w:r w:rsidRPr="009E6EC0">
              <w:t>routine inspections (daily readings and monthly checks)</w:t>
            </w:r>
          </w:p>
          <w:p w:rsidR="00000000" w:rsidRPr="009E6EC0" w:rsidP="009E6EC0">
            <w:pPr>
              <w:pStyle w:val="ListBullet"/>
            </w:pPr>
            <w:r w:rsidRPr="009E6EC0">
              <w:t>scheduled maintenance activities</w:t>
            </w:r>
          </w:p>
          <w:p w:rsidR="00000000" w:rsidRPr="009E6EC0" w:rsidP="009E6EC0">
            <w:pPr>
              <w:pStyle w:val="ListBullet"/>
            </w:pPr>
            <w:r w:rsidRPr="009E6EC0">
              <w:t>shift log sheet</w:t>
            </w:r>
          </w:p>
          <w:p w:rsidR="00000000" w:rsidRPr="009E6EC0" w:rsidP="009E6EC0">
            <w:pPr>
              <w:pStyle w:val="ListBullet"/>
            </w:pPr>
            <w:r w:rsidRPr="009E6EC0">
              <w:t>mandatory or statutory inspections</w:t>
            </w:r>
          </w:p>
          <w:p w:rsidR="00000000" w:rsidRPr="009E6EC0" w:rsidP="009E6EC0">
            <w:pPr>
              <w:pStyle w:val="ListBullet"/>
            </w:pPr>
            <w:r w:rsidRPr="009E6EC0">
              <w:t>hazard, accident and incident reports</w:t>
            </w:r>
          </w:p>
          <w:p w:rsidR="00000000" w:rsidRPr="009E6EC0" w:rsidP="009E6EC0">
            <w:pPr>
              <w:pStyle w:val="ListBullet"/>
            </w:pPr>
            <w:r w:rsidRPr="009E6EC0">
              <w:t>quality inspection reports of the product</w:t>
            </w:r>
          </w:p>
          <w:p w:rsidR="00000000" w:rsidP="009E6EC0">
            <w:pPr>
              <w:pStyle w:val="BodyText"/>
              <w:rPr>
                <w:lang w:val="en-NZ"/>
              </w:rPr>
            </w:pPr>
          </w:p>
        </w:tc>
      </w:tr>
      <w:tr w:rsidTr="005A2E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rPr>
                <w:rStyle w:val="SpecialBold"/>
              </w:rPr>
              <w:t>Shutdown procedures</w:t>
            </w:r>
          </w:p>
        </w:tc>
        <w:tc>
          <w:tcPr>
            <w:tcW w:w="0" w:type="auto"/>
            <w:tcBorders>
              <w:top w:val="nil"/>
              <w:left w:val="nil"/>
              <w:bottom w:val="nil"/>
              <w:right w:val="nil"/>
            </w:tcBorders>
            <w:tcMar>
              <w:top w:w="0" w:type="dxa"/>
              <w:left w:w="62" w:type="dxa"/>
              <w:bottom w:w="0" w:type="dxa"/>
              <w:right w:w="62" w:type="dxa"/>
            </w:tcMar>
          </w:tcPr>
          <w:p w:rsidR="00000000" w:rsidRPr="009E6EC0" w:rsidP="009E6EC0">
            <w:pPr>
              <w:pStyle w:val="BodyText"/>
            </w:pPr>
            <w:r w:rsidRPr="009E6EC0">
              <w:t>Shutdown procedures must follow equipment and site-authorised checklist and will typically include the following:</w:t>
            </w:r>
          </w:p>
          <w:p w:rsidR="00000000" w:rsidRPr="009E6EC0" w:rsidP="009E6EC0">
            <w:pPr>
              <w:pStyle w:val="ListBullet"/>
            </w:pPr>
            <w:r w:rsidRPr="009E6EC0">
              <w:t>communication to supply and delivery areas</w:t>
            </w:r>
          </w:p>
          <w:p w:rsidR="00000000" w:rsidRPr="009E6EC0" w:rsidP="009E6EC0">
            <w:pPr>
              <w:pStyle w:val="ListBullet"/>
            </w:pPr>
            <w:r w:rsidRPr="009E6EC0">
              <w:t>communication to impacting areas</w:t>
            </w:r>
          </w:p>
          <w:p w:rsidR="00000000" w:rsidRPr="009E6EC0" w:rsidP="009E6EC0">
            <w:pPr>
              <w:pStyle w:val="ListBullet"/>
            </w:pPr>
            <w:r w:rsidRPr="009E6EC0">
              <w:t>o</w:t>
            </w:r>
            <w:r w:rsidRPr="009E6EC0">
              <w:t>btaining appropriate authorisations</w:t>
            </w:r>
          </w:p>
          <w:p w:rsidR="00000000" w:rsidRPr="009E6EC0" w:rsidP="009E6EC0">
            <w:pPr>
              <w:pStyle w:val="ListBullet"/>
            </w:pPr>
            <w:r w:rsidRPr="009E6EC0">
              <w:t>rescheduling operations</w:t>
            </w:r>
          </w:p>
          <w:p w:rsidR="00000000" w:rsidRPr="009E6EC0" w:rsidP="009E6EC0">
            <w:pPr>
              <w:pStyle w:val="ListBullet"/>
            </w:pPr>
            <w:r w:rsidRPr="009E6EC0">
              <w:t>liaison with maintenance teams</w:t>
            </w:r>
          </w:p>
          <w:p w:rsidR="00000000" w:rsidP="009E6EC0">
            <w:pPr>
              <w:pStyle w:val="BodyText"/>
              <w:rPr>
                <w:lang w:val="en-NZ"/>
              </w:rPr>
            </w:pPr>
          </w:p>
        </w:tc>
      </w:tr>
      <w:tr w:rsidTr="005A2E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rPr>
                <w:rStyle w:val="SpecialBold"/>
              </w:rPr>
              <w:t>Start-up procedures</w:t>
            </w:r>
          </w:p>
        </w:tc>
        <w:tc>
          <w:tcPr>
            <w:tcW w:w="0" w:type="auto"/>
            <w:tcBorders>
              <w:top w:val="nil"/>
              <w:left w:val="nil"/>
              <w:bottom w:val="nil"/>
              <w:right w:val="nil"/>
            </w:tcBorders>
            <w:tcMar>
              <w:top w:w="0" w:type="dxa"/>
              <w:left w:w="62" w:type="dxa"/>
              <w:bottom w:w="0" w:type="dxa"/>
              <w:right w:w="62" w:type="dxa"/>
            </w:tcMar>
          </w:tcPr>
          <w:p w:rsidR="00000000" w:rsidRPr="009E6EC0" w:rsidP="009E6EC0">
            <w:pPr>
              <w:pStyle w:val="BodyText"/>
            </w:pPr>
            <w:r w:rsidRPr="009E6EC0">
              <w:t>Start-up procedures must conform to site procedures and will typically include the following:</w:t>
            </w:r>
          </w:p>
          <w:p w:rsidR="00000000" w:rsidRPr="009E6EC0" w:rsidP="009E6EC0">
            <w:pPr>
              <w:pStyle w:val="ListBullet"/>
            </w:pPr>
            <w:r w:rsidRPr="009E6EC0">
              <w:t>safety and pre-start checks</w:t>
            </w:r>
          </w:p>
          <w:p w:rsidR="00000000" w:rsidRPr="009E6EC0" w:rsidP="009E6EC0">
            <w:pPr>
              <w:pStyle w:val="ListBullet"/>
            </w:pPr>
            <w:r w:rsidRPr="009E6EC0">
              <w:t>accessing shift logs and equipment records</w:t>
            </w:r>
          </w:p>
          <w:p w:rsidR="00000000" w:rsidRPr="009E6EC0" w:rsidP="009E6EC0">
            <w:pPr>
              <w:pStyle w:val="ListBullet"/>
            </w:pPr>
            <w:r w:rsidRPr="009E6EC0">
              <w:t>pre-shift briefing information</w:t>
            </w:r>
          </w:p>
          <w:p w:rsidR="00000000" w:rsidRPr="009E6EC0" w:rsidP="009E6EC0">
            <w:pPr>
              <w:pStyle w:val="ListBullet"/>
            </w:pPr>
            <w:r w:rsidRPr="009E6EC0">
              <w:t>records and reports from the previous shift</w:t>
            </w:r>
          </w:p>
          <w:p w:rsidR="00000000" w:rsidP="009E6EC0">
            <w:pPr>
              <w:pStyle w:val="BodyText"/>
              <w:rPr>
                <w:lang w:val="en-NZ"/>
              </w:rPr>
            </w:pPr>
          </w:p>
        </w:tc>
      </w:tr>
      <w:tr w:rsidTr="005A2E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E6EC0">
            <w:pPr>
              <w:pStyle w:val="BodyText"/>
              <w:rPr>
                <w:lang w:val="en-NZ"/>
              </w:rPr>
            </w:pPr>
            <w:r w:rsidRPr="009E6EC0">
              <w:rPr>
                <w:rStyle w:val="SpecialBold"/>
              </w:rPr>
              <w:t>Work requirements</w:t>
            </w:r>
          </w:p>
        </w:tc>
        <w:tc>
          <w:tcPr>
            <w:tcW w:w="0" w:type="auto"/>
            <w:tcBorders>
              <w:top w:val="nil"/>
              <w:left w:val="nil"/>
              <w:bottom w:val="nil"/>
              <w:right w:val="nil"/>
            </w:tcBorders>
            <w:tcMar>
              <w:top w:w="0" w:type="dxa"/>
              <w:left w:w="62" w:type="dxa"/>
              <w:bottom w:w="0" w:type="dxa"/>
              <w:right w:w="62" w:type="dxa"/>
            </w:tcMar>
          </w:tcPr>
          <w:p w:rsidR="00000000" w:rsidRPr="009E6EC0" w:rsidP="009E6EC0">
            <w:pPr>
              <w:pStyle w:val="BodyText"/>
            </w:pPr>
            <w:r w:rsidRPr="009E6EC0">
              <w:t>Work requirements will be identified from one or more of the following:</w:t>
            </w:r>
          </w:p>
          <w:p w:rsidR="00000000" w:rsidRPr="009E6EC0" w:rsidP="009E6EC0">
            <w:pPr>
              <w:pStyle w:val="ListBullet"/>
            </w:pPr>
            <w:r w:rsidRPr="009E6EC0">
              <w:t>shift briefings</w:t>
            </w:r>
          </w:p>
          <w:p w:rsidR="00000000" w:rsidRPr="009E6EC0" w:rsidP="009E6EC0">
            <w:pPr>
              <w:pStyle w:val="ListBullet"/>
            </w:pPr>
            <w:r w:rsidRPr="009E6EC0">
              <w:t xml:space="preserve">shift logs </w:t>
            </w:r>
          </w:p>
          <w:p w:rsidR="00000000" w:rsidRPr="009E6EC0" w:rsidP="009E6EC0">
            <w:pPr>
              <w:pStyle w:val="ListBullet"/>
            </w:pPr>
            <w:r w:rsidRPr="009E6EC0">
              <w:t>supervisor or cre</w:t>
            </w:r>
            <w:r w:rsidRPr="009E6EC0">
              <w:t>w leader meetings</w:t>
            </w:r>
          </w:p>
          <w:p w:rsidR="00000000" w:rsidRPr="009E6EC0" w:rsidP="009E6EC0">
            <w:pPr>
              <w:pStyle w:val="ListBullet"/>
            </w:pPr>
            <w:r w:rsidRPr="009E6EC0">
              <w:t xml:space="preserve">toolbox talks </w:t>
            </w:r>
          </w:p>
          <w:p w:rsidR="00000000" w:rsidRPr="009E6EC0" w:rsidP="009E6EC0">
            <w:pPr>
              <w:pStyle w:val="ListBullet"/>
            </w:pPr>
            <w:r w:rsidRPr="009E6EC0">
              <w:t>handover details</w:t>
            </w:r>
          </w:p>
          <w:p w:rsidR="00000000" w:rsidRPr="009E6EC0" w:rsidP="009E6EC0">
            <w:pPr>
              <w:pStyle w:val="BodyText"/>
            </w:pPr>
          </w:p>
        </w:tc>
      </w:tr>
    </w:tbl>
    <w:p w:rsidR="00000000" w:rsidRPr="009E6EC0" w:rsidP="009E6EC0">
      <w:pPr>
        <w:pStyle w:val="BodyText"/>
      </w:pPr>
    </w:p>
    <w:p w:rsidR="00000000" w:rsidRPr="009E6EC0" w:rsidP="009E6EC0">
      <w:pPr>
        <w:pStyle w:val="AllowPageBreak"/>
      </w:pPr>
    </w:p>
    <w:p w:rsidR="00000000" w:rsidRPr="009E6EC0" w:rsidP="009E6EC0">
      <w:pPr>
        <w:pStyle w:val="Heading1"/>
      </w:pPr>
      <w:bookmarkStart w:id="9" w:name="O_909229"/>
      <w:bookmarkEnd w:id="9"/>
      <w:r w:rsidRPr="009E6EC0">
        <w:t>Unit Mapping Information</w:t>
      </w:r>
    </w:p>
    <w:p w:rsidR="00000000" w:rsidRPr="009E6EC0" w:rsidP="005A2EFF">
      <w:pPr>
        <w:pStyle w:val="BodyText"/>
      </w:pPr>
      <w:r w:rsidRPr="009E6EC0">
        <w:t>Release 1. Supersedes and is equivalent to PMASMELT269A Operate cell tending equipment</w:t>
      </w:r>
    </w:p>
    <w:p w:rsidR="00000000" w:rsidRPr="009E6EC0" w:rsidP="009E6EC0">
      <w:pPr>
        <w:pStyle w:val="Heading1"/>
      </w:pPr>
      <w:bookmarkStart w:id="10" w:name="O_909222"/>
      <w:bookmarkEnd w:id="10"/>
      <w:r w:rsidRPr="009E6EC0">
        <w:t>Links</w:t>
      </w:r>
    </w:p>
    <w:p w:rsidR="00000000" w:rsidRPr="009E6EC0" w:rsidP="005A2EFF">
      <w:pPr>
        <w:pStyle w:val="BodyText"/>
      </w:pPr>
      <w:r w:rsidRPr="009E6EC0">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FF63B0">
        <w:rPr>
          <w:rStyle w:val="Hyperlink"/>
        </w:rPr>
        <w:t>https://vetnet.gov.au/Pages/TrainingDocs.aspx?q=9fc2cf53-e570-4e9f-ad6a-b228ffdb6875</w:t>
      </w:r>
      <w:r>
        <w:fldChar w:fldCharType="end"/>
      </w:r>
    </w:p>
    <w:p w:rsidR="00000000" w:rsidRPr="009E6EC0" w:rsidP="005A2EFF">
      <w:pPr>
        <w:pStyle w:val="BodyText"/>
        <w:sectPr w:rsidSect="009E6EC0">
          <w:headerReference w:type="default" r:id="rId10"/>
          <w:footerReference w:type="default" r:id="rId11"/>
          <w:pgSz w:w="11908" w:h="16833"/>
          <w:pgMar w:top="1702" w:right="1418" w:bottom="1702" w:left="1418" w:header="992" w:footer="992" w:gutter="0"/>
          <w:cols w:space="720"/>
          <w:noEndnote/>
          <w:docGrid w:linePitch="299"/>
        </w:sectPr>
      </w:pPr>
    </w:p>
    <w:p w:rsidR="00000000" w:rsidRPr="009E6EC0" w:rsidP="009E6EC0">
      <w:pPr>
        <w:pStyle w:val="SuperHeading"/>
      </w:pPr>
      <w:r w:rsidRPr="009E6EC0">
        <w:t xml:space="preserve">Assessment </w:t>
      </w:r>
      <w:r w:rsidRPr="009E6EC0">
        <w:t>Requirements for PMASMELT269 Operate cell tending equipment</w:t>
      </w:r>
    </w:p>
    <w:p w:rsidR="00000000" w:rsidRPr="009E6EC0" w:rsidP="009E6EC0">
      <w:pPr>
        <w:pStyle w:val="Heading1"/>
      </w:pPr>
      <w:bookmarkStart w:id="11" w:name="O_909224"/>
      <w:bookmarkEnd w:id="11"/>
      <w:r w:rsidRPr="009E6EC0">
        <w:t>Modification History</w:t>
      </w:r>
    </w:p>
    <w:p w:rsidR="00000000" w:rsidRPr="009E6EC0" w:rsidP="005A2EFF">
      <w:pPr>
        <w:pStyle w:val="BodyText"/>
      </w:pPr>
      <w:r w:rsidRPr="009E6EC0">
        <w:t>Release 1. Supersedes and is equivalent to PMASMELT269A Operate cell tending equipment</w:t>
      </w:r>
    </w:p>
    <w:p w:rsidR="00000000" w:rsidRPr="009E6EC0" w:rsidP="009E6EC0">
      <w:pPr>
        <w:pStyle w:val="Heading1"/>
      </w:pPr>
      <w:bookmarkStart w:id="12" w:name="O_909227"/>
      <w:bookmarkEnd w:id="12"/>
      <w:r w:rsidRPr="009E6EC0">
        <w:t>Performance Evidence</w:t>
      </w:r>
    </w:p>
    <w:p w:rsidR="00000000" w:rsidRPr="009E6EC0" w:rsidP="005A2EFF">
      <w:pPr>
        <w:pStyle w:val="BodyText"/>
      </w:pPr>
      <w:r w:rsidRPr="009E6EC0">
        <w:t>Evidence required to demonstrate c</w:t>
      </w:r>
      <w:r w:rsidRPr="009E6EC0">
        <w:t>ompetence in this unit must be relevant to and satisfy the requirements of the elements and performance criteria, and include the ability to:</w:t>
      </w:r>
    </w:p>
    <w:p w:rsidR="00000000" w:rsidRPr="009E6EC0" w:rsidP="009E6EC0">
      <w:pPr>
        <w:pStyle w:val="ListBullet"/>
      </w:pPr>
      <w:r w:rsidRPr="009E6EC0">
        <w:t>operate cell tending equipment to change anodes, replenish cell feed and conduct beam raising, bath tapping and m</w:t>
      </w:r>
      <w:r w:rsidRPr="009E6EC0">
        <w:t xml:space="preserve">etal tapping </w:t>
      </w:r>
    </w:p>
    <w:p w:rsidR="00000000" w:rsidRPr="009E6EC0" w:rsidP="009E6EC0">
      <w:pPr>
        <w:pStyle w:val="ListBullet"/>
      </w:pPr>
      <w:r w:rsidRPr="009E6EC0">
        <w:t xml:space="preserve">monitor equipment conditions and maintenance requirements and take action  </w:t>
      </w:r>
    </w:p>
    <w:p w:rsidR="00000000" w:rsidRPr="009E6EC0" w:rsidP="009E6EC0">
      <w:pPr>
        <w:pStyle w:val="ListBullet"/>
      </w:pPr>
      <w:r w:rsidRPr="009E6EC0">
        <w:t>monitor process parameters and performance and make adjustments according to procedures</w:t>
      </w:r>
    </w:p>
    <w:p w:rsidR="00000000" w:rsidRPr="009E6EC0" w:rsidP="009E6EC0">
      <w:pPr>
        <w:pStyle w:val="ListBullet"/>
      </w:pPr>
      <w:r w:rsidRPr="009E6EC0">
        <w:t>recognise early warning signs of equipment/processes needing attention or with</w:t>
      </w:r>
      <w:r w:rsidRPr="009E6EC0">
        <w:t xml:space="preserve"> potential problems and take action to ensure a timely return to full performance</w:t>
      </w:r>
    </w:p>
    <w:p w:rsidR="00000000" w:rsidRPr="009E6EC0" w:rsidP="009E6EC0">
      <w:pPr>
        <w:pStyle w:val="ListBullet"/>
      </w:pPr>
      <w:r w:rsidRPr="009E6EC0">
        <w:t>isolate and de-isolate equipment</w:t>
      </w:r>
    </w:p>
    <w:p w:rsidR="00000000" w:rsidRPr="009E6EC0" w:rsidP="009E6EC0">
      <w:pPr>
        <w:pStyle w:val="ListBullet"/>
      </w:pPr>
      <w:r w:rsidRPr="009E6EC0">
        <w:t xml:space="preserve">identify hazards and apply hazard control procedures </w:t>
      </w:r>
    </w:p>
    <w:p w:rsidR="00000000" w:rsidRPr="009E6EC0" w:rsidP="009E6EC0">
      <w:pPr>
        <w:pStyle w:val="ListBullet"/>
      </w:pPr>
      <w:r w:rsidRPr="009E6EC0">
        <w:t>respond to emergencies</w:t>
      </w:r>
    </w:p>
    <w:p w:rsidR="00000000" w:rsidRPr="009E6EC0" w:rsidP="009E6EC0">
      <w:pPr>
        <w:pStyle w:val="ListBullet"/>
      </w:pPr>
      <w:r w:rsidRPr="009E6EC0">
        <w:t>apply housekeeping procedures, including cleaning the area, remo</w:t>
      </w:r>
      <w:r w:rsidRPr="009E6EC0">
        <w:t>val of contaminants, safety inspections and rectification of issues that could compromise safety.</w:t>
      </w:r>
    </w:p>
    <w:p w:rsidR="00000000" w:rsidRPr="009E6EC0" w:rsidP="009E6EC0">
      <w:pPr>
        <w:pStyle w:val="AllowPageBreak"/>
      </w:pPr>
    </w:p>
    <w:p w:rsidR="00000000" w:rsidRPr="009E6EC0" w:rsidP="009E6EC0">
      <w:pPr>
        <w:pStyle w:val="Heading1"/>
      </w:pPr>
      <w:bookmarkStart w:id="13" w:name="O_909226"/>
      <w:bookmarkEnd w:id="13"/>
      <w:r w:rsidRPr="009E6EC0">
        <w:t>Knowledge Evidence</w:t>
      </w:r>
    </w:p>
    <w:p w:rsidR="00000000" w:rsidRPr="009E6EC0" w:rsidP="005A2EFF">
      <w:pPr>
        <w:pStyle w:val="BodyText"/>
      </w:pPr>
      <w:r w:rsidRPr="009E6EC0">
        <w:t>Evidence must be provided that demonstrates knowledge of:</w:t>
      </w:r>
    </w:p>
    <w:p w:rsidR="00000000" w:rsidRPr="009E6EC0" w:rsidP="009E6EC0">
      <w:pPr>
        <w:pStyle w:val="ListBullet"/>
      </w:pPr>
      <w:r w:rsidRPr="009E6EC0">
        <w:t xml:space="preserve">all items on a schematic of the reduction cell process and the </w:t>
      </w:r>
      <w:r w:rsidRPr="009E6EC0">
        <w:t>function of each</w:t>
      </w:r>
    </w:p>
    <w:p w:rsidR="00000000" w:rsidRPr="009E6EC0" w:rsidP="009E6EC0">
      <w:pPr>
        <w:pStyle w:val="ListBullet"/>
      </w:pPr>
      <w:r w:rsidRPr="009E6EC0">
        <w:t>basic principles of operation of reduction cell equipment items, including cathode bed, anodes and adjusters, feeders, bath conditions and current distribution</w:t>
      </w:r>
    </w:p>
    <w:p w:rsidR="00000000" w:rsidRPr="009E6EC0" w:rsidP="009E6EC0">
      <w:pPr>
        <w:pStyle w:val="ListBullet"/>
      </w:pPr>
      <w:r w:rsidRPr="009E6EC0">
        <w:t>basic understanding of the product specifications, including depth of cover and uniformity of aluminium layer</w:t>
      </w:r>
    </w:p>
    <w:p w:rsidR="00000000" w:rsidRPr="009E6EC0" w:rsidP="009E6EC0">
      <w:pPr>
        <w:pStyle w:val="ListBullet"/>
      </w:pPr>
      <w:r w:rsidRPr="009E6EC0">
        <w:t>basic principles of operation of the cell tending equipment, including the crane and all attachments</w:t>
      </w:r>
    </w:p>
    <w:p w:rsidR="00000000" w:rsidRPr="009E6EC0" w:rsidP="009E6EC0">
      <w:pPr>
        <w:pStyle w:val="ListBullet"/>
      </w:pPr>
      <w:r w:rsidRPr="009E6EC0">
        <w:t>process parameters and limits (e.g. temperatu</w:t>
      </w:r>
      <w:r w:rsidRPr="009E6EC0">
        <w:t>re, moisture, pressure and flow)</w:t>
      </w:r>
    </w:p>
    <w:p w:rsidR="00000000" w:rsidRPr="009E6EC0" w:rsidP="009E6EC0">
      <w:pPr>
        <w:pStyle w:val="ListBullet"/>
      </w:pPr>
      <w:r w:rsidRPr="009E6EC0">
        <w:t xml:space="preserve">emergency responses, including those related to: </w:t>
      </w:r>
    </w:p>
    <w:p w:rsidR="00000000" w:rsidRPr="009E6EC0" w:rsidP="009E6EC0">
      <w:pPr>
        <w:pStyle w:val="ListBullet2"/>
      </w:pPr>
      <w:r w:rsidRPr="009E6EC0">
        <w:t xml:space="preserve">tap outs </w:t>
      </w:r>
    </w:p>
    <w:p w:rsidR="00000000" w:rsidRPr="009E6EC0" w:rsidP="009E6EC0">
      <w:pPr>
        <w:pStyle w:val="ListBullet2"/>
      </w:pPr>
      <w:r w:rsidRPr="009E6EC0">
        <w:t xml:space="preserve">leak/loss of containment </w:t>
      </w:r>
    </w:p>
    <w:p w:rsidR="00000000" w:rsidRPr="009E6EC0" w:rsidP="009E6EC0">
      <w:pPr>
        <w:pStyle w:val="ListBullet2"/>
      </w:pPr>
      <w:r w:rsidRPr="009E6EC0">
        <w:t>evacuation due to fire or open cell circuit</w:t>
      </w:r>
    </w:p>
    <w:p w:rsidR="00000000" w:rsidRPr="009E6EC0" w:rsidP="009E6EC0">
      <w:pPr>
        <w:pStyle w:val="ListBullet2"/>
      </w:pPr>
      <w:r w:rsidRPr="009E6EC0">
        <w:t>loss of power</w:t>
      </w:r>
    </w:p>
    <w:p w:rsidR="00000000" w:rsidRPr="009E6EC0" w:rsidP="009E6EC0">
      <w:pPr>
        <w:pStyle w:val="ListBullet2"/>
      </w:pPr>
      <w:r w:rsidRPr="009E6EC0">
        <w:t>excessive emissions of fumes or particulate</w:t>
      </w:r>
    </w:p>
    <w:p w:rsidR="00000000" w:rsidRPr="009E6EC0" w:rsidP="009E6EC0">
      <w:pPr>
        <w:pStyle w:val="ListBullet2"/>
      </w:pPr>
      <w:r w:rsidRPr="009E6EC0">
        <w:t>major oil spill</w:t>
      </w:r>
    </w:p>
    <w:p w:rsidR="00000000" w:rsidRPr="009E6EC0" w:rsidP="009E6EC0">
      <w:pPr>
        <w:pStyle w:val="ListBullet2"/>
      </w:pPr>
      <w:r w:rsidRPr="009E6EC0">
        <w:t>equipment failure</w:t>
      </w:r>
    </w:p>
    <w:p w:rsidR="00000000" w:rsidRPr="009E6EC0" w:rsidP="009E6EC0">
      <w:pPr>
        <w:pStyle w:val="ListBullet"/>
      </w:pPr>
      <w:r w:rsidRPr="009E6EC0">
        <w:t>typical hazards associated with electromagnetic effects, moisture, wet bath and wet soda ash, and how to recognise them</w:t>
      </w:r>
    </w:p>
    <w:p w:rsidR="00000000" w:rsidRPr="009E6EC0" w:rsidP="009E6EC0">
      <w:pPr>
        <w:pStyle w:val="ListBullet"/>
      </w:pPr>
      <w:r w:rsidRPr="009E6EC0">
        <w:t>correct use of personal protective equipment (PPE), including specific insulated boots, heat resistant material, full-ventilated suits, full-face masks and other situation-specific equipment.</w:t>
      </w:r>
    </w:p>
    <w:p w:rsidR="00000000" w:rsidRPr="009E6EC0" w:rsidP="009E6EC0">
      <w:pPr>
        <w:pStyle w:val="AllowPageBreak"/>
      </w:pPr>
    </w:p>
    <w:p w:rsidR="00000000" w:rsidRPr="009E6EC0" w:rsidP="009E6EC0">
      <w:pPr>
        <w:pStyle w:val="Heading1"/>
      </w:pPr>
      <w:bookmarkStart w:id="14" w:name="O_909225"/>
      <w:bookmarkEnd w:id="14"/>
      <w:r w:rsidRPr="009E6EC0">
        <w:t>Assessment Conditions</w:t>
      </w:r>
    </w:p>
    <w:p w:rsidR="00000000" w:rsidRPr="009E6EC0" w:rsidP="009E6EC0">
      <w:pPr>
        <w:pStyle w:val="ListBullet"/>
      </w:pPr>
      <w:r w:rsidRPr="009E6EC0">
        <w:t>The unit should be asses</w:t>
      </w:r>
      <w:r w:rsidRPr="009E6EC0">
        <w:t xml:space="preserve">sed holistically and the judgement of competence based on a holistic assessment of the evidence. </w:t>
      </w:r>
    </w:p>
    <w:p w:rsidR="00000000" w:rsidRPr="009E6EC0" w:rsidP="009E6EC0">
      <w:pPr>
        <w:pStyle w:val="ListBullet"/>
      </w:pPr>
      <w:r w:rsidRPr="009E6EC0">
        <w:t>The collection of performance evidence:</w:t>
      </w:r>
    </w:p>
    <w:p w:rsidR="00000000" w:rsidRPr="009E6EC0" w:rsidP="009E6EC0">
      <w:pPr>
        <w:pStyle w:val="ListBullet2"/>
      </w:pPr>
      <w:r w:rsidRPr="009E6EC0">
        <w:t>should occur over a range of situations which include typical disruptions to normal, smooth operation of an operating</w:t>
      </w:r>
      <w:r w:rsidRPr="009E6EC0">
        <w:t xml:space="preserve"> plant</w:t>
      </w:r>
    </w:p>
    <w:p w:rsidR="00000000" w:rsidRPr="009E6EC0" w:rsidP="009E6EC0">
      <w:pPr>
        <w:pStyle w:val="ListBullet2"/>
      </w:pPr>
      <w:r w:rsidRPr="009E6EC0">
        <w:t>will typically include a supervisor/third-party report or other evidence, focusing on consistent performance and problem recognition and solving. A supervisor/third-party report must be prepared by someone who has a direct, relevant, current relatio</w:t>
      </w:r>
      <w:r w:rsidRPr="009E6EC0">
        <w:t xml:space="preserve">nship with the person being assessed and who is in a position to form a judgement on workplace performance relevant to the unit of competency </w:t>
      </w:r>
    </w:p>
    <w:p w:rsidR="00000000" w:rsidRPr="009E6EC0" w:rsidP="009E6EC0">
      <w:pPr>
        <w:pStyle w:val="ListBullet2"/>
      </w:pPr>
      <w:r w:rsidRPr="009E6EC0">
        <w:t>must include the use of an appropriate industrial item of equipment requiring demonstration of operation, start-u</w:t>
      </w:r>
      <w:r w:rsidRPr="009E6EC0">
        <w:t>p and shutdown procedures and responding to problems</w:t>
      </w:r>
    </w:p>
    <w:p w:rsidR="00000000" w:rsidRPr="009E6EC0" w:rsidP="009E6EC0">
      <w:pPr>
        <w:pStyle w:val="ListBullet2"/>
      </w:pPr>
      <w:r w:rsidRPr="009E6EC0">
        <w:t>may use industry-based simulation for part only of the unit where safety, lack of opportunity or significant cost is an issue.</w:t>
      </w:r>
    </w:p>
    <w:p w:rsidR="00000000" w:rsidRPr="009E6EC0" w:rsidP="009E6EC0">
      <w:pPr>
        <w:pStyle w:val="ListBullet"/>
      </w:pPr>
      <w:r w:rsidRPr="009E6EC0">
        <w:t xml:space="preserve">Assessment should occur in operational workplace situations. Where this is </w:t>
      </w:r>
      <w:r w:rsidRPr="009E6EC0">
        <w:t>not possible, or where personal safety or environmental damage are limiting factors, assessment must occur in a sufficiently rigorous simulated environment reflecting realistic operational workplace conditions. This must cover all aspects of workplace perf</w:t>
      </w:r>
      <w:r w:rsidRPr="009E6EC0">
        <w:t xml:space="preserve">ormance, including environment, task skills, task management skills, contingency management skills and job role environment skills. </w:t>
      </w:r>
    </w:p>
    <w:p w:rsidR="00000000" w:rsidRPr="009E6EC0" w:rsidP="009E6EC0">
      <w:pPr>
        <w:pStyle w:val="ListBullet"/>
      </w:pPr>
      <w:r w:rsidRPr="009E6EC0">
        <w:t xml:space="preserve">Assessment in a simulated environment should use evidence collected from one or more of: </w:t>
      </w:r>
    </w:p>
    <w:p w:rsidR="00000000" w:rsidRPr="009E6EC0" w:rsidP="009E6EC0">
      <w:pPr>
        <w:pStyle w:val="ListBullet2"/>
      </w:pPr>
      <w:r w:rsidRPr="009E6EC0">
        <w:t>walk-throughs</w:t>
      </w:r>
    </w:p>
    <w:p w:rsidR="00000000" w:rsidRPr="009E6EC0" w:rsidP="009E6EC0">
      <w:pPr>
        <w:pStyle w:val="ListBullet2"/>
      </w:pPr>
      <w:r w:rsidRPr="009E6EC0">
        <w:t>pilot plant operat</w:t>
      </w:r>
      <w:r w:rsidRPr="009E6EC0">
        <w:t>ion</w:t>
      </w:r>
    </w:p>
    <w:p w:rsidR="00000000" w:rsidRPr="009E6EC0" w:rsidP="009E6EC0">
      <w:pPr>
        <w:pStyle w:val="ListBullet2"/>
      </w:pPr>
      <w:r w:rsidRPr="009E6EC0">
        <w:t xml:space="preserve">demonstration of skills </w:t>
      </w:r>
    </w:p>
    <w:p w:rsidR="00000000" w:rsidRPr="009E6EC0" w:rsidP="009E6EC0">
      <w:pPr>
        <w:pStyle w:val="ListBullet2"/>
      </w:pPr>
      <w:r w:rsidRPr="009E6EC0">
        <w:t xml:space="preserve">industry-based case studies/scenarios </w:t>
      </w:r>
    </w:p>
    <w:p w:rsidR="00000000" w:rsidRPr="009E6EC0" w:rsidP="009E6EC0">
      <w:pPr>
        <w:pStyle w:val="ListBullet2"/>
      </w:pPr>
      <w:r w:rsidRPr="009E6EC0">
        <w:t>‘what ifs’.</w:t>
      </w:r>
    </w:p>
    <w:p w:rsidR="00000000" w:rsidRPr="009E6EC0" w:rsidP="009E6EC0">
      <w:pPr>
        <w:pStyle w:val="ListBullet"/>
      </w:pPr>
      <w:r w:rsidRPr="009E6EC0">
        <w:t xml:space="preserve">Knowledge evidence may be collected concurrently with performance evidence (provided a record is kept) </w:t>
      </w:r>
      <w:r w:rsidRPr="009E6EC0">
        <w:t>or through an independent process, such as workbooks, written assessments or interviews (provided a record is kept).</w:t>
      </w:r>
    </w:p>
    <w:p w:rsidR="00000000" w:rsidRPr="009E6EC0" w:rsidP="009E6EC0">
      <w:pPr>
        <w:pStyle w:val="ListBullet"/>
      </w:pPr>
      <w:r w:rsidRPr="009E6EC0">
        <w:t>Assessment processes and techniques must be appropriate to the language, literacy and numeracy requirements of the work being performed and</w:t>
      </w:r>
      <w:r w:rsidRPr="009E6EC0">
        <w:t xml:space="preserve"> the needs of the candidate.</w:t>
      </w:r>
    </w:p>
    <w:p w:rsidR="00000000" w:rsidRPr="009E6EC0" w:rsidP="009E6EC0">
      <w:pPr>
        <w:pStyle w:val="ListBullet"/>
      </w:pPr>
      <w:r w:rsidRPr="009E6EC0">
        <w:t>Conditions for assessment must include access to all tools, equipment, materials and documentation required, including relevant workplace procedures, product and manufacturing specifications associated with this unit.</w:t>
      </w:r>
    </w:p>
    <w:p w:rsidR="00000000" w:rsidRPr="009E6EC0" w:rsidP="009E6EC0">
      <w:pPr>
        <w:pStyle w:val="ListBullet"/>
      </w:pPr>
      <w:r w:rsidRPr="009E6EC0">
        <w:t>The regul</w:t>
      </w:r>
      <w:r w:rsidRPr="009E6EC0">
        <w:t>atory framework will be reflected in workplace policies and procedures and is not required to be independently assessed.</w:t>
      </w:r>
    </w:p>
    <w:p w:rsidR="00000000" w:rsidRPr="009E6EC0" w:rsidP="009E6EC0">
      <w:pPr>
        <w:pStyle w:val="ListBullet"/>
      </w:pPr>
      <w:r w:rsidRPr="009E6EC0">
        <w:t>Foundation skills are integral to competent performance of the unit and should not be assessed separately.</w:t>
      </w:r>
    </w:p>
    <w:p w:rsidR="00000000" w:rsidRPr="009E6EC0" w:rsidP="009E6EC0">
      <w:pPr>
        <w:pStyle w:val="ListBullet"/>
      </w:pPr>
      <w:r w:rsidRPr="009E6EC0">
        <w:t>Assessors must satisfy the a</w:t>
      </w:r>
      <w:r w:rsidRPr="009E6EC0">
        <w:t>ssessor competency requirements that are in place at the time of the assessment as set by the VET regulator.</w:t>
      </w:r>
    </w:p>
    <w:p w:rsidR="00000000" w:rsidRPr="009E6EC0" w:rsidP="009E6EC0">
      <w:pPr>
        <w:pStyle w:val="ListBullet"/>
      </w:pPr>
      <w:r w:rsidRPr="009E6EC0">
        <w:t xml:space="preserve">In addition, the assessor or anyone acting in subject matter expert role in assessment must demonstrate both technical competency and currency. If </w:t>
      </w:r>
      <w:r w:rsidRPr="009E6EC0">
        <w:t xml:space="preserve">the assessor cannot demonstrate technical competency and currency they must assess with a subject matter expert who does meet these requirements. </w:t>
      </w:r>
    </w:p>
    <w:p w:rsidR="00000000" w:rsidRPr="009E6EC0" w:rsidP="009E6EC0">
      <w:pPr>
        <w:pStyle w:val="ListBullet"/>
      </w:pPr>
      <w:r w:rsidRPr="009E6EC0">
        <w:t>Technical competence can be demonstrated through one or more of:</w:t>
      </w:r>
    </w:p>
    <w:p w:rsidR="00000000" w:rsidRPr="009E6EC0" w:rsidP="009E6EC0">
      <w:pPr>
        <w:pStyle w:val="ListBullet2"/>
      </w:pPr>
      <w:r w:rsidRPr="009E6EC0">
        <w:t>relevant VET or other qualification/Stateme</w:t>
      </w:r>
      <w:r w:rsidRPr="009E6EC0">
        <w:t xml:space="preserve">nt of Attainment </w:t>
      </w:r>
    </w:p>
    <w:p w:rsidR="00000000" w:rsidRPr="009E6EC0" w:rsidP="009E6EC0">
      <w:pPr>
        <w:pStyle w:val="ListBullet2"/>
      </w:pPr>
      <w:r w:rsidRPr="009E6EC0">
        <w:t xml:space="preserve">appropriate workplace experience undertaking the type of work being assessed under routine and non-routine conditions </w:t>
      </w:r>
    </w:p>
    <w:p w:rsidR="00000000" w:rsidRPr="009E6EC0" w:rsidP="009E6EC0">
      <w:pPr>
        <w:pStyle w:val="ListBullet2"/>
      </w:pPr>
      <w:r w:rsidRPr="009E6EC0">
        <w:t>appropriate workplace experience supervising/evaluating the type of work being assessed under routine and non-routine conditions</w:t>
      </w:r>
    </w:p>
    <w:p w:rsidR="00000000" w:rsidRPr="009E6EC0" w:rsidP="009E6EC0">
      <w:pPr>
        <w:pStyle w:val="ListBullet"/>
      </w:pPr>
      <w:r w:rsidRPr="009E6EC0">
        <w:t>Currency can be demonstrated through one or more of:</w:t>
      </w:r>
    </w:p>
    <w:p w:rsidR="00000000" w:rsidRPr="009E6EC0" w:rsidP="009E6EC0">
      <w:pPr>
        <w:pStyle w:val="ListBullet2"/>
      </w:pPr>
      <w:r w:rsidRPr="009E6EC0">
        <w:t xml:space="preserve">being currently employed undertaking the type of work being assessed </w:t>
      </w:r>
    </w:p>
    <w:p w:rsidR="00000000" w:rsidRPr="009E6EC0" w:rsidP="009E6EC0">
      <w:pPr>
        <w:pStyle w:val="ListBullet2"/>
      </w:pPr>
      <w:r w:rsidRPr="009E6EC0">
        <w:t>be</w:t>
      </w:r>
      <w:r w:rsidRPr="009E6EC0">
        <w:t xml:space="preserve">ing employed by the organisation undertaking the type of work being assessed and having maintained currency in accordance with that organisation’s policies and procedures </w:t>
      </w:r>
    </w:p>
    <w:p w:rsidR="00000000" w:rsidRPr="009E6EC0" w:rsidP="009E6EC0">
      <w:pPr>
        <w:pStyle w:val="ListBullet2"/>
      </w:pPr>
      <w:r w:rsidRPr="009E6EC0">
        <w:t>having consulted/had contact with an organisation undertaking the type of work being</w:t>
      </w:r>
      <w:r w:rsidRPr="009E6EC0">
        <w:t xml:space="preserve"> assessed within the last twelve months, the consultation/contact being related to assessment </w:t>
      </w:r>
    </w:p>
    <w:p w:rsidR="00000000" w:rsidRPr="009E6EC0" w:rsidP="009E6EC0">
      <w:pPr>
        <w:pStyle w:val="ListBullet2"/>
      </w:pPr>
      <w:r w:rsidRPr="009E6EC0">
        <w:t xml:space="preserve">conducting on-the-job training/assessments of the type of work being assessed </w:t>
      </w:r>
    </w:p>
    <w:p w:rsidR="00000000" w:rsidRPr="009E6EC0" w:rsidP="009E6EC0">
      <w:pPr>
        <w:pStyle w:val="ListBullet2"/>
      </w:pPr>
      <w:r w:rsidRPr="009E6EC0">
        <w:t>being an active member of a relevant professional body and participating in activi</w:t>
      </w:r>
      <w:r w:rsidRPr="009E6EC0">
        <w:t>ties relevant to the assessment of this type of work</w:t>
      </w:r>
    </w:p>
    <w:p w:rsidR="00000000" w:rsidRPr="009E6EC0" w:rsidP="009E6EC0">
      <w:pPr>
        <w:pStyle w:val="AllowPageBreak"/>
      </w:pPr>
    </w:p>
    <w:p w:rsidR="00000000" w:rsidRPr="009E6EC0" w:rsidP="009E6EC0">
      <w:pPr>
        <w:pStyle w:val="Heading1"/>
      </w:pPr>
      <w:bookmarkStart w:id="15" w:name="O_909223"/>
      <w:bookmarkEnd w:id="15"/>
      <w:r w:rsidRPr="009E6EC0">
        <w:t>Links</w:t>
      </w:r>
    </w:p>
    <w:p w:rsidR="00000000" w:rsidRPr="009E6EC0" w:rsidP="005A2EFF">
      <w:pPr>
        <w:pStyle w:val="BodyText"/>
      </w:pPr>
      <w:r w:rsidRPr="009E6EC0">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FF63B0">
        <w:rPr>
          <w:rStyle w:val="Hyperlink"/>
        </w:rPr>
        <w:t>https://vetnet.gov.au/Pages/TrainingDocs.aspx?q=9fc2cf53-e570-4e9f-ad6a-b228ffdb6875</w:t>
      </w:r>
      <w:r>
        <w:fldChar w:fldCharType="end"/>
      </w:r>
    </w:p>
    <w:p w:rsidR="00000000" w:rsidRPr="009E6EC0" w:rsidP="009E6EC0"/>
    <w:sectPr w:rsidSect="009E6EC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E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EC0" w:rsidRPr="005A2EFF" w:rsidP="005A2E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E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EFF" w:rsidP="009E6E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5A2EFF" w:rsidP="009E6EC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A2EFF" w:rsidP="009E6EC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EC0" w:rsidP="009E6EC0">
    <w:pPr>
      <w:pStyle w:val="Footer"/>
      <w:framePr w:wrap="around"/>
    </w:pPr>
    <w:r>
      <w:fldChar w:fldCharType="begin"/>
    </w:r>
    <w:r>
      <w:instrText xml:space="preserve"> DOCPROPERTY  Subject  \* MERGEFORMAT </w:instrText>
    </w:r>
    <w:r>
      <w:fldChar w:fldCharType="separate"/>
    </w:r>
    <w:r w:rsidR="005A2EFF">
      <w:t>Approved</w:t>
    </w:r>
    <w:r w:rsidR="005A2EFF">
      <w:fldChar w:fldCharType="end"/>
    </w:r>
    <w:r>
      <w:tab/>
      <w:t xml:space="preserve">Page </w:t>
    </w:r>
    <w:r>
      <w:fldChar w:fldCharType="begin"/>
    </w:r>
    <w:r>
      <w:instrText xml:space="preserve"> PAGE  \* Arabic  \* MERGEFORMAT </w:instrText>
    </w:r>
    <w:r>
      <w:fldChar w:fldCharType="separate"/>
    </w:r>
    <w:r w:rsidR="005A2EFF">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2EFF">
      <w:rPr>
        <w:noProof/>
      </w:rPr>
      <w:t>8</w:t>
    </w:r>
    <w:r>
      <w:rPr>
        <w:noProof/>
      </w:rPr>
      <w:fldChar w:fldCharType="end"/>
    </w:r>
  </w:p>
  <w:p w:rsidR="009E6EC0" w:rsidP="009E6EC0">
    <w:pPr>
      <w:pStyle w:val="Footer"/>
      <w:framePr w:wrap="around"/>
    </w:pPr>
    <w:r>
      <w:t xml:space="preserve">© Commonwealth of Australia, </w:t>
    </w:r>
    <w:r>
      <w:fldChar w:fldCharType="begin"/>
    </w:r>
    <w:r>
      <w:instrText xml:space="preserve"> DATE  \@ "yyyy"  \* MERGEFORMAT </w:instrText>
    </w:r>
    <w:r>
      <w:fldChar w:fldCharType="separate"/>
    </w:r>
    <w:r w:rsidR="005A2EFF">
      <w:rPr>
        <w:noProof/>
      </w:rPr>
      <w:t>2025</w:t>
    </w:r>
    <w:r>
      <w:fldChar w:fldCharType="end"/>
    </w:r>
    <w:r>
      <w:tab/>
    </w:r>
    <w:r>
      <w:fldChar w:fldCharType="begin"/>
    </w:r>
    <w:r>
      <w:instrText xml:space="preserve"> DOCPROPERTY  Author  \* MERGEFORMAT </w:instrText>
    </w:r>
    <w:r>
      <w:fldChar w:fldCharType="separate"/>
    </w:r>
    <w:r w:rsidR="005A2EFF">
      <w:t>Manufacturing Industry Skills Alliance</w:t>
    </w:r>
    <w:r w:rsidR="005A2EFF">
      <w:fldChar w:fldCharType="end"/>
    </w:r>
  </w:p>
  <w:p w:rsidR="009E6EC0" w:rsidP="009E6E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E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E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6EC0" w:rsidRPr="005A2EFF" w:rsidP="005A2E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E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EFF" w:rsidRPr="002D2AF8" w:rsidP="009E6EC0">
    <w:pPr>
      <w:pStyle w:val="Header"/>
      <w:framePr w:wrap="around"/>
    </w:pPr>
    <w:r>
      <w:fldChar w:fldCharType="begin"/>
    </w:r>
    <w:r>
      <w:instrText xml:space="preserve"> TITLE   \* MERGEFORMAT </w:instrText>
    </w:r>
    <w:r>
      <w:fldChar w:fldCharType="separate"/>
    </w:r>
    <w:r>
      <w:t>PMASMELT269 Operate cell tending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A2EFF" w:rsidP="009E6EC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EC0" w:rsidRPr="002D2AF8" w:rsidP="009E6EC0">
    <w:pPr>
      <w:pStyle w:val="Header"/>
      <w:framePr w:wrap="around"/>
    </w:pPr>
    <w:r>
      <w:fldChar w:fldCharType="begin"/>
    </w:r>
    <w:r>
      <w:instrText xml:space="preserve"> TITLE   \* MERGEFORMAT </w:instrText>
    </w:r>
    <w:r>
      <w:fldChar w:fldCharType="separate"/>
    </w:r>
    <w:r w:rsidR="005A2EFF">
      <w:t>PMASMELT269 Operate cell tending equipment</w:t>
    </w:r>
    <w:r w:rsidR="005A2EFF">
      <w:fldChar w:fldCharType="end"/>
    </w:r>
    <w:r>
      <w:tab/>
      <w:t xml:space="preserve">Date this document was generated: </w:t>
    </w:r>
    <w:r>
      <w:fldChar w:fldCharType="begin"/>
    </w:r>
    <w:r>
      <w:instrText xml:space="preserve"> CREATEDATE  \@ "d MMMM yyyy"  \* MERGEFORMAT </w:instrText>
    </w:r>
    <w:r>
      <w:fldChar w:fldCharType="separate"/>
    </w:r>
    <w:r w:rsidR="005A2EFF">
      <w:rPr>
        <w:noProof/>
      </w:rPr>
      <w:t>2 March 2025</w:t>
    </w:r>
    <w:r>
      <w:fldChar w:fldCharType="end"/>
    </w:r>
  </w:p>
  <w:p w:rsidR="009E6EC0" w:rsidP="009E6E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E429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4630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4EDC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6E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6EC0"/>
    <w:pPr>
      <w:spacing w:before="360" w:after="60"/>
      <w:outlineLvl w:val="0"/>
    </w:pPr>
    <w:rPr>
      <w:sz w:val="32"/>
    </w:rPr>
  </w:style>
  <w:style w:type="paragraph" w:styleId="Heading2">
    <w:name w:val="heading 2"/>
    <w:basedOn w:val="HeadingBase"/>
    <w:next w:val="BodyText"/>
    <w:link w:val="Heading2Char"/>
    <w:qFormat/>
    <w:rsid w:val="009E6EC0"/>
    <w:pPr>
      <w:keepLines/>
      <w:spacing w:before="240" w:after="120"/>
      <w:outlineLvl w:val="1"/>
    </w:pPr>
    <w:rPr>
      <w:sz w:val="28"/>
      <w:szCs w:val="40"/>
    </w:rPr>
  </w:style>
  <w:style w:type="paragraph" w:styleId="Heading3">
    <w:name w:val="heading 3"/>
    <w:basedOn w:val="HeadingBase"/>
    <w:next w:val="BodyText"/>
    <w:link w:val="Heading3Char"/>
    <w:qFormat/>
    <w:rsid w:val="009E6EC0"/>
    <w:pPr>
      <w:spacing w:before="180" w:after="120"/>
      <w:outlineLvl w:val="2"/>
    </w:pPr>
    <w:rPr>
      <w:spacing w:val="-10"/>
      <w:kern w:val="32"/>
    </w:rPr>
  </w:style>
  <w:style w:type="paragraph" w:styleId="Heading4">
    <w:name w:val="heading 4"/>
    <w:basedOn w:val="HeadingBase"/>
    <w:next w:val="BodyText"/>
    <w:link w:val="Heading4Char"/>
    <w:qFormat/>
    <w:rsid w:val="009E6EC0"/>
    <w:pPr>
      <w:spacing w:before="160" w:after="120"/>
      <w:outlineLvl w:val="3"/>
    </w:pPr>
    <w:rPr>
      <w:sz w:val="22"/>
    </w:rPr>
  </w:style>
  <w:style w:type="paragraph" w:styleId="Heading5">
    <w:name w:val="heading 5"/>
    <w:basedOn w:val="HeadingBase"/>
    <w:next w:val="Normal"/>
    <w:link w:val="Heading5Char"/>
    <w:qFormat/>
    <w:rsid w:val="009E6EC0"/>
    <w:pPr>
      <w:spacing w:before="80"/>
      <w:outlineLvl w:val="4"/>
    </w:pPr>
    <w:rPr>
      <w:color w:val="918585"/>
      <w:sz w:val="20"/>
    </w:rPr>
  </w:style>
  <w:style w:type="paragraph" w:styleId="Heading6">
    <w:name w:val="heading 6"/>
    <w:basedOn w:val="HeadingBase"/>
    <w:next w:val="Normal"/>
    <w:link w:val="Heading6Char"/>
    <w:qFormat/>
    <w:rsid w:val="009E6EC0"/>
    <w:pPr>
      <w:spacing w:before="60"/>
      <w:outlineLvl w:val="5"/>
    </w:pPr>
    <w:rPr>
      <w:color w:val="918585"/>
      <w:sz w:val="20"/>
    </w:rPr>
  </w:style>
  <w:style w:type="paragraph" w:styleId="Heading7">
    <w:name w:val="heading 7"/>
    <w:basedOn w:val="Normal"/>
    <w:next w:val="Normal"/>
    <w:link w:val="Heading7Char"/>
    <w:qFormat/>
    <w:rsid w:val="009E6EC0"/>
    <w:pPr>
      <w:ind w:left="720"/>
      <w:outlineLvl w:val="6"/>
    </w:pPr>
    <w:rPr>
      <w:i/>
    </w:rPr>
  </w:style>
  <w:style w:type="paragraph" w:styleId="Heading8">
    <w:name w:val="heading 8"/>
    <w:basedOn w:val="Normal"/>
    <w:next w:val="Normal"/>
    <w:link w:val="Heading8Char"/>
    <w:qFormat/>
    <w:rsid w:val="009E6EC0"/>
    <w:pPr>
      <w:ind w:left="720"/>
      <w:outlineLvl w:val="7"/>
    </w:pPr>
    <w:rPr>
      <w:i/>
    </w:rPr>
  </w:style>
  <w:style w:type="paragraph" w:styleId="Heading9">
    <w:name w:val="heading 9"/>
    <w:basedOn w:val="Normal"/>
    <w:next w:val="Normal"/>
    <w:link w:val="Heading9Char"/>
    <w:qFormat/>
    <w:rsid w:val="009E6EC0"/>
    <w:pPr>
      <w:ind w:left="720"/>
      <w:outlineLvl w:val="8"/>
    </w:pPr>
    <w:rPr>
      <w:i/>
    </w:rPr>
  </w:style>
  <w:style w:type="character" w:default="1" w:styleId="DefaultParagraphFont">
    <w:name w:val="Default Paragraph Font"/>
    <w:uiPriority w:val="1"/>
    <w:unhideWhenUsed/>
    <w:rsid w:val="009E6E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6EC0"/>
  </w:style>
  <w:style w:type="character" w:customStyle="1" w:styleId="Heading1Char">
    <w:name w:val="Heading 1 Char"/>
    <w:basedOn w:val="DefaultParagraphFont"/>
    <w:link w:val="Heading1"/>
    <w:rsid w:val="009E6EC0"/>
    <w:rPr>
      <w:rFonts w:ascii="Times New Roman" w:eastAsia="Times New Roman" w:hAnsi="Times New Roman" w:cs="Times New Roman"/>
      <w:b/>
      <w:sz w:val="32"/>
      <w:szCs w:val="20"/>
      <w:lang w:eastAsia="en-US"/>
    </w:rPr>
  </w:style>
  <w:style w:type="paragraph" w:styleId="BodyText">
    <w:name w:val="Body Text"/>
    <w:basedOn w:val="Normal"/>
    <w:link w:val="BodyTextChar"/>
    <w:rsid w:val="009E6E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6EC0"/>
    <w:rPr>
      <w:rFonts w:ascii="Times New Roman" w:eastAsia="Times New Roman" w:hAnsi="Times New Roman" w:cs="Times New Roman"/>
      <w:sz w:val="24"/>
      <w:lang w:eastAsia="en-US"/>
    </w:rPr>
  </w:style>
  <w:style w:type="paragraph" w:styleId="ListBullet">
    <w:name w:val="List Bullet"/>
    <w:basedOn w:val="List"/>
    <w:rsid w:val="009E6EC0"/>
    <w:pPr>
      <w:numPr>
        <w:numId w:val="12"/>
      </w:numPr>
      <w:tabs>
        <w:tab w:val="clear" w:pos="340"/>
      </w:tabs>
      <w:spacing w:before="40" w:after="40"/>
    </w:pPr>
  </w:style>
  <w:style w:type="character" w:customStyle="1" w:styleId="SpecialBold">
    <w:name w:val="Special Bold"/>
    <w:basedOn w:val="DefaultParagraphFont"/>
    <w:rsid w:val="009E6EC0"/>
    <w:rPr>
      <w:b/>
      <w:spacing w:val="0"/>
    </w:rPr>
  </w:style>
  <w:style w:type="paragraph" w:styleId="ListBullet2">
    <w:name w:val="List Bullet 2"/>
    <w:basedOn w:val="List2"/>
    <w:rsid w:val="009E6EC0"/>
    <w:pPr>
      <w:numPr>
        <w:numId w:val="13"/>
      </w:numPr>
      <w:tabs>
        <w:tab w:val="clear" w:pos="680"/>
      </w:tabs>
    </w:pPr>
  </w:style>
  <w:style w:type="paragraph" w:customStyle="1" w:styleId="SuperHeading">
    <w:name w:val="SuperHeading"/>
    <w:basedOn w:val="Normal"/>
    <w:rsid w:val="009E6EC0"/>
    <w:pPr>
      <w:spacing w:before="240" w:after="120"/>
      <w:outlineLvl w:val="0"/>
    </w:pPr>
    <w:rPr>
      <w:rFonts w:ascii="Times New Roman" w:hAnsi="Times New Roman"/>
      <w:b/>
      <w:sz w:val="32"/>
    </w:rPr>
  </w:style>
  <w:style w:type="paragraph" w:customStyle="1" w:styleId="AllowPageBreak">
    <w:name w:val="AllowPageBreak"/>
    <w:rsid w:val="009E6E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6E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6E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6E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6E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6E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6E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6E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6EC0"/>
    <w:rPr>
      <w:rFonts w:ascii="Courier New" w:eastAsia="Times New Roman" w:hAnsi="Courier New" w:cs="Times New Roman"/>
      <w:i/>
      <w:szCs w:val="20"/>
      <w:lang w:eastAsia="en-US"/>
    </w:rPr>
  </w:style>
  <w:style w:type="paragraph" w:customStyle="1" w:styleId="HeadingBase">
    <w:name w:val="Heading Base"/>
    <w:rsid w:val="009E6E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6EC0"/>
    <w:pPr>
      <w:tabs>
        <w:tab w:val="right" w:leader="dot" w:pos="9072"/>
      </w:tabs>
      <w:ind w:left="567"/>
    </w:pPr>
    <w:rPr>
      <w:szCs w:val="22"/>
    </w:rPr>
  </w:style>
  <w:style w:type="paragraph" w:customStyle="1" w:styleId="TOCBase">
    <w:name w:val="TOC Base"/>
    <w:rsid w:val="009E6E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6EC0"/>
    <w:pPr>
      <w:tabs>
        <w:tab w:val="right" w:leader="dot" w:pos="9072"/>
      </w:tabs>
      <w:spacing w:before="40" w:after="40"/>
      <w:ind w:left="284"/>
    </w:pPr>
    <w:rPr>
      <w:rFonts w:ascii="Times New Roman" w:hAnsi="Times New Roman"/>
    </w:rPr>
  </w:style>
  <w:style w:type="paragraph" w:styleId="TOC1">
    <w:name w:val="toc 1"/>
    <w:basedOn w:val="TOCBase"/>
    <w:next w:val="Normal"/>
    <w:rsid w:val="009E6E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6E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6EC0"/>
    <w:rPr>
      <w:rFonts w:ascii="Times New Roman" w:eastAsia="Times New Roman" w:hAnsi="Times New Roman" w:cs="Times New Roman"/>
      <w:sz w:val="16"/>
      <w:lang w:eastAsia="en-US"/>
    </w:rPr>
  </w:style>
  <w:style w:type="paragraph" w:styleId="Title">
    <w:name w:val="Title"/>
    <w:basedOn w:val="HeadingBase"/>
    <w:link w:val="TitleChar"/>
    <w:qFormat/>
    <w:rsid w:val="009E6EC0"/>
    <w:pPr>
      <w:spacing w:before="5040"/>
      <w:jc w:val="center"/>
    </w:pPr>
    <w:rPr>
      <w:sz w:val="48"/>
      <w:szCs w:val="72"/>
      <w:lang w:val="en-US"/>
    </w:rPr>
  </w:style>
  <w:style w:type="character" w:customStyle="1" w:styleId="TitleChar">
    <w:name w:val="Title Char"/>
    <w:basedOn w:val="DefaultParagraphFont"/>
    <w:link w:val="Title"/>
    <w:rsid w:val="009E6E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6EC0"/>
    <w:pPr>
      <w:tabs>
        <w:tab w:val="left" w:pos="3600"/>
        <w:tab w:val="left" w:pos="3958"/>
      </w:tabs>
    </w:pPr>
  </w:style>
  <w:style w:type="paragraph" w:styleId="List">
    <w:name w:val="List"/>
    <w:basedOn w:val="BodyText"/>
    <w:next w:val="BodyText"/>
    <w:rsid w:val="009E6EC0"/>
    <w:pPr>
      <w:tabs>
        <w:tab w:val="left" w:pos="340"/>
      </w:tabs>
      <w:spacing w:before="60" w:after="60"/>
      <w:ind w:left="340" w:hanging="340"/>
    </w:pPr>
  </w:style>
  <w:style w:type="paragraph" w:customStyle="1" w:styleId="Note">
    <w:name w:val="Note"/>
    <w:basedOn w:val="BodyText"/>
    <w:rsid w:val="009E6E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6EC0"/>
    <w:pPr>
      <w:framePr w:wrap="auto" w:hAnchor="text" w:y="6049"/>
    </w:pPr>
    <w:rPr>
      <w:color w:val="000000"/>
      <w:sz w:val="40"/>
    </w:rPr>
  </w:style>
  <w:style w:type="paragraph" w:customStyle="1" w:styleId="TOCTitle">
    <w:name w:val="TOCTitle"/>
    <w:basedOn w:val="Heading1"/>
    <w:rsid w:val="009E6EC0"/>
    <w:pPr>
      <w:spacing w:after="240"/>
      <w:jc w:val="center"/>
      <w:outlineLvl w:val="9"/>
    </w:pPr>
    <w:rPr>
      <w:caps/>
    </w:rPr>
  </w:style>
  <w:style w:type="paragraph" w:customStyle="1" w:styleId="Version">
    <w:name w:val="Version"/>
    <w:rsid w:val="009E6E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6EC0"/>
    <w:pPr>
      <w:keepNext w:val="0"/>
      <w:tabs>
        <w:tab w:val="right" w:pos="4176"/>
      </w:tabs>
      <w:ind w:left="198" w:hanging="198"/>
    </w:pPr>
    <w:rPr>
      <w:rFonts w:ascii="Garamond" w:hAnsi="Garamond"/>
    </w:rPr>
  </w:style>
  <w:style w:type="paragraph" w:styleId="IndexHeading">
    <w:name w:val="index heading"/>
    <w:basedOn w:val="Normal"/>
    <w:next w:val="Index1"/>
    <w:semiHidden/>
    <w:rsid w:val="009E6EC0"/>
    <w:pPr>
      <w:spacing w:before="120" w:after="120"/>
    </w:pPr>
    <w:rPr>
      <w:rFonts w:ascii="Arial" w:hAnsi="Arial"/>
      <w:b/>
      <w:color w:val="918585"/>
      <w:sz w:val="24"/>
    </w:rPr>
  </w:style>
  <w:style w:type="paragraph" w:styleId="Header">
    <w:name w:val="header"/>
    <w:basedOn w:val="Normal"/>
    <w:link w:val="HeaderChar"/>
    <w:rsid w:val="009E6E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6EC0"/>
    <w:rPr>
      <w:rFonts w:ascii="Times New Roman" w:eastAsia="Times New Roman" w:hAnsi="Times New Roman" w:cs="Times New Roman"/>
      <w:sz w:val="16"/>
      <w:szCs w:val="20"/>
      <w:lang w:val="en-GB" w:eastAsia="en-US"/>
    </w:rPr>
  </w:style>
  <w:style w:type="paragraph" w:customStyle="1" w:styleId="Chapter">
    <w:name w:val="Chapter"/>
    <w:basedOn w:val="Normal"/>
    <w:rsid w:val="009E6EC0"/>
    <w:pPr>
      <w:spacing w:before="240"/>
    </w:pPr>
    <w:rPr>
      <w:rFonts w:ascii="Times New Roman" w:hAnsi="Times New Roman"/>
      <w:smallCaps/>
      <w:spacing w:val="80"/>
      <w:sz w:val="28"/>
    </w:rPr>
  </w:style>
  <w:style w:type="paragraph" w:customStyle="1" w:styleId="InChapter">
    <w:name w:val="InChapter"/>
    <w:basedOn w:val="Heading3"/>
    <w:rsid w:val="009E6EC0"/>
    <w:pPr>
      <w:spacing w:after="240"/>
      <w:outlineLvl w:val="9"/>
    </w:pPr>
    <w:rPr>
      <w:noProof/>
    </w:rPr>
  </w:style>
  <w:style w:type="paragraph" w:styleId="Index2">
    <w:name w:val="index 2"/>
    <w:basedOn w:val="Normal"/>
    <w:next w:val="Normal"/>
    <w:semiHidden/>
    <w:rsid w:val="009E6EC0"/>
    <w:pPr>
      <w:tabs>
        <w:tab w:val="right" w:pos="4176"/>
      </w:tabs>
      <w:ind w:left="568" w:hanging="284"/>
    </w:pPr>
    <w:rPr>
      <w:rFonts w:ascii="Garamond" w:hAnsi="Garamond"/>
    </w:rPr>
  </w:style>
  <w:style w:type="paragraph" w:customStyle="1" w:styleId="Byline">
    <w:name w:val="Byline"/>
    <w:rsid w:val="009E6E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6EC0"/>
    <w:pPr>
      <w:tabs>
        <w:tab w:val="clear" w:pos="3600"/>
        <w:tab w:val="clear" w:pos="3958"/>
      </w:tabs>
      <w:jc w:val="right"/>
    </w:pPr>
  </w:style>
  <w:style w:type="character" w:styleId="Emphasis">
    <w:name w:val="Emphasis"/>
    <w:basedOn w:val="DefaultParagraphFont"/>
    <w:qFormat/>
    <w:rsid w:val="009E6EC0"/>
    <w:rPr>
      <w:i/>
    </w:rPr>
  </w:style>
  <w:style w:type="paragraph" w:styleId="Caption">
    <w:name w:val="caption"/>
    <w:basedOn w:val="BodyText"/>
    <w:next w:val="Normal"/>
    <w:qFormat/>
    <w:rsid w:val="009E6EC0"/>
    <w:pPr>
      <w:framePr w:w="2268" w:hSpace="181" w:vSpace="181" w:wrap="around" w:vAnchor="text" w:hAnchor="page" w:x="1135" w:y="285" w:anchorLock="1"/>
    </w:pPr>
    <w:rPr>
      <w:i/>
    </w:rPr>
  </w:style>
  <w:style w:type="paragraph" w:customStyle="1" w:styleId="MiniTOCTitle">
    <w:name w:val="MiniTOCTitle"/>
    <w:basedOn w:val="Heading4"/>
    <w:rsid w:val="009E6EC0"/>
    <w:pPr>
      <w:spacing w:before="240"/>
      <w:outlineLvl w:val="9"/>
    </w:pPr>
    <w:rPr>
      <w:noProof/>
      <w:sz w:val="24"/>
    </w:rPr>
  </w:style>
  <w:style w:type="paragraph" w:customStyle="1" w:styleId="MiniTOCItem">
    <w:name w:val="MiniTOCItem"/>
    <w:basedOn w:val="ListBullet"/>
    <w:rsid w:val="009E6EC0"/>
    <w:pPr>
      <w:numPr>
        <w:numId w:val="0"/>
      </w:numPr>
      <w:tabs>
        <w:tab w:val="right" w:leader="dot" w:pos="6521"/>
      </w:tabs>
      <w:spacing w:before="0" w:after="0"/>
    </w:pPr>
  </w:style>
  <w:style w:type="paragraph" w:customStyle="1" w:styleId="TOFTitle">
    <w:name w:val="TOFTitle"/>
    <w:basedOn w:val="TOCTitle"/>
    <w:rsid w:val="009E6EC0"/>
  </w:style>
  <w:style w:type="paragraph" w:styleId="TableofFigures">
    <w:name w:val="table of figures"/>
    <w:basedOn w:val="Normal"/>
    <w:next w:val="Normal"/>
    <w:semiHidden/>
    <w:rsid w:val="009E6EC0"/>
    <w:pPr>
      <w:tabs>
        <w:tab w:val="right" w:leader="dot" w:pos="9072"/>
      </w:tabs>
      <w:ind w:left="970" w:hanging="403"/>
    </w:pPr>
    <w:rPr>
      <w:rFonts w:ascii="Times New Roman" w:hAnsi="Times New Roman"/>
      <w:b/>
    </w:rPr>
  </w:style>
  <w:style w:type="paragraph" w:styleId="ListNumber">
    <w:name w:val="List Number"/>
    <w:basedOn w:val="List"/>
    <w:rsid w:val="009E6EC0"/>
    <w:pPr>
      <w:numPr>
        <w:numId w:val="15"/>
      </w:numPr>
      <w:tabs>
        <w:tab w:val="clear" w:pos="340"/>
      </w:tabs>
    </w:pPr>
  </w:style>
  <w:style w:type="character" w:customStyle="1" w:styleId="WingdingSymbols">
    <w:name w:val="Wingding Symbols"/>
    <w:rsid w:val="009E6EC0"/>
    <w:rPr>
      <w:rFonts w:ascii="Wingdings" w:hAnsi="Wingdings"/>
    </w:rPr>
  </w:style>
  <w:style w:type="paragraph" w:customStyle="1" w:styleId="TableHeading">
    <w:name w:val="Table Heading"/>
    <w:basedOn w:val="HeadingBase"/>
    <w:rsid w:val="009E6EC0"/>
    <w:pPr>
      <w:keepLines/>
      <w:pBdr>
        <w:bottom w:val="single" w:sz="6" w:space="1" w:color="918585"/>
      </w:pBdr>
      <w:spacing w:before="240"/>
    </w:pPr>
  </w:style>
  <w:style w:type="character" w:customStyle="1" w:styleId="HotSpot">
    <w:name w:val="HotSpot"/>
    <w:rsid w:val="009E6EC0"/>
    <w:rPr>
      <w:color w:val="0033CC"/>
      <w:u w:val="none"/>
    </w:rPr>
  </w:style>
  <w:style w:type="paragraph" w:customStyle="1" w:styleId="BodyTextRight">
    <w:name w:val="Body Text Right"/>
    <w:basedOn w:val="BodyText"/>
    <w:rsid w:val="009E6EC0"/>
    <w:pPr>
      <w:spacing w:before="0" w:after="0"/>
      <w:jc w:val="right"/>
    </w:pPr>
  </w:style>
  <w:style w:type="paragraph" w:styleId="Index3">
    <w:name w:val="index 3"/>
    <w:basedOn w:val="ListNumber2"/>
    <w:next w:val="Normal"/>
    <w:semiHidden/>
    <w:rsid w:val="009E6EC0"/>
    <w:pPr>
      <w:numPr>
        <w:numId w:val="0"/>
      </w:numPr>
      <w:tabs>
        <w:tab w:val="right" w:leader="dot" w:pos="4176"/>
      </w:tabs>
    </w:pPr>
  </w:style>
  <w:style w:type="paragraph" w:styleId="ListNumber2">
    <w:name w:val="List Number 2"/>
    <w:basedOn w:val="List2"/>
    <w:rsid w:val="009E6EC0"/>
    <w:pPr>
      <w:numPr>
        <w:numId w:val="10"/>
      </w:numPr>
      <w:tabs>
        <w:tab w:val="clear" w:pos="1060"/>
      </w:tabs>
    </w:pPr>
  </w:style>
  <w:style w:type="paragraph" w:customStyle="1" w:styleId="MarginNote">
    <w:name w:val="Margin Note"/>
    <w:basedOn w:val="BodyText"/>
    <w:rsid w:val="009E6E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6E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6E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6EC0"/>
    <w:rPr>
      <w:sz w:val="32"/>
    </w:rPr>
  </w:style>
  <w:style w:type="paragraph" w:customStyle="1" w:styleId="HeadingProcedure">
    <w:name w:val="Heading Procedure"/>
    <w:basedOn w:val="HeadingBase"/>
    <w:next w:val="Normal"/>
    <w:rsid w:val="009E6EC0"/>
    <w:pPr>
      <w:tabs>
        <w:tab w:val="left" w:pos="0"/>
      </w:tabs>
      <w:spacing w:before="120" w:after="60"/>
    </w:pPr>
    <w:rPr>
      <w:i/>
      <w:color w:val="918585"/>
      <w:sz w:val="22"/>
    </w:rPr>
  </w:style>
  <w:style w:type="paragraph" w:customStyle="1" w:styleId="TableBodyText">
    <w:name w:val="Table Body Text"/>
    <w:basedOn w:val="BodyText"/>
    <w:rsid w:val="009E6EC0"/>
    <w:pPr>
      <w:spacing w:before="60" w:after="60"/>
    </w:pPr>
  </w:style>
  <w:style w:type="paragraph" w:styleId="ListContinue">
    <w:name w:val="List Continue"/>
    <w:basedOn w:val="List"/>
    <w:rsid w:val="009E6EC0"/>
    <w:pPr>
      <w:ind w:firstLine="0"/>
    </w:pPr>
  </w:style>
  <w:style w:type="paragraph" w:customStyle="1" w:styleId="ListNote">
    <w:name w:val="List Note"/>
    <w:basedOn w:val="List"/>
    <w:rsid w:val="009E6EC0"/>
    <w:pPr>
      <w:pBdr>
        <w:top w:val="single" w:sz="6" w:space="2" w:color="918585"/>
        <w:bottom w:val="single" w:sz="6" w:space="2" w:color="918585"/>
      </w:pBdr>
      <w:tabs>
        <w:tab w:val="left" w:pos="1021"/>
      </w:tabs>
      <w:ind w:firstLine="0"/>
    </w:pPr>
  </w:style>
  <w:style w:type="paragraph" w:customStyle="1" w:styleId="Warning">
    <w:name w:val="Warning"/>
    <w:basedOn w:val="BodyText"/>
    <w:rsid w:val="009E6EC0"/>
    <w:pPr>
      <w:shd w:val="clear" w:color="auto" w:fill="D9D9D9"/>
      <w:tabs>
        <w:tab w:val="left" w:pos="992"/>
      </w:tabs>
      <w:ind w:left="119" w:right="119"/>
    </w:pPr>
    <w:rPr>
      <w:sz w:val="20"/>
    </w:rPr>
  </w:style>
  <w:style w:type="paragraph" w:customStyle="1" w:styleId="MarginIcons">
    <w:name w:val="Margin Icons"/>
    <w:basedOn w:val="BodyText"/>
    <w:rsid w:val="009E6E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6EC0"/>
    <w:rPr>
      <w:rFonts w:ascii="Courier New" w:hAnsi="Courier New"/>
    </w:rPr>
  </w:style>
  <w:style w:type="paragraph" w:customStyle="1" w:styleId="NoteBullet">
    <w:name w:val="Note Bullet"/>
    <w:basedOn w:val="Note"/>
    <w:rsid w:val="009E6EC0"/>
    <w:pPr>
      <w:tabs>
        <w:tab w:val="clear" w:pos="680"/>
      </w:tabs>
      <w:spacing w:before="60" w:after="60"/>
    </w:pPr>
  </w:style>
  <w:style w:type="paragraph" w:customStyle="1" w:styleId="SubHeading2">
    <w:name w:val="SubHeading2"/>
    <w:basedOn w:val="HeadingBase"/>
    <w:rsid w:val="009E6EC0"/>
    <w:pPr>
      <w:spacing w:before="240" w:after="60"/>
    </w:pPr>
    <w:rPr>
      <w:sz w:val="20"/>
    </w:rPr>
  </w:style>
  <w:style w:type="paragraph" w:customStyle="1" w:styleId="SubHeading1">
    <w:name w:val="SubHeading1"/>
    <w:basedOn w:val="HeadingBase"/>
    <w:rsid w:val="009E6EC0"/>
    <w:pPr>
      <w:spacing w:before="240" w:after="60"/>
    </w:pPr>
    <w:rPr>
      <w:color w:val="918585"/>
      <w:sz w:val="22"/>
    </w:rPr>
  </w:style>
  <w:style w:type="paragraph" w:customStyle="1" w:styleId="SideHeading">
    <w:name w:val="Side Heading"/>
    <w:basedOn w:val="HeadingBase"/>
    <w:rsid w:val="009E6E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6EC0"/>
    <w:pPr>
      <w:tabs>
        <w:tab w:val="num" w:pos="360"/>
      </w:tabs>
    </w:pPr>
  </w:style>
  <w:style w:type="paragraph" w:styleId="PlainText">
    <w:name w:val="Plain Text"/>
    <w:basedOn w:val="Normal"/>
    <w:link w:val="PlainTextChar"/>
    <w:rsid w:val="009E6EC0"/>
    <w:rPr>
      <w:sz w:val="20"/>
    </w:rPr>
  </w:style>
  <w:style w:type="character" w:customStyle="1" w:styleId="PlainTextChar">
    <w:name w:val="Plain Text Char"/>
    <w:basedOn w:val="DefaultParagraphFont"/>
    <w:link w:val="PlainText"/>
    <w:rsid w:val="009E6EC0"/>
    <w:rPr>
      <w:rFonts w:ascii="Courier New" w:eastAsia="Times New Roman" w:hAnsi="Courier New" w:cs="Times New Roman"/>
      <w:sz w:val="20"/>
      <w:szCs w:val="20"/>
      <w:lang w:eastAsia="en-US"/>
    </w:rPr>
  </w:style>
  <w:style w:type="character" w:customStyle="1" w:styleId="MenuOption">
    <w:name w:val="Menu Option"/>
    <w:basedOn w:val="DefaultParagraphFont"/>
    <w:rsid w:val="009E6EC0"/>
    <w:rPr>
      <w:b/>
      <w:smallCaps/>
    </w:rPr>
  </w:style>
  <w:style w:type="paragraph" w:customStyle="1" w:styleId="TableListNumber">
    <w:name w:val="Table List Number"/>
    <w:basedOn w:val="ListNumber"/>
    <w:rsid w:val="009E6EC0"/>
    <w:pPr>
      <w:numPr>
        <w:numId w:val="0"/>
      </w:numPr>
    </w:pPr>
  </w:style>
  <w:style w:type="paragraph" w:styleId="TOC4">
    <w:name w:val="toc 4"/>
    <w:basedOn w:val="TOCBase"/>
    <w:next w:val="Normal"/>
    <w:semiHidden/>
    <w:rsid w:val="009E6EC0"/>
    <w:pPr>
      <w:tabs>
        <w:tab w:val="right" w:leader="dot" w:pos="9071"/>
      </w:tabs>
      <w:ind w:left="1701"/>
    </w:pPr>
  </w:style>
  <w:style w:type="paragraph" w:customStyle="1" w:styleId="ListAlpha">
    <w:name w:val="List Alpha"/>
    <w:basedOn w:val="List"/>
    <w:rsid w:val="009E6EC0"/>
    <w:pPr>
      <w:numPr>
        <w:numId w:val="9"/>
      </w:numPr>
    </w:pPr>
  </w:style>
  <w:style w:type="paragraph" w:customStyle="1" w:styleId="ListAlpha2">
    <w:name w:val="List Alpha 2"/>
    <w:basedOn w:val="List2"/>
    <w:rsid w:val="009E6EC0"/>
    <w:pPr>
      <w:numPr>
        <w:numId w:val="8"/>
      </w:numPr>
    </w:pPr>
  </w:style>
  <w:style w:type="paragraph" w:styleId="List2">
    <w:name w:val="List 2"/>
    <w:basedOn w:val="BodyText"/>
    <w:rsid w:val="009E6EC0"/>
    <w:pPr>
      <w:tabs>
        <w:tab w:val="left" w:pos="680"/>
      </w:tabs>
      <w:spacing w:before="60" w:after="60"/>
      <w:ind w:left="680" w:hanging="340"/>
    </w:pPr>
  </w:style>
  <w:style w:type="paragraph" w:styleId="List3">
    <w:name w:val="List 3"/>
    <w:basedOn w:val="BodyText"/>
    <w:rsid w:val="009E6EC0"/>
    <w:pPr>
      <w:tabs>
        <w:tab w:val="left" w:pos="1021"/>
      </w:tabs>
      <w:spacing w:before="60" w:after="60"/>
      <w:ind w:left="1020" w:hanging="340"/>
    </w:pPr>
  </w:style>
  <w:style w:type="paragraph" w:styleId="List4">
    <w:name w:val="List 4"/>
    <w:basedOn w:val="BodyText"/>
    <w:rsid w:val="009E6EC0"/>
    <w:pPr>
      <w:tabs>
        <w:tab w:val="left" w:pos="1361"/>
      </w:tabs>
      <w:spacing w:before="60" w:after="60"/>
      <w:ind w:left="1361" w:hanging="340"/>
    </w:pPr>
  </w:style>
  <w:style w:type="paragraph" w:styleId="List5">
    <w:name w:val="List 5"/>
    <w:basedOn w:val="BodyText"/>
    <w:rsid w:val="009E6EC0"/>
    <w:pPr>
      <w:tabs>
        <w:tab w:val="left" w:pos="1701"/>
      </w:tabs>
      <w:spacing w:before="60" w:after="60"/>
      <w:ind w:left="1701" w:hanging="340"/>
    </w:pPr>
  </w:style>
  <w:style w:type="paragraph" w:styleId="ListBullet3">
    <w:name w:val="List Bullet 3"/>
    <w:basedOn w:val="List3"/>
    <w:rsid w:val="009E6EC0"/>
    <w:pPr>
      <w:numPr>
        <w:numId w:val="14"/>
      </w:numPr>
      <w:tabs>
        <w:tab w:val="clear" w:pos="1021"/>
      </w:tabs>
      <w:ind w:left="1037" w:hanging="357"/>
    </w:pPr>
  </w:style>
  <w:style w:type="paragraph" w:styleId="ListBullet4">
    <w:name w:val="List Bullet 4"/>
    <w:basedOn w:val="List4"/>
    <w:rsid w:val="009E6EC0"/>
    <w:pPr>
      <w:numPr>
        <w:numId w:val="3"/>
      </w:numPr>
      <w:tabs>
        <w:tab w:val="clear" w:pos="1361"/>
      </w:tabs>
    </w:pPr>
  </w:style>
  <w:style w:type="paragraph" w:styleId="ListBullet5">
    <w:name w:val="List Bullet 5"/>
    <w:basedOn w:val="List5"/>
    <w:rsid w:val="009E6EC0"/>
    <w:pPr>
      <w:numPr>
        <w:numId w:val="4"/>
      </w:numPr>
    </w:pPr>
  </w:style>
  <w:style w:type="paragraph" w:styleId="ListContinue2">
    <w:name w:val="List Continue 2"/>
    <w:basedOn w:val="List2"/>
    <w:rsid w:val="009E6EC0"/>
    <w:pPr>
      <w:ind w:firstLine="0"/>
    </w:pPr>
  </w:style>
  <w:style w:type="paragraph" w:styleId="ListContinue3">
    <w:name w:val="List Continue 3"/>
    <w:basedOn w:val="List3"/>
    <w:rsid w:val="009E6EC0"/>
    <w:pPr>
      <w:ind w:left="1021" w:firstLine="0"/>
    </w:pPr>
  </w:style>
  <w:style w:type="paragraph" w:styleId="ListContinue4">
    <w:name w:val="List Continue 4"/>
    <w:basedOn w:val="List4"/>
    <w:rsid w:val="009E6EC0"/>
    <w:pPr>
      <w:ind w:firstLine="0"/>
    </w:pPr>
  </w:style>
  <w:style w:type="paragraph" w:styleId="ListContinue5">
    <w:name w:val="List Continue 5"/>
    <w:basedOn w:val="List5"/>
    <w:rsid w:val="009E6EC0"/>
    <w:pPr>
      <w:ind w:firstLine="0"/>
    </w:pPr>
  </w:style>
  <w:style w:type="paragraph" w:styleId="ListNumber3">
    <w:name w:val="List Number 3"/>
    <w:basedOn w:val="List3"/>
    <w:rsid w:val="009E6EC0"/>
    <w:pPr>
      <w:numPr>
        <w:numId w:val="5"/>
      </w:numPr>
    </w:pPr>
  </w:style>
  <w:style w:type="paragraph" w:styleId="ListNumber4">
    <w:name w:val="List Number 4"/>
    <w:basedOn w:val="List4"/>
    <w:rsid w:val="009E6EC0"/>
    <w:pPr>
      <w:numPr>
        <w:numId w:val="6"/>
      </w:numPr>
    </w:pPr>
  </w:style>
  <w:style w:type="paragraph" w:styleId="ListNumber5">
    <w:name w:val="List Number 5"/>
    <w:basedOn w:val="List5"/>
    <w:rsid w:val="009E6EC0"/>
    <w:pPr>
      <w:numPr>
        <w:numId w:val="7"/>
      </w:numPr>
    </w:pPr>
  </w:style>
  <w:style w:type="paragraph" w:styleId="BlockText">
    <w:name w:val="Block Text"/>
    <w:basedOn w:val="Normal"/>
    <w:rsid w:val="009E6EC0"/>
    <w:pPr>
      <w:spacing w:after="120"/>
      <w:ind w:left="1440" w:right="1440"/>
    </w:pPr>
  </w:style>
  <w:style w:type="character" w:customStyle="1" w:styleId="Subscript">
    <w:name w:val="Subscript"/>
    <w:basedOn w:val="DefaultParagraphFont"/>
    <w:rsid w:val="009E6EC0"/>
    <w:rPr>
      <w:sz w:val="16"/>
      <w:vertAlign w:val="subscript"/>
    </w:rPr>
  </w:style>
  <w:style w:type="character" w:customStyle="1" w:styleId="Superscript">
    <w:name w:val="Superscript"/>
    <w:basedOn w:val="DefaultParagraphFont"/>
    <w:rsid w:val="009E6EC0"/>
    <w:rPr>
      <w:sz w:val="16"/>
      <w:vertAlign w:val="superscript"/>
    </w:rPr>
  </w:style>
  <w:style w:type="character" w:customStyle="1" w:styleId="Symbols">
    <w:name w:val="Symbols"/>
    <w:basedOn w:val="DefaultParagraphFont"/>
    <w:rsid w:val="009E6EC0"/>
    <w:rPr>
      <w:rFonts w:ascii="Symbol" w:hAnsi="Symbol"/>
    </w:rPr>
  </w:style>
  <w:style w:type="character" w:customStyle="1" w:styleId="MenuOptions">
    <w:name w:val="Menu Options"/>
    <w:basedOn w:val="DefaultParagraphFont"/>
    <w:rsid w:val="009E6EC0"/>
    <w:rPr>
      <w:rFonts w:ascii="Arial Narrow" w:hAnsi="Arial Narrow"/>
      <w:smallCaps/>
    </w:rPr>
  </w:style>
  <w:style w:type="character" w:customStyle="1" w:styleId="Buttons">
    <w:name w:val="Buttons"/>
    <w:basedOn w:val="DefaultParagraphFont"/>
    <w:rsid w:val="009E6EC0"/>
    <w:rPr>
      <w:b/>
    </w:rPr>
  </w:style>
  <w:style w:type="character" w:customStyle="1" w:styleId="Underlined">
    <w:name w:val="Underlined"/>
    <w:basedOn w:val="DefaultParagraphFont"/>
    <w:rsid w:val="009E6EC0"/>
    <w:rPr>
      <w:u w:val="single"/>
    </w:rPr>
  </w:style>
  <w:style w:type="paragraph" w:customStyle="1" w:styleId="TableBodyTextRight">
    <w:name w:val="Table Body Text Right"/>
    <w:basedOn w:val="TableBodyText"/>
    <w:rsid w:val="009E6EC0"/>
    <w:pPr>
      <w:widowControl w:val="0"/>
      <w:autoSpaceDE w:val="0"/>
      <w:autoSpaceDN w:val="0"/>
      <w:adjustRightInd w:val="0"/>
      <w:jc w:val="right"/>
    </w:pPr>
    <w:rPr>
      <w:rFonts w:cs="Arial"/>
      <w:szCs w:val="18"/>
    </w:rPr>
  </w:style>
  <w:style w:type="paragraph" w:customStyle="1" w:styleId="CopyrightText">
    <w:name w:val="Copyright Text"/>
    <w:basedOn w:val="BodyText"/>
    <w:rsid w:val="009E6EC0"/>
    <w:rPr>
      <w:sz w:val="18"/>
    </w:rPr>
  </w:style>
  <w:style w:type="paragraph" w:customStyle="1" w:styleId="BodySmallRight">
    <w:name w:val="Body Small Right"/>
    <w:basedOn w:val="BodyTextRight"/>
    <w:rsid w:val="009E6EC0"/>
    <w:rPr>
      <w:sz w:val="18"/>
      <w:szCs w:val="18"/>
    </w:rPr>
  </w:style>
  <w:style w:type="paragraph" w:customStyle="1" w:styleId="MarginEdition">
    <w:name w:val="Margin Edition"/>
    <w:basedOn w:val="MarginNote"/>
    <w:rsid w:val="009E6EC0"/>
    <w:pPr>
      <w:spacing w:before="0" w:after="0"/>
    </w:pPr>
    <w:rPr>
      <w:rFonts w:ascii="Times New Roman" w:hAnsi="Times New Roman"/>
      <w:color w:val="999999"/>
    </w:rPr>
  </w:style>
  <w:style w:type="paragraph" w:customStyle="1" w:styleId="Spacer">
    <w:name w:val="Spacer"/>
    <w:basedOn w:val="Normal"/>
    <w:rsid w:val="009E6EC0"/>
    <w:rPr>
      <w:sz w:val="2"/>
      <w:szCs w:val="2"/>
    </w:rPr>
  </w:style>
  <w:style w:type="character" w:customStyle="1" w:styleId="Small">
    <w:name w:val="Small"/>
    <w:basedOn w:val="DefaultParagraphFont"/>
    <w:rsid w:val="009E6EC0"/>
    <w:rPr>
      <w:sz w:val="16"/>
    </w:rPr>
  </w:style>
  <w:style w:type="paragraph" w:customStyle="1" w:styleId="WideTable">
    <w:name w:val="Wide Table"/>
    <w:basedOn w:val="Normal"/>
    <w:rsid w:val="009E6EC0"/>
    <w:pPr>
      <w:ind w:left="-1418"/>
    </w:pPr>
    <w:rPr>
      <w:sz w:val="2"/>
      <w:szCs w:val="2"/>
    </w:rPr>
  </w:style>
  <w:style w:type="character" w:styleId="PageNumber">
    <w:name w:val="page number"/>
    <w:basedOn w:val="DefaultParagraphFont"/>
    <w:rsid w:val="009E6EC0"/>
  </w:style>
  <w:style w:type="paragraph" w:styleId="Quote">
    <w:name w:val="Quote"/>
    <w:basedOn w:val="Heading1"/>
    <w:link w:val="QuoteChar"/>
    <w:qFormat/>
    <w:rsid w:val="009E6EC0"/>
    <w:rPr>
      <w:b w:val="0"/>
      <w:sz w:val="72"/>
      <w:szCs w:val="72"/>
      <w:lang w:val="en-NZ"/>
    </w:rPr>
  </w:style>
  <w:style w:type="character" w:customStyle="1" w:styleId="QuoteChar">
    <w:name w:val="Quote Char"/>
    <w:basedOn w:val="DefaultParagraphFont"/>
    <w:link w:val="Quote"/>
    <w:rsid w:val="009E6E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6EC0"/>
    <w:pPr>
      <w:pageBreakBefore/>
    </w:pPr>
  </w:style>
  <w:style w:type="paragraph" w:customStyle="1" w:styleId="Border">
    <w:name w:val="Border"/>
    <w:basedOn w:val="Normal"/>
    <w:qFormat/>
    <w:rsid w:val="009E6E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6EC0"/>
    <w:rPr>
      <w:b/>
      <w:bCs/>
      <w:i/>
      <w:iCs/>
      <w:color w:val="auto"/>
    </w:rPr>
  </w:style>
  <w:style w:type="paragraph" w:styleId="IntenseQuote">
    <w:name w:val="Intense Quote"/>
    <w:basedOn w:val="Normal"/>
    <w:next w:val="Normal"/>
    <w:link w:val="IntenseQuoteChar"/>
    <w:uiPriority w:val="30"/>
    <w:qFormat/>
    <w:rsid w:val="009E6E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6E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6EC0"/>
    <w:rPr>
      <w:smallCaps/>
      <w:color w:val="auto"/>
      <w:u w:val="single"/>
    </w:rPr>
  </w:style>
  <w:style w:type="character" w:styleId="IntenseReference">
    <w:name w:val="Intense Reference"/>
    <w:basedOn w:val="DefaultParagraphFont"/>
    <w:uiPriority w:val="32"/>
    <w:qFormat/>
    <w:rsid w:val="009E6EC0"/>
    <w:rPr>
      <w:b/>
      <w:bCs/>
      <w:smallCaps/>
      <w:color w:val="auto"/>
      <w:spacing w:val="5"/>
      <w:u w:val="single"/>
    </w:rPr>
  </w:style>
  <w:style w:type="paragraph" w:customStyle="1" w:styleId="2ColumnHeading">
    <w:name w:val="2Column Heading"/>
    <w:basedOn w:val="BodyText"/>
    <w:qFormat/>
    <w:rsid w:val="009E6EC0"/>
    <w:pPr>
      <w:spacing w:after="60"/>
      <w:ind w:left="-2268"/>
    </w:pPr>
    <w:rPr>
      <w:b/>
    </w:rPr>
  </w:style>
  <w:style w:type="paragraph" w:customStyle="1" w:styleId="Heading1TOC">
    <w:name w:val="Heading1 TOC"/>
    <w:basedOn w:val="Normal"/>
    <w:qFormat/>
    <w:rsid w:val="009E6EC0"/>
    <w:pPr>
      <w:spacing w:before="240" w:after="120"/>
    </w:pPr>
    <w:rPr>
      <w:rFonts w:ascii="Times New Roman" w:hAnsi="Times New Roman"/>
      <w:b/>
      <w:sz w:val="32"/>
    </w:rPr>
  </w:style>
  <w:style w:type="paragraph" w:customStyle="1" w:styleId="Heading2TOC">
    <w:name w:val="Heading2 TOC"/>
    <w:basedOn w:val="Normal"/>
    <w:qFormat/>
    <w:rsid w:val="009E6EC0"/>
    <w:pPr>
      <w:spacing w:before="240" w:after="60"/>
    </w:pPr>
    <w:rPr>
      <w:rFonts w:ascii="Times New Roman" w:hAnsi="Times New Roman"/>
      <w:b/>
      <w:sz w:val="28"/>
    </w:rPr>
  </w:style>
  <w:style w:type="character" w:customStyle="1" w:styleId="Underline">
    <w:name w:val="Underline"/>
    <w:basedOn w:val="DefaultParagraphFont"/>
    <w:qFormat/>
    <w:rsid w:val="009E6EC0"/>
    <w:rPr>
      <w:u w:val="single"/>
    </w:rPr>
  </w:style>
  <w:style w:type="character" w:customStyle="1" w:styleId="BoldandItalics">
    <w:name w:val="Bold and Italics"/>
    <w:qFormat/>
    <w:rsid w:val="009E6EC0"/>
    <w:rPr>
      <w:b/>
      <w:i/>
      <w:u w:val="none"/>
    </w:rPr>
  </w:style>
  <w:style w:type="paragraph" w:styleId="BalloonText">
    <w:name w:val="Balloon Text"/>
    <w:basedOn w:val="Normal"/>
    <w:link w:val="BalloonTextChar"/>
    <w:rsid w:val="009E6EC0"/>
    <w:rPr>
      <w:rFonts w:ascii="Tahoma" w:hAnsi="Tahoma" w:cs="Tahoma"/>
      <w:sz w:val="16"/>
      <w:szCs w:val="16"/>
    </w:rPr>
  </w:style>
  <w:style w:type="character" w:customStyle="1" w:styleId="BalloonTextChar">
    <w:name w:val="Balloon Text Char"/>
    <w:basedOn w:val="DefaultParagraphFont"/>
    <w:link w:val="BalloonText"/>
    <w:rsid w:val="009E6E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6E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6E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6EC0"/>
    <w:rPr>
      <w:b/>
      <w:color w:val="660033"/>
      <w:spacing w:val="0"/>
    </w:rPr>
  </w:style>
  <w:style w:type="paragraph" w:customStyle="1" w:styleId="Nameditemlist">
    <w:name w:val="Named item list"/>
    <w:basedOn w:val="BodyText"/>
    <w:qFormat/>
    <w:rsid w:val="009E6EC0"/>
    <w:pPr>
      <w:tabs>
        <w:tab w:val="left" w:pos="2835"/>
      </w:tabs>
      <w:ind w:left="2835" w:hanging="2835"/>
    </w:pPr>
  </w:style>
  <w:style w:type="paragraph" w:customStyle="1" w:styleId="BodyTextnopadding">
    <w:name w:val="Body Text no padding"/>
    <w:basedOn w:val="BodyText"/>
    <w:qFormat/>
    <w:rsid w:val="009E6EC0"/>
    <w:pPr>
      <w:spacing w:before="0" w:after="0"/>
    </w:pPr>
  </w:style>
  <w:style w:type="paragraph" w:customStyle="1" w:styleId="BodyTextBold">
    <w:name w:val="Body Text Bold"/>
    <w:basedOn w:val="BodyText"/>
    <w:qFormat/>
    <w:rsid w:val="009E6EC0"/>
    <w:rPr>
      <w:b/>
    </w:rPr>
  </w:style>
  <w:style w:type="character" w:styleId="Hyperlink">
    <w:name w:val="Hyperlink"/>
    <w:basedOn w:val="DefaultParagraphFont"/>
    <w:uiPriority w:val="99"/>
    <w:unhideWhenUsed/>
    <w:rsid w:val="005A2E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2027</Words>
  <Characters>12774</Characters>
  <Application>Microsoft Office Word</Application>
  <DocSecurity>0</DocSecurity>
  <Lines>425</Lines>
  <Paragraphs>290</Paragraphs>
  <ScaleCrop>false</ScaleCrop>
  <Company>Author-it Software Corporation Ltd.</Company>
  <LinksUpToDate>false</LinksUpToDate>
  <CharactersWithSpaces>14511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PMASMELT269 Operate cell tending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2025-03-01T21:10:00Z</dcterms:created>
  <dcterms:modified xsi:type="dcterms:W3CDTF">2025-03-01T21:10:00Z</dcterms:modified>
</cp:coreProperties>
</file>