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6C5" w:rsidP="005E0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PMAOPS755 Provide surface coatings application advice</w:t>
      </w:r>
      <w:r>
        <w:fldChar w:fldCharType="end"/>
      </w:r>
    </w:p>
    <w:p w:rsidR="005E06C5" w:rsidP="005E06C5">
      <w:pPr>
        <w:pStyle w:val="Version"/>
        <w:sectPr w:rsidSect="000F0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C6A" w:rsidP="000F0C6A">
      <w:pPr>
        <w:pStyle w:val="SuperHeading"/>
      </w:pPr>
      <w:r w:rsidRPr="000F0C6A">
        <w:t>Assessment Requirements for PMAOPS755 Provide surface coatings application advice</w:t>
      </w:r>
    </w:p>
    <w:p w:rsidR="00000000" w:rsidRPr="000F0C6A" w:rsidP="000F0C6A">
      <w:pPr>
        <w:pStyle w:val="Heading1"/>
      </w:pPr>
      <w:bookmarkStart w:id="1" w:name="O_908673"/>
      <w:bookmarkEnd w:id="1"/>
      <w:r w:rsidRPr="000F0C6A">
        <w:t>Modification History</w:t>
      </w:r>
    </w:p>
    <w:p w:rsidR="00000000" w:rsidRPr="000F0C6A" w:rsidP="005E06C5">
      <w:pPr>
        <w:pStyle w:val="BodyText"/>
      </w:pPr>
      <w:r w:rsidRPr="000F0C6A">
        <w:t>Release 1. Supersedes and is equivalent to PMAOPS755A Provide surface coatings application advice</w:t>
      </w:r>
    </w:p>
    <w:p w:rsidR="00000000" w:rsidRPr="000F0C6A" w:rsidP="000F0C6A">
      <w:pPr>
        <w:pStyle w:val="Heading1"/>
      </w:pPr>
      <w:bookmarkStart w:id="2" w:name="O_908676"/>
      <w:bookmarkEnd w:id="2"/>
      <w:r w:rsidRPr="000F0C6A">
        <w:t>Performance Evidence</w:t>
      </w:r>
    </w:p>
    <w:p w:rsidR="00000000" w:rsidRPr="000F0C6A" w:rsidP="005E06C5">
      <w:pPr>
        <w:pStyle w:val="BodyText"/>
      </w:pPr>
      <w:r w:rsidRPr="000F0C6A">
        <w:t>Evidence required to demonstrate competence in this unit must be relevant to and satisfy the requirements of the elements and performance criteria, and include the ability to:</w:t>
      </w:r>
    </w:p>
    <w:p w:rsidR="00000000" w:rsidRPr="000F0C6A" w:rsidP="000F0C6A">
      <w:pPr>
        <w:pStyle w:val="ListBullet"/>
      </w:pPr>
      <w:r w:rsidRPr="000F0C6A">
        <w:t>recommend an appropriate coating system</w:t>
      </w:r>
    </w:p>
    <w:p w:rsidR="00000000" w:rsidRPr="000F0C6A" w:rsidP="000F0C6A">
      <w:pPr>
        <w:pStyle w:val="ListBullet"/>
      </w:pPr>
      <w:r w:rsidRPr="000F0C6A">
        <w:t>recommend preparation and application t</w:t>
      </w:r>
      <w:r w:rsidRPr="000F0C6A">
        <w:t>echniques</w:t>
      </w:r>
    </w:p>
    <w:p w:rsidR="00000000" w:rsidRPr="000F0C6A" w:rsidP="000F0C6A">
      <w:pPr>
        <w:pStyle w:val="ListBullet"/>
      </w:pPr>
      <w:r w:rsidRPr="000F0C6A">
        <w:t>analyse surface coating problems, analyse for cause of problem and recommend a coating, and method of preparation and application.</w:t>
      </w:r>
    </w:p>
    <w:p w:rsidR="00000000" w:rsidRPr="000F0C6A" w:rsidP="000F0C6A">
      <w:pPr>
        <w:pStyle w:val="AllowPageBreak"/>
      </w:pPr>
    </w:p>
    <w:p w:rsidR="00000000" w:rsidRPr="000F0C6A" w:rsidP="000F0C6A">
      <w:pPr>
        <w:pStyle w:val="Heading1"/>
      </w:pPr>
      <w:bookmarkStart w:id="3" w:name="O_908675"/>
      <w:bookmarkEnd w:id="3"/>
      <w:r w:rsidRPr="000F0C6A">
        <w:t>Knowledge Evidence</w:t>
      </w:r>
    </w:p>
    <w:p w:rsidR="00000000" w:rsidRPr="000F0C6A" w:rsidP="005E06C5">
      <w:pPr>
        <w:pStyle w:val="BodyText"/>
      </w:pPr>
      <w:r w:rsidRPr="000F0C6A">
        <w:t>Evidence must be provided that demonstrates knowledge of:</w:t>
      </w:r>
    </w:p>
    <w:p w:rsidR="00000000" w:rsidRPr="000F0C6A" w:rsidP="000F0C6A">
      <w:pPr>
        <w:pStyle w:val="ListBullet"/>
      </w:pPr>
      <w:r w:rsidRPr="000F0C6A">
        <w:t>types and applicatio</w:t>
      </w:r>
      <w:r w:rsidRPr="000F0C6A">
        <w:t>n of application methods and application equipment (e.g. brush, roller, paint pad, various spray applications, electrostatic, dip, hot melt, flow coating and powder coating)</w:t>
      </w:r>
    </w:p>
    <w:p w:rsidR="00000000" w:rsidRPr="000F0C6A" w:rsidP="000F0C6A">
      <w:pPr>
        <w:pStyle w:val="ListBullet"/>
      </w:pPr>
      <w:r w:rsidRPr="000F0C6A">
        <w:t>impact of atmospheric conditions (i.e. temperature, humidity and dew point)</w:t>
      </w:r>
    </w:p>
    <w:p w:rsidR="00000000" w:rsidRPr="000F0C6A" w:rsidP="000F0C6A">
      <w:pPr>
        <w:pStyle w:val="ListBullet"/>
      </w:pPr>
      <w:r w:rsidRPr="000F0C6A">
        <w:t>effect</w:t>
      </w:r>
      <w:r w:rsidRPr="000F0C6A">
        <w:t xml:space="preserve">s of shear in surface coatings, characteristics of shear rates and their importance in coating application </w:t>
      </w:r>
    </w:p>
    <w:p w:rsidR="00000000" w:rsidRPr="000F0C6A" w:rsidP="000F0C6A">
      <w:pPr>
        <w:pStyle w:val="ListBullet"/>
      </w:pPr>
      <w:r w:rsidRPr="000F0C6A">
        <w:t>the potential effects of climate and other environmental influences on both the coating and substrate</w:t>
      </w:r>
    </w:p>
    <w:p w:rsidR="00000000" w:rsidRPr="000F0C6A" w:rsidP="000F0C6A">
      <w:pPr>
        <w:pStyle w:val="ListBullet"/>
      </w:pPr>
      <w:r w:rsidRPr="000F0C6A">
        <w:t>specific service conditions, such as impact, a</w:t>
      </w:r>
      <w:r w:rsidRPr="000F0C6A">
        <w:t>brasion and general wear and tear and their effect on the final coating</w:t>
      </w:r>
    </w:p>
    <w:p w:rsidR="00000000" w:rsidRPr="000F0C6A" w:rsidP="000F0C6A">
      <w:pPr>
        <w:pStyle w:val="ListBullet"/>
      </w:pPr>
      <w:r w:rsidRPr="000F0C6A">
        <w:t xml:space="preserve">preparation methods for common substrates </w:t>
      </w:r>
    </w:p>
    <w:p w:rsidR="00000000" w:rsidRPr="000F0C6A" w:rsidP="000F0C6A">
      <w:pPr>
        <w:pStyle w:val="ListBullet"/>
      </w:pPr>
      <w:r w:rsidRPr="000F0C6A">
        <w:t>methods than can be used to prevent paint defects in both wet and dry film defects</w:t>
      </w:r>
    </w:p>
    <w:p w:rsidR="00000000" w:rsidRPr="000F0C6A" w:rsidP="000F0C6A">
      <w:pPr>
        <w:pStyle w:val="ListBullet"/>
      </w:pPr>
      <w:r w:rsidRPr="000F0C6A">
        <w:t>different types of test procedures and test equipment</w:t>
      </w:r>
    </w:p>
    <w:p w:rsidR="00000000" w:rsidRPr="000F0C6A" w:rsidP="000F0C6A">
      <w:pPr>
        <w:pStyle w:val="ListBullet"/>
      </w:pPr>
      <w:r w:rsidRPr="000F0C6A">
        <w:t>impa</w:t>
      </w:r>
      <w:r w:rsidRPr="000F0C6A">
        <w:t>ct of the final coating if substrate preparation not adequate</w:t>
      </w:r>
    </w:p>
    <w:p w:rsidR="00000000" w:rsidRPr="000F0C6A" w:rsidP="000F0C6A">
      <w:pPr>
        <w:pStyle w:val="ListBullet"/>
      </w:pPr>
      <w:r w:rsidRPr="000F0C6A">
        <w:t>problems that may arise if incorrect equipment is recommended</w:t>
      </w:r>
    </w:p>
    <w:p w:rsidR="00000000" w:rsidRPr="000F0C6A" w:rsidP="000F0C6A">
      <w:pPr>
        <w:pStyle w:val="ListBullet"/>
      </w:pPr>
      <w:r w:rsidRPr="000F0C6A">
        <w:t>the reasons for compliance coatings</w:t>
      </w:r>
    </w:p>
    <w:p w:rsidR="00000000" w:rsidRPr="000F0C6A" w:rsidP="000F0C6A">
      <w:pPr>
        <w:pStyle w:val="ListBullet"/>
      </w:pPr>
      <w:r w:rsidRPr="000F0C6A">
        <w:t>problems that may arise if incorrect coating is recommended</w:t>
      </w:r>
    </w:p>
    <w:p w:rsidR="00000000" w:rsidRPr="000F0C6A" w:rsidP="000F0C6A">
      <w:pPr>
        <w:pStyle w:val="ListBullet"/>
      </w:pPr>
      <w:r w:rsidRPr="000F0C6A">
        <w:t>the effect of rheology on surface coatings</w:t>
      </w:r>
    </w:p>
    <w:p w:rsidR="00000000" w:rsidRPr="000F0C6A" w:rsidP="000F0C6A">
      <w:pPr>
        <w:pStyle w:val="ListBullet"/>
      </w:pPr>
      <w:r w:rsidRPr="000F0C6A">
        <w:t>adequate tests and equipment to identify correct rheological properties</w:t>
      </w:r>
    </w:p>
    <w:p w:rsidR="00000000" w:rsidRPr="000F0C6A" w:rsidP="000F0C6A">
      <w:pPr>
        <w:pStyle w:val="ListBullet"/>
      </w:pPr>
      <w:r w:rsidRPr="000F0C6A">
        <w:t>differing types of paint defects (dry paint films/wet films)</w:t>
      </w:r>
    </w:p>
    <w:p w:rsidR="00000000" w:rsidRPr="000F0C6A" w:rsidP="000F0C6A">
      <w:pPr>
        <w:pStyle w:val="ListBullet"/>
      </w:pPr>
      <w:r w:rsidRPr="000F0C6A">
        <w:t>decorative requirements, such as colour, gloss and texture</w:t>
      </w:r>
    </w:p>
    <w:p w:rsidR="00000000" w:rsidRPr="000F0C6A" w:rsidP="000F0C6A">
      <w:pPr>
        <w:pStyle w:val="ListBullet"/>
      </w:pPr>
      <w:r w:rsidRPr="000F0C6A">
        <w:t>organisation procedur</w:t>
      </w:r>
      <w:r w:rsidRPr="000F0C6A">
        <w:t xml:space="preserve">es </w:t>
      </w:r>
    </w:p>
    <w:p w:rsidR="00000000" w:rsidRPr="000F0C6A" w:rsidP="000F0C6A">
      <w:pPr>
        <w:pStyle w:val="ListBullet"/>
      </w:pPr>
      <w:r w:rsidRPr="000F0C6A">
        <w:t>duty of care obligations</w:t>
      </w:r>
    </w:p>
    <w:p w:rsidR="00000000" w:rsidRPr="000F0C6A" w:rsidP="000F0C6A">
      <w:pPr>
        <w:pStyle w:val="ListBullet"/>
      </w:pPr>
      <w:r w:rsidRPr="000F0C6A">
        <w:t>hierarchy of control</w:t>
      </w:r>
    </w:p>
    <w:p w:rsidR="00000000" w:rsidRPr="000F0C6A" w:rsidP="000F0C6A">
      <w:pPr>
        <w:pStyle w:val="ListBullet"/>
      </w:pPr>
      <w:r w:rsidRPr="000F0C6A">
        <w:t>hazards that may arise in the job/work environment, and:</w:t>
      </w:r>
    </w:p>
    <w:p w:rsidR="00000000" w:rsidRPr="000F0C6A" w:rsidP="000F0C6A">
      <w:pPr>
        <w:pStyle w:val="ListBullet2"/>
      </w:pPr>
      <w:r w:rsidRPr="000F0C6A">
        <w:t xml:space="preserve">their possible causes </w:t>
      </w:r>
    </w:p>
    <w:p w:rsidR="00000000" w:rsidRPr="000F0C6A" w:rsidP="000F0C6A">
      <w:pPr>
        <w:pStyle w:val="ListBullet2"/>
      </w:pPr>
      <w:r w:rsidRPr="000F0C6A">
        <w:t>potential consequences</w:t>
      </w:r>
    </w:p>
    <w:p w:rsidR="00000000" w:rsidRPr="000F0C6A" w:rsidP="000F0C6A">
      <w:pPr>
        <w:pStyle w:val="ListBullet2"/>
      </w:pPr>
      <w:r w:rsidRPr="000F0C6A">
        <w:t>appropriate risk controls.</w:t>
      </w:r>
    </w:p>
    <w:p w:rsidR="00000000" w:rsidRPr="000F0C6A" w:rsidP="000F0C6A">
      <w:pPr>
        <w:pStyle w:val="AllowPageBreak"/>
      </w:pPr>
    </w:p>
    <w:p w:rsidR="00000000" w:rsidRPr="000F0C6A" w:rsidP="000F0C6A">
      <w:pPr>
        <w:pStyle w:val="Heading1"/>
      </w:pPr>
      <w:bookmarkStart w:id="4" w:name="O_908674"/>
      <w:bookmarkEnd w:id="4"/>
      <w:r w:rsidRPr="000F0C6A">
        <w:t>Assessment Conditions</w:t>
      </w:r>
    </w:p>
    <w:p w:rsidR="00000000" w:rsidRPr="000F0C6A" w:rsidP="000F0C6A">
      <w:pPr>
        <w:pStyle w:val="ListBullet"/>
      </w:pPr>
      <w:r w:rsidRPr="000F0C6A">
        <w:t>The unit should be assessed holistically and the judgement of competence based on a holistic assessment of the evidence.</w:t>
      </w:r>
    </w:p>
    <w:p w:rsidR="00000000" w:rsidRPr="000F0C6A" w:rsidP="000F0C6A">
      <w:pPr>
        <w:pStyle w:val="ListBullet"/>
      </w:pPr>
      <w:r w:rsidRPr="000F0C6A">
        <w:t>The collection of performance evidence:</w:t>
      </w:r>
    </w:p>
    <w:p w:rsidR="00000000" w:rsidRPr="000F0C6A" w:rsidP="000F0C6A">
      <w:pPr>
        <w:pStyle w:val="ListBullet2"/>
      </w:pPr>
      <w:r w:rsidRPr="000F0C6A">
        <w:t>should occur over a range of situations which include typical disruptions to normal, smooth op</w:t>
      </w:r>
      <w:r w:rsidRPr="000F0C6A">
        <w:t xml:space="preserve">erations </w:t>
      </w:r>
    </w:p>
    <w:p w:rsidR="00000000" w:rsidRPr="000F0C6A" w:rsidP="000F0C6A">
      <w:pPr>
        <w:pStyle w:val="ListBullet2"/>
      </w:pPr>
      <w:r w:rsidRPr="000F0C6A">
        <w:t>will typically include a supervisor/third-party report focusing on consistent performance and problem recognition and solving. A supervisor/third-party report must be prepared by someone who has a direct, relevant, current relationship with the p</w:t>
      </w:r>
      <w:r w:rsidRPr="000F0C6A">
        <w:t xml:space="preserve">erson being assessed and who is in a position to form a judgement on workplace performance relevant to the unit of competency </w:t>
      </w:r>
    </w:p>
    <w:p w:rsidR="00000000" w:rsidRPr="000F0C6A" w:rsidP="000F0C6A">
      <w:pPr>
        <w:pStyle w:val="ListBullet2"/>
      </w:pPr>
      <w:r w:rsidRPr="000F0C6A">
        <w:t>must include the use of appropriate tools, equipment and safety gear requiring demonstration of preparation, operation, completio</w:t>
      </w:r>
      <w:r w:rsidRPr="000F0C6A">
        <w:t>n and responding to problems</w:t>
      </w:r>
    </w:p>
    <w:p w:rsidR="00000000" w:rsidRPr="000F0C6A" w:rsidP="000F0C6A">
      <w:pPr>
        <w:pStyle w:val="ListBullet2"/>
      </w:pPr>
      <w:r w:rsidRPr="000F0C6A">
        <w:t>may use industry-based simulation for all or part of the unit particularly where safety, lack of opportunity or significant cost is an issue.</w:t>
      </w:r>
    </w:p>
    <w:p w:rsidR="00000000" w:rsidRPr="000F0C6A" w:rsidP="000F0C6A">
      <w:pPr>
        <w:pStyle w:val="ListBullet"/>
      </w:pPr>
      <w:r w:rsidRPr="000F0C6A">
        <w:t>Assessment should occur in operational workplace situations. Where this is not possi</w:t>
      </w:r>
      <w:r w:rsidRPr="000F0C6A">
        <w:t xml:space="preserve">ble, or where personal safety or environmental damage are limiting factors, assessment must occur in a sufficiently rigorous simulated environment reflecting realistic operational workplace conditions. This must cover all aspects of workplace performance, </w:t>
      </w:r>
      <w:r w:rsidRPr="000F0C6A">
        <w:t xml:space="preserve">including environment, task skills, task management skills, contingency management skills and job role environment skills. </w:t>
      </w:r>
    </w:p>
    <w:p w:rsidR="00000000" w:rsidRPr="000F0C6A" w:rsidP="000F0C6A">
      <w:pPr>
        <w:pStyle w:val="ListBullet"/>
      </w:pPr>
      <w:r w:rsidRPr="000F0C6A">
        <w:t xml:space="preserve">Assessment in a simulated environment should use evidence collected from one or more of: </w:t>
      </w:r>
    </w:p>
    <w:p w:rsidR="00000000" w:rsidRPr="000F0C6A" w:rsidP="000F0C6A">
      <w:pPr>
        <w:pStyle w:val="ListBullet2"/>
      </w:pPr>
      <w:r w:rsidRPr="000F0C6A">
        <w:t>walk-throughs</w:t>
      </w:r>
    </w:p>
    <w:p w:rsidR="00000000" w:rsidRPr="000F0C6A" w:rsidP="000F0C6A">
      <w:pPr>
        <w:pStyle w:val="ListBullet2"/>
      </w:pPr>
      <w:r w:rsidRPr="000F0C6A">
        <w:t xml:space="preserve">pilot plant operation </w:t>
      </w:r>
    </w:p>
    <w:p w:rsidR="00000000" w:rsidRPr="000F0C6A" w:rsidP="000F0C6A">
      <w:pPr>
        <w:pStyle w:val="ListBullet2"/>
      </w:pPr>
      <w:r w:rsidRPr="000F0C6A">
        <w:t>demo</w:t>
      </w:r>
      <w:r w:rsidRPr="000F0C6A">
        <w:t xml:space="preserve">nstration of skills </w:t>
      </w:r>
    </w:p>
    <w:p w:rsidR="00000000" w:rsidRPr="000F0C6A" w:rsidP="000F0C6A">
      <w:pPr>
        <w:pStyle w:val="ListBullet2"/>
      </w:pPr>
      <w:r w:rsidRPr="000F0C6A">
        <w:t xml:space="preserve">industry-based case studies/scenarios </w:t>
      </w:r>
    </w:p>
    <w:p w:rsidR="00000000" w:rsidRPr="000F0C6A" w:rsidP="000F0C6A">
      <w:pPr>
        <w:pStyle w:val="ListBullet2"/>
      </w:pPr>
      <w:r w:rsidRPr="000F0C6A">
        <w:t>‘what ifs’.</w:t>
      </w:r>
    </w:p>
    <w:p w:rsidR="00000000" w:rsidRPr="000F0C6A" w:rsidP="000F0C6A">
      <w:pPr>
        <w:pStyle w:val="ListBullet"/>
      </w:pPr>
      <w:r w:rsidRPr="000F0C6A">
        <w:t xml:space="preserve">Knowledge evidence may be collected concurrently with performance evidence (provided a </w:t>
      </w:r>
      <w:r w:rsidRPr="000F0C6A">
        <w:t>record is kept) or through an independent process, such as workbooks, written assessments or interviews (provided a record is kept).</w:t>
      </w:r>
    </w:p>
    <w:p w:rsidR="00000000" w:rsidRPr="000F0C6A" w:rsidP="000F0C6A">
      <w:pPr>
        <w:pStyle w:val="ListBullet"/>
      </w:pPr>
      <w:r w:rsidRPr="000F0C6A">
        <w:t>Assessment processes and techniques must be appropriate to the language, literacy and numeracy requirements of the work bei</w:t>
      </w:r>
      <w:r w:rsidRPr="000F0C6A">
        <w:t>ng performed and the needs of the candidate.</w:t>
      </w:r>
    </w:p>
    <w:p w:rsidR="00000000" w:rsidRPr="000F0C6A" w:rsidP="000F0C6A">
      <w:pPr>
        <w:pStyle w:val="ListBullet"/>
      </w:pPr>
      <w:r w:rsidRPr="000F0C6A">
        <w:t>Conditions for assessment must include access to all tools, equipment, materials and documentation required, including relevant workplace procedures, product and manufacturing specifications associated with this</w:t>
      </w:r>
      <w:r w:rsidRPr="000F0C6A">
        <w:t xml:space="preserve"> unit.</w:t>
      </w:r>
    </w:p>
    <w:p w:rsidR="00000000" w:rsidRPr="000F0C6A" w:rsidP="000F0C6A">
      <w:pPr>
        <w:pStyle w:val="ListBullet"/>
      </w:pPr>
      <w:r w:rsidRPr="000F0C6A">
        <w:t>The regulatory framework will be reflected in workplace policies and procedures and is not required to be independently assessed.</w:t>
      </w:r>
    </w:p>
    <w:p w:rsidR="00000000" w:rsidRPr="000F0C6A" w:rsidP="000F0C6A">
      <w:pPr>
        <w:pStyle w:val="ListBullet"/>
      </w:pPr>
      <w:r w:rsidRPr="000F0C6A">
        <w:t>Foundation skills are integral to competent performance of the unit and should not be assessed separately.</w:t>
      </w:r>
    </w:p>
    <w:p w:rsidR="00000000" w:rsidRPr="000F0C6A" w:rsidP="000F0C6A">
      <w:pPr>
        <w:pStyle w:val="ListBullet"/>
      </w:pPr>
      <w:r w:rsidRPr="000F0C6A">
        <w:t>Assessors mu</w:t>
      </w:r>
      <w:r w:rsidRPr="000F0C6A">
        <w:t>st satisfy the assessor competency requirements that are in place at the time of the assessment as set by the VET regulator.</w:t>
      </w:r>
    </w:p>
    <w:p w:rsidR="00000000" w:rsidRPr="000F0C6A" w:rsidP="000F0C6A">
      <w:pPr>
        <w:pStyle w:val="ListBullet"/>
      </w:pPr>
      <w:r w:rsidRPr="000F0C6A">
        <w:t>In addition, the assessor or anyone acting in subject matter expert role in assessment must demonstrate both technical competency a</w:t>
      </w:r>
      <w:r w:rsidRPr="000F0C6A">
        <w:t xml:space="preserve">nd currency. If the assessor cannot demonstrate technical competency and currency they must assess with a subject matter expert who does meet these requirements. </w:t>
      </w:r>
    </w:p>
    <w:p w:rsidR="00000000" w:rsidRPr="000F0C6A" w:rsidP="000F0C6A">
      <w:pPr>
        <w:pStyle w:val="ListBullet"/>
      </w:pPr>
      <w:r w:rsidRPr="000F0C6A">
        <w:t>Technical competence can be demonstrated through one or more of:</w:t>
      </w:r>
    </w:p>
    <w:p w:rsidR="00000000" w:rsidRPr="000F0C6A" w:rsidP="000F0C6A">
      <w:pPr>
        <w:pStyle w:val="ListBullet2"/>
      </w:pPr>
      <w:r w:rsidRPr="000F0C6A">
        <w:t>relevant VET or other quali</w:t>
      </w:r>
      <w:r w:rsidRPr="000F0C6A">
        <w:t xml:space="preserve">fication/Statement of Attainment </w:t>
      </w:r>
    </w:p>
    <w:p w:rsidR="00000000" w:rsidRPr="000F0C6A" w:rsidP="000F0C6A">
      <w:pPr>
        <w:pStyle w:val="ListBullet2"/>
      </w:pPr>
      <w:r w:rsidRPr="000F0C6A">
        <w:t xml:space="preserve">appropriate workplace experience undertaking the type of work being assessed under routine and non-routine conditions </w:t>
      </w:r>
    </w:p>
    <w:p w:rsidR="00000000" w:rsidRPr="000F0C6A" w:rsidP="000F0C6A">
      <w:pPr>
        <w:pStyle w:val="ListBullet2"/>
      </w:pPr>
      <w:r w:rsidRPr="000F0C6A">
        <w:t>appropriate workplace experience supervising/evaluating the type of work being assessed under routine a</w:t>
      </w:r>
      <w:r w:rsidRPr="000F0C6A">
        <w:t>nd non-routine conditions</w:t>
      </w:r>
    </w:p>
    <w:p w:rsidR="00000000" w:rsidRPr="000F0C6A" w:rsidP="000F0C6A">
      <w:pPr>
        <w:pStyle w:val="ListBullet"/>
      </w:pPr>
      <w:r w:rsidRPr="000F0C6A">
        <w:t>Currency can be demonstrated through one or more of:</w:t>
      </w:r>
    </w:p>
    <w:p w:rsidR="00000000" w:rsidRPr="000F0C6A" w:rsidP="000F0C6A">
      <w:pPr>
        <w:pStyle w:val="ListBullet2"/>
      </w:pPr>
      <w:r w:rsidRPr="000F0C6A">
        <w:t xml:space="preserve">being currently employed undertaking the type of work being assessed </w:t>
      </w:r>
    </w:p>
    <w:p w:rsidR="00000000" w:rsidRPr="000F0C6A" w:rsidP="000F0C6A">
      <w:pPr>
        <w:pStyle w:val="ListBullet2"/>
      </w:pPr>
      <w:r w:rsidRPr="000F0C6A">
        <w:t>being employed by the organisation undertaking the type of work being assessed and having maintained curr</w:t>
      </w:r>
      <w:r w:rsidRPr="000F0C6A">
        <w:t xml:space="preserve">ency in accordance with that organisation’s policies and procedures </w:t>
      </w:r>
    </w:p>
    <w:p w:rsidR="00000000" w:rsidRPr="000F0C6A" w:rsidP="000F0C6A">
      <w:pPr>
        <w:pStyle w:val="ListBullet2"/>
      </w:pPr>
      <w:r w:rsidRPr="000F0C6A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0F0C6A" w:rsidP="000F0C6A">
      <w:pPr>
        <w:pStyle w:val="ListBullet2"/>
      </w:pPr>
      <w:r w:rsidRPr="000F0C6A">
        <w:t xml:space="preserve">conducting on-the-job training/assessments of the type of work being assessed </w:t>
      </w:r>
    </w:p>
    <w:p w:rsidR="00000000" w:rsidRPr="000F0C6A" w:rsidP="000F0C6A">
      <w:pPr>
        <w:pStyle w:val="ListBullet2"/>
      </w:pPr>
      <w:r w:rsidRPr="000F0C6A">
        <w:t>being an active member of a relevant professional body and participating in activities relevant to the assessment of this type of work</w:t>
      </w:r>
    </w:p>
    <w:p w:rsidR="00000000" w:rsidRPr="000F0C6A" w:rsidP="000F0C6A">
      <w:pPr>
        <w:pStyle w:val="AllowPageBreak"/>
      </w:pPr>
    </w:p>
    <w:p w:rsidR="00000000" w:rsidRPr="000F0C6A" w:rsidP="000F0C6A">
      <w:pPr>
        <w:pStyle w:val="Heading1"/>
      </w:pPr>
      <w:bookmarkStart w:id="5" w:name="O_908672"/>
      <w:bookmarkEnd w:id="5"/>
      <w:r w:rsidRPr="000F0C6A">
        <w:t>Links</w:t>
      </w:r>
    </w:p>
    <w:p w:rsidR="00000000" w:rsidRPr="000F0C6A" w:rsidP="005E06C5">
      <w:pPr>
        <w:pStyle w:val="BodyText"/>
      </w:pPr>
      <w:r w:rsidRPr="000F0C6A">
        <w:t>Companion Volume im</w:t>
      </w:r>
      <w:r w:rsidRPr="000F0C6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A757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F0C6A" w:rsidP="000F0C6A"/>
    <w:sectPr w:rsidSect="000F0C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6A" w:rsidRPr="005E06C5" w:rsidP="005E0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C5" w:rsidP="000F0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6C5" w:rsidP="000F0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06C5" w:rsidP="000F0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C6A" w:rsidRPr="005E06C5" w:rsidP="005E0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C5" w:rsidRPr="002D2AF8" w:rsidP="000F0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PMAOPS755 Provide surface coatings application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5E06C5" w:rsidP="000F0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E68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C60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0452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C6A"/>
  </w:style>
  <w:style w:type="character" w:customStyle="1" w:styleId="Heading1Char">
    <w:name w:val="Heading 1 Char"/>
    <w:basedOn w:val="DefaultParagraphFont"/>
    <w:link w:val="Heading1"/>
    <w:rsid w:val="000F0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C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0C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C6A"/>
    <w:rPr>
      <w:b/>
      <w:spacing w:val="0"/>
    </w:rPr>
  </w:style>
  <w:style w:type="paragraph" w:customStyle="1" w:styleId="SuperTitle">
    <w:name w:val="SuperTitle"/>
    <w:basedOn w:val="Title"/>
    <w:rsid w:val="000F0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C6A"/>
    <w:rPr>
      <w:i/>
    </w:rPr>
  </w:style>
  <w:style w:type="paragraph" w:styleId="Caption">
    <w:name w:val="caption"/>
    <w:basedOn w:val="BodyText"/>
    <w:next w:val="Normal"/>
    <w:qFormat/>
    <w:rsid w:val="000F0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C6A"/>
  </w:style>
  <w:style w:type="paragraph" w:styleId="TableofFigures">
    <w:name w:val="table of figures"/>
    <w:basedOn w:val="Normal"/>
    <w:next w:val="Normal"/>
    <w:semiHidden/>
    <w:rsid w:val="000F0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C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C6A"/>
    <w:rPr>
      <w:rFonts w:ascii="Wingdings" w:hAnsi="Wingdings"/>
    </w:rPr>
  </w:style>
  <w:style w:type="paragraph" w:customStyle="1" w:styleId="TableHeading">
    <w:name w:val="Table Heading"/>
    <w:basedOn w:val="HeadingBase"/>
    <w:rsid w:val="000F0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C6A"/>
    <w:rPr>
      <w:color w:val="0033CC"/>
      <w:u w:val="none"/>
    </w:rPr>
  </w:style>
  <w:style w:type="paragraph" w:customStyle="1" w:styleId="BodyTextRight">
    <w:name w:val="Body Text Right"/>
    <w:basedOn w:val="BodyText"/>
    <w:rsid w:val="000F0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C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C6A"/>
    <w:rPr>
      <w:sz w:val="32"/>
    </w:rPr>
  </w:style>
  <w:style w:type="paragraph" w:customStyle="1" w:styleId="HeadingProcedure">
    <w:name w:val="Heading Procedure"/>
    <w:basedOn w:val="HeadingBase"/>
    <w:next w:val="Normal"/>
    <w:rsid w:val="000F0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C6A"/>
    <w:pPr>
      <w:spacing w:before="60" w:after="60"/>
    </w:pPr>
  </w:style>
  <w:style w:type="paragraph" w:styleId="ListContinue">
    <w:name w:val="List Continue"/>
    <w:basedOn w:val="List"/>
    <w:rsid w:val="000F0C6A"/>
    <w:pPr>
      <w:ind w:firstLine="0"/>
    </w:pPr>
  </w:style>
  <w:style w:type="paragraph" w:customStyle="1" w:styleId="ListNote">
    <w:name w:val="List Note"/>
    <w:basedOn w:val="List"/>
    <w:rsid w:val="000F0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C6A"/>
    <w:rPr>
      <w:rFonts w:ascii="Courier New" w:hAnsi="Courier New"/>
    </w:rPr>
  </w:style>
  <w:style w:type="paragraph" w:customStyle="1" w:styleId="NoteBullet">
    <w:name w:val="Note Bullet"/>
    <w:basedOn w:val="Note"/>
    <w:rsid w:val="000F0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C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C6A"/>
    <w:rPr>
      <w:b/>
      <w:smallCaps/>
    </w:rPr>
  </w:style>
  <w:style w:type="paragraph" w:customStyle="1" w:styleId="TableListNumber">
    <w:name w:val="Table List Number"/>
    <w:basedOn w:val="ListNumber"/>
    <w:rsid w:val="000F0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C6A"/>
    <w:pPr>
      <w:numPr>
        <w:numId w:val="9"/>
      </w:numPr>
    </w:pPr>
  </w:style>
  <w:style w:type="paragraph" w:customStyle="1" w:styleId="ListAlpha2">
    <w:name w:val="List Alpha 2"/>
    <w:basedOn w:val="List2"/>
    <w:rsid w:val="000F0C6A"/>
    <w:pPr>
      <w:numPr>
        <w:numId w:val="8"/>
      </w:numPr>
    </w:pPr>
  </w:style>
  <w:style w:type="paragraph" w:styleId="List2">
    <w:name w:val="List 2"/>
    <w:basedOn w:val="BodyText"/>
    <w:rsid w:val="000F0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C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C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C6A"/>
    <w:pPr>
      <w:numPr>
        <w:numId w:val="4"/>
      </w:numPr>
    </w:pPr>
  </w:style>
  <w:style w:type="paragraph" w:styleId="ListContinue2">
    <w:name w:val="List Continue 2"/>
    <w:basedOn w:val="List2"/>
    <w:rsid w:val="000F0C6A"/>
    <w:pPr>
      <w:ind w:firstLine="0"/>
    </w:pPr>
  </w:style>
  <w:style w:type="paragraph" w:styleId="ListContinue3">
    <w:name w:val="List Continue 3"/>
    <w:basedOn w:val="List3"/>
    <w:rsid w:val="000F0C6A"/>
    <w:pPr>
      <w:ind w:left="1021" w:firstLine="0"/>
    </w:pPr>
  </w:style>
  <w:style w:type="paragraph" w:styleId="ListContinue4">
    <w:name w:val="List Continue 4"/>
    <w:basedOn w:val="List4"/>
    <w:rsid w:val="000F0C6A"/>
    <w:pPr>
      <w:ind w:firstLine="0"/>
    </w:pPr>
  </w:style>
  <w:style w:type="paragraph" w:styleId="ListContinue5">
    <w:name w:val="List Continue 5"/>
    <w:basedOn w:val="List5"/>
    <w:rsid w:val="000F0C6A"/>
    <w:pPr>
      <w:ind w:firstLine="0"/>
    </w:pPr>
  </w:style>
  <w:style w:type="paragraph" w:styleId="ListNumber3">
    <w:name w:val="List Number 3"/>
    <w:basedOn w:val="List3"/>
    <w:rsid w:val="000F0C6A"/>
    <w:pPr>
      <w:numPr>
        <w:numId w:val="5"/>
      </w:numPr>
    </w:pPr>
  </w:style>
  <w:style w:type="paragraph" w:styleId="ListNumber4">
    <w:name w:val="List Number 4"/>
    <w:basedOn w:val="List4"/>
    <w:rsid w:val="000F0C6A"/>
    <w:pPr>
      <w:numPr>
        <w:numId w:val="6"/>
      </w:numPr>
    </w:pPr>
  </w:style>
  <w:style w:type="paragraph" w:styleId="ListNumber5">
    <w:name w:val="List Number 5"/>
    <w:basedOn w:val="List5"/>
    <w:rsid w:val="000F0C6A"/>
    <w:pPr>
      <w:numPr>
        <w:numId w:val="7"/>
      </w:numPr>
    </w:pPr>
  </w:style>
  <w:style w:type="paragraph" w:styleId="BlockText">
    <w:name w:val="Block Text"/>
    <w:basedOn w:val="Normal"/>
    <w:rsid w:val="000F0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C6A"/>
    <w:rPr>
      <w:sz w:val="16"/>
      <w:vertAlign w:val="superscript"/>
    </w:rPr>
  </w:style>
  <w:style w:type="character" w:customStyle="1" w:styleId="Symbols">
    <w:name w:val="Symbols"/>
    <w:basedOn w:val="DefaultParagraphFont"/>
    <w:rsid w:val="000F0C6A"/>
    <w:rPr>
      <w:rFonts w:ascii="Symbol" w:hAnsi="Symbol"/>
    </w:rPr>
  </w:style>
  <w:style w:type="character" w:customStyle="1" w:styleId="MenuOptions">
    <w:name w:val="Menu Options"/>
    <w:basedOn w:val="DefaultParagraphFont"/>
    <w:rsid w:val="000F0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C6A"/>
    <w:rPr>
      <w:b/>
    </w:rPr>
  </w:style>
  <w:style w:type="character" w:customStyle="1" w:styleId="Underlined">
    <w:name w:val="Underlined"/>
    <w:basedOn w:val="DefaultParagraphFont"/>
    <w:rsid w:val="000F0C6A"/>
    <w:rPr>
      <w:u w:val="single"/>
    </w:rPr>
  </w:style>
  <w:style w:type="paragraph" w:customStyle="1" w:styleId="TableBodyTextRight">
    <w:name w:val="Table Body Text Right"/>
    <w:basedOn w:val="TableBodyText"/>
    <w:rsid w:val="000F0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C6A"/>
    <w:rPr>
      <w:sz w:val="18"/>
    </w:rPr>
  </w:style>
  <w:style w:type="paragraph" w:customStyle="1" w:styleId="BodySmallRight">
    <w:name w:val="Body Small Right"/>
    <w:basedOn w:val="BodyTextRight"/>
    <w:rsid w:val="000F0C6A"/>
    <w:rPr>
      <w:sz w:val="18"/>
      <w:szCs w:val="18"/>
    </w:rPr>
  </w:style>
  <w:style w:type="paragraph" w:customStyle="1" w:styleId="MarginEdition">
    <w:name w:val="Margin Edition"/>
    <w:basedOn w:val="MarginNote"/>
    <w:rsid w:val="000F0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C6A"/>
    <w:rPr>
      <w:sz w:val="2"/>
      <w:szCs w:val="2"/>
    </w:rPr>
  </w:style>
  <w:style w:type="character" w:customStyle="1" w:styleId="Small">
    <w:name w:val="Small"/>
    <w:basedOn w:val="DefaultParagraphFont"/>
    <w:rsid w:val="000F0C6A"/>
    <w:rPr>
      <w:sz w:val="16"/>
    </w:rPr>
  </w:style>
  <w:style w:type="paragraph" w:customStyle="1" w:styleId="WideTable">
    <w:name w:val="Wide Table"/>
    <w:basedOn w:val="Normal"/>
    <w:rsid w:val="000F0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C6A"/>
  </w:style>
  <w:style w:type="paragraph" w:styleId="Quote">
    <w:name w:val="Quote"/>
    <w:basedOn w:val="Heading1"/>
    <w:link w:val="QuoteChar"/>
    <w:qFormat/>
    <w:rsid w:val="000F0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C6A"/>
    <w:pPr>
      <w:pageBreakBefore/>
    </w:pPr>
  </w:style>
  <w:style w:type="paragraph" w:customStyle="1" w:styleId="Border">
    <w:name w:val="Border"/>
    <w:basedOn w:val="Normal"/>
    <w:qFormat/>
    <w:rsid w:val="000F0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C6A"/>
    <w:rPr>
      <w:u w:val="single"/>
    </w:rPr>
  </w:style>
  <w:style w:type="character" w:customStyle="1" w:styleId="BoldandItalics">
    <w:name w:val="Bold and Italics"/>
    <w:qFormat/>
    <w:rsid w:val="000F0C6A"/>
    <w:rPr>
      <w:b/>
      <w:i/>
      <w:u w:val="none"/>
    </w:rPr>
  </w:style>
  <w:style w:type="paragraph" w:styleId="BalloonText">
    <w:name w:val="Balloon Text"/>
    <w:basedOn w:val="Normal"/>
    <w:link w:val="BalloonTextChar"/>
    <w:rsid w:val="000F0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C6A"/>
    <w:pPr>
      <w:spacing w:before="0" w:after="0"/>
    </w:pPr>
  </w:style>
  <w:style w:type="paragraph" w:customStyle="1" w:styleId="BodyTextBold">
    <w:name w:val="Body Text Bold"/>
    <w:basedOn w:val="BodyText"/>
    <w:qFormat/>
    <w:rsid w:val="000F0C6A"/>
    <w:rPr>
      <w:b/>
    </w:rPr>
  </w:style>
  <w:style w:type="character" w:styleId="Hyperlink">
    <w:name w:val="Hyperlink"/>
    <w:basedOn w:val="DefaultParagraphFont"/>
    <w:uiPriority w:val="99"/>
    <w:unhideWhenUsed/>
    <w:rsid w:val="005E0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5630</Characters>
  <Application>Microsoft Office Word</Application>
  <DocSecurity>0</DocSecurity>
  <Lines>119</Lines>
  <Paragraphs>79</Paragraphs>
  <ScaleCrop>false</ScaleCrop>
  <Company>Author-it Software Corporation Ltd.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PMAOPS755 Provide surface coatings application advice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2020-11-16T08:15:00Z</dcterms:created>
  <dcterms:modified xsi:type="dcterms:W3CDTF">2020-11-16T08:15:00Z</dcterms:modified>
</cp:coreProperties>
</file>