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4C91" w:rsidP="005B4C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PMAOPS753 Develop a non-decorative coating or ink</w:t>
      </w:r>
      <w:r>
        <w:fldChar w:fldCharType="end"/>
      </w:r>
    </w:p>
    <w:p w:rsidR="005B4C91" w:rsidP="005B4C91">
      <w:pPr>
        <w:pStyle w:val="Version"/>
        <w:sectPr w:rsidSect="003B69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6955" w:rsidP="003B6955">
      <w:pPr>
        <w:pStyle w:val="SuperHeading"/>
      </w:pPr>
      <w:r w:rsidRPr="003B6955">
        <w:t>PMAOPS753 Develop a non-decorative coating or ink</w:t>
      </w:r>
    </w:p>
    <w:p w:rsidR="00000000" w:rsidRPr="003B6955" w:rsidP="003B6955">
      <w:pPr>
        <w:pStyle w:val="Heading1"/>
      </w:pPr>
      <w:bookmarkStart w:id="1" w:name="O_908658"/>
      <w:bookmarkEnd w:id="1"/>
      <w:r w:rsidRPr="003B6955">
        <w:t>Modification History</w:t>
      </w:r>
    </w:p>
    <w:p w:rsidR="00000000" w:rsidRPr="003B6955" w:rsidP="005B4C91">
      <w:pPr>
        <w:pStyle w:val="BodyText"/>
      </w:pPr>
      <w:r w:rsidRPr="003B6955">
        <w:t>Release 1. Supersedes and is equivalent to PMAOPS753A Develop a non-decorative coating or ink</w:t>
      </w:r>
    </w:p>
    <w:p w:rsidR="00000000" w:rsidRPr="003B6955" w:rsidP="003B6955">
      <w:pPr>
        <w:pStyle w:val="Heading1"/>
      </w:pPr>
      <w:bookmarkStart w:id="2" w:name="O_908666"/>
      <w:bookmarkEnd w:id="2"/>
      <w:r w:rsidRPr="003B6955">
        <w:t>Application</w:t>
      </w:r>
    </w:p>
    <w:p w:rsidR="00000000" w:rsidRPr="003B6955" w:rsidP="005B4C91">
      <w:pPr>
        <w:pStyle w:val="BodyText"/>
      </w:pPr>
      <w:r w:rsidRPr="003B6955">
        <w:t>This unit of competency covers the skills and knowledge required to develop a new non-decorative coating</w:t>
      </w:r>
      <w:r w:rsidRPr="003B6955">
        <w:t xml:space="preserve"> product. A surface coating is any liquid (e.g. solvent or emulsion-based) material applied to a solid surface for decorative and/or protective reasons. A non-decorative coating may also have a decorative function, but its main function is protective.</w:t>
      </w:r>
    </w:p>
    <w:p w:rsidR="00000000" w:rsidRPr="003B6955" w:rsidP="005B4C91">
      <w:pPr>
        <w:pStyle w:val="BodyText"/>
      </w:pPr>
      <w:r w:rsidRPr="003B6955">
        <w:t>Thi</w:t>
      </w:r>
      <w:r w:rsidRPr="003B6955">
        <w:t>s unit of competency applies to senior technicians, laboratory supervisors, research and development personnel, or those in similar roles who are required to apply in-depth physiochemical knowledge in order to develop non-decorative coating formulations to</w:t>
      </w:r>
      <w:r w:rsidRPr="003B6955">
        <w:t xml:space="preserve"> meet formulation parameters/specifications, specify quality control and performance tests, solve problems, and recommend manufacturing and application methods.</w:t>
      </w:r>
    </w:p>
    <w:p w:rsidR="00000000" w:rsidRPr="003B6955" w:rsidP="005B4C91">
      <w:pPr>
        <w:pStyle w:val="BodyText"/>
      </w:pPr>
      <w:r w:rsidRPr="003B6955">
        <w:t>No licensing, legislative or certification requirements apply to this unit at the time of publ</w:t>
      </w:r>
      <w:r w:rsidRPr="003B6955">
        <w:t>ication.</w:t>
      </w:r>
    </w:p>
    <w:p w:rsidR="00000000" w:rsidRPr="003B6955" w:rsidP="003B6955">
      <w:pPr>
        <w:pStyle w:val="Heading1"/>
      </w:pPr>
      <w:bookmarkStart w:id="3" w:name="O_908665"/>
      <w:bookmarkEnd w:id="3"/>
      <w:r w:rsidRPr="003B6955">
        <w:t>Pre-requisite Unit</w:t>
      </w:r>
    </w:p>
    <w:p w:rsidR="00000000" w:rsidRPr="003B6955" w:rsidP="005B4C91">
      <w:pPr>
        <w:pStyle w:val="BodyText"/>
      </w:pPr>
      <w:r w:rsidRPr="003B6955">
        <w:t>Nil</w:t>
      </w:r>
    </w:p>
    <w:p w:rsidR="00000000" w:rsidRPr="003B6955" w:rsidP="003B6955">
      <w:pPr>
        <w:pStyle w:val="Heading1"/>
      </w:pPr>
      <w:bookmarkStart w:id="4" w:name="O_908664"/>
      <w:bookmarkEnd w:id="4"/>
      <w:r w:rsidRPr="003B6955">
        <w:t>Competency Field</w:t>
      </w:r>
    </w:p>
    <w:p w:rsidR="00000000" w:rsidRPr="003B6955" w:rsidP="005B4C91">
      <w:pPr>
        <w:pStyle w:val="BodyText"/>
      </w:pPr>
      <w:r w:rsidRPr="003B6955">
        <w:t>Operations</w:t>
      </w:r>
    </w:p>
    <w:p w:rsidR="00000000" w:rsidRPr="003B6955" w:rsidP="003B6955">
      <w:pPr>
        <w:pStyle w:val="Heading1"/>
      </w:pPr>
      <w:bookmarkStart w:id="5" w:name="O_908663"/>
      <w:bookmarkEnd w:id="5"/>
      <w:r w:rsidRPr="003B6955">
        <w:t>Unit Sector</w:t>
      </w:r>
    </w:p>
    <w:p w:rsidR="00000000" w:rsidRPr="003B6955" w:rsidP="003B6955">
      <w:pPr>
        <w:pStyle w:val="Heading1"/>
      </w:pPr>
      <w:bookmarkStart w:id="6" w:name="O_908662"/>
      <w:bookmarkEnd w:id="6"/>
      <w:r w:rsidRPr="003B695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3B6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955">
            <w:pPr>
              <w:pStyle w:val="BodyText"/>
              <w:rPr>
                <w:lang w:val="en-NZ"/>
              </w:rPr>
            </w:pPr>
            <w:r w:rsidRPr="003B6955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955">
            <w:pPr>
              <w:pStyle w:val="BodyText"/>
              <w:rPr>
                <w:lang w:val="en-NZ"/>
              </w:rPr>
            </w:pPr>
            <w:r w:rsidRPr="003B6955">
              <w:t>Performance criteria describe the perfor</w:t>
            </w:r>
            <w:r w:rsidRPr="003B6955">
              <w:t>mance needed to demonstrate achievement of the element.</w:t>
            </w:r>
          </w:p>
        </w:tc>
      </w:tr>
      <w:tr w:rsidTr="003B6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955" w:rsidP="003B6955">
            <w:pPr>
              <w:pStyle w:val="BodyText"/>
            </w:pPr>
            <w:r w:rsidRPr="003B6955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955">
            <w:pPr>
              <w:pStyle w:val="BodyText"/>
              <w:rPr>
                <w:lang w:val="en-NZ"/>
              </w:rPr>
            </w:pPr>
            <w:r w:rsidRPr="003B6955">
              <w:rPr>
                <w:rStyle w:val="SpecialBold"/>
              </w:rPr>
              <w:t xml:space="preserve">Formulate a non-decorative </w:t>
            </w:r>
            <w:r w:rsidRPr="003B6955">
              <w:rPr>
                <w:rStyle w:val="SpecialBold"/>
              </w:rPr>
              <w:t>coating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955">
            <w:pPr>
              <w:pStyle w:val="BodyText"/>
              <w:rPr>
                <w:lang w:val="en-NZ"/>
              </w:rPr>
            </w:pPr>
            <w:r w:rsidRPr="003B6955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955">
            <w:pPr>
              <w:pStyle w:val="BodyText"/>
              <w:rPr>
                <w:lang w:val="en-NZ"/>
              </w:rPr>
            </w:pPr>
            <w:r w:rsidRPr="003B6955">
              <w:t>Confirm the specification/performance requirements of the non-decorative coating</w:t>
            </w:r>
          </w:p>
        </w:tc>
      </w:tr>
      <w:tr w:rsidTr="003B6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955">
            <w:pPr>
              <w:pStyle w:val="BodyText"/>
              <w:rPr>
                <w:lang w:val="en-NZ"/>
              </w:rPr>
            </w:pPr>
            <w:r w:rsidRPr="003B6955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955">
            <w:pPr>
              <w:pStyle w:val="BodyText"/>
              <w:rPr>
                <w:lang w:val="en-NZ"/>
              </w:rPr>
            </w:pPr>
            <w:r w:rsidRPr="003B6955">
              <w:t>Determine the effect on performance characteristics of formulation parameters</w:t>
            </w:r>
          </w:p>
        </w:tc>
      </w:tr>
      <w:tr w:rsidTr="003B6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955">
            <w:pPr>
              <w:pStyle w:val="BodyText"/>
              <w:rPr>
                <w:lang w:val="en-NZ"/>
              </w:rPr>
            </w:pPr>
            <w:r w:rsidRPr="003B6955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955">
            <w:pPr>
              <w:pStyle w:val="BodyText"/>
              <w:rPr>
                <w:lang w:val="en-NZ"/>
              </w:rPr>
            </w:pPr>
            <w:r w:rsidRPr="003B6955">
              <w:t>Specify required quality control and performance tests</w:t>
            </w:r>
          </w:p>
        </w:tc>
      </w:tr>
      <w:tr w:rsidTr="003B6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955">
            <w:pPr>
              <w:pStyle w:val="BodyText"/>
              <w:rPr>
                <w:lang w:val="en-NZ"/>
              </w:rPr>
            </w:pPr>
            <w:r w:rsidRPr="003B6955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955">
            <w:pPr>
              <w:pStyle w:val="BodyText"/>
              <w:rPr>
                <w:lang w:val="en-NZ"/>
              </w:rPr>
            </w:pPr>
            <w:r w:rsidRPr="003B6955">
              <w:t>Recommend appropriate raw materials</w:t>
            </w:r>
          </w:p>
        </w:tc>
      </w:tr>
      <w:tr w:rsidTr="003B6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955">
            <w:pPr>
              <w:pStyle w:val="BodyText"/>
              <w:rPr>
                <w:lang w:val="en-NZ"/>
              </w:rPr>
            </w:pPr>
            <w:r w:rsidRPr="003B6955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955">
            <w:pPr>
              <w:pStyle w:val="BodyText"/>
              <w:rPr>
                <w:lang w:val="en-NZ"/>
              </w:rPr>
            </w:pPr>
            <w:r w:rsidRPr="003B6955">
              <w:t>Recommend appropriate raw material suppliers</w:t>
            </w:r>
          </w:p>
        </w:tc>
      </w:tr>
      <w:tr w:rsidTr="003B6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955">
            <w:pPr>
              <w:pStyle w:val="BodyText"/>
              <w:rPr>
                <w:lang w:val="en-NZ"/>
              </w:rPr>
            </w:pPr>
            <w:r w:rsidRPr="003B6955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955">
            <w:pPr>
              <w:pStyle w:val="BodyText"/>
              <w:rPr>
                <w:lang w:val="en-NZ"/>
              </w:rPr>
            </w:pPr>
            <w:r w:rsidRPr="003B6955">
              <w:t>Formulate an industrial coating/ink to specified parameters</w:t>
            </w:r>
          </w:p>
        </w:tc>
      </w:tr>
      <w:tr w:rsidTr="003B6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955">
            <w:pPr>
              <w:pStyle w:val="BodyText"/>
              <w:rPr>
                <w:lang w:val="en-NZ"/>
              </w:rPr>
            </w:pPr>
            <w:r w:rsidRPr="003B6955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955">
            <w:pPr>
              <w:pStyle w:val="BodyText"/>
              <w:rPr>
                <w:lang w:val="en-NZ"/>
              </w:rPr>
            </w:pPr>
            <w:r w:rsidRPr="003B6955">
              <w:t>Ensure laboratory formulations are converted to production scale</w:t>
            </w:r>
          </w:p>
        </w:tc>
      </w:tr>
      <w:tr w:rsidTr="003B6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955">
            <w:pPr>
              <w:pStyle w:val="BodyText"/>
              <w:rPr>
                <w:lang w:val="en-NZ"/>
              </w:rPr>
            </w:pPr>
          </w:p>
        </w:tc>
      </w:tr>
      <w:tr w:rsidTr="003B6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955" w:rsidP="003B6955">
            <w:pPr>
              <w:pStyle w:val="BodyText"/>
            </w:pPr>
            <w:r w:rsidRPr="003B6955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955">
            <w:pPr>
              <w:pStyle w:val="BodyText"/>
              <w:rPr>
                <w:lang w:val="en-NZ"/>
              </w:rPr>
            </w:pPr>
            <w:r w:rsidRPr="003B6955">
              <w:rPr>
                <w:rStyle w:val="SpecialBold"/>
              </w:rPr>
              <w:t>Specify the relationship of pigment/binder for a coating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955">
            <w:pPr>
              <w:pStyle w:val="BodyText"/>
              <w:rPr>
                <w:lang w:val="en-NZ"/>
              </w:rPr>
            </w:pPr>
            <w:r w:rsidRPr="003B6955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955">
            <w:pPr>
              <w:pStyle w:val="BodyText"/>
              <w:rPr>
                <w:lang w:val="en-NZ"/>
              </w:rPr>
            </w:pPr>
            <w:r w:rsidRPr="003B6955">
              <w:t>Define pigment/binder relationships and their impact on coating properties</w:t>
            </w:r>
          </w:p>
        </w:tc>
      </w:tr>
      <w:tr w:rsidTr="003B6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955">
            <w:pPr>
              <w:pStyle w:val="BodyText"/>
              <w:rPr>
                <w:lang w:val="en-NZ"/>
              </w:rPr>
            </w:pPr>
            <w:r w:rsidRPr="003B6955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955">
            <w:pPr>
              <w:pStyle w:val="BodyText"/>
              <w:rPr>
                <w:lang w:val="en-NZ"/>
              </w:rPr>
            </w:pPr>
            <w:r w:rsidRPr="003B6955">
              <w:t>Calculate pigment/binder ratio,  and pigment volume concentration (PVC)</w:t>
            </w:r>
          </w:p>
        </w:tc>
      </w:tr>
      <w:tr w:rsidTr="003B6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955">
            <w:pPr>
              <w:pStyle w:val="BodyText"/>
              <w:rPr>
                <w:lang w:val="en-NZ"/>
              </w:rPr>
            </w:pPr>
            <w:r w:rsidRPr="003B6955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955">
            <w:pPr>
              <w:pStyle w:val="BodyText"/>
              <w:rPr>
                <w:lang w:val="en-NZ"/>
              </w:rPr>
            </w:pPr>
            <w:r w:rsidRPr="003B6955">
              <w:t>Specify pigment/binder relationships appropriate for a coating</w:t>
            </w:r>
          </w:p>
        </w:tc>
      </w:tr>
      <w:tr w:rsidTr="003B6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955">
            <w:pPr>
              <w:pStyle w:val="BodyText"/>
              <w:rPr>
                <w:lang w:val="en-NZ"/>
              </w:rPr>
            </w:pPr>
          </w:p>
        </w:tc>
      </w:tr>
      <w:tr w:rsidTr="003B6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955" w:rsidP="003B6955">
            <w:pPr>
              <w:pStyle w:val="BodyText"/>
            </w:pPr>
            <w:r w:rsidRPr="003B6955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955">
            <w:pPr>
              <w:pStyle w:val="BodyText"/>
              <w:rPr>
                <w:lang w:val="en-NZ"/>
              </w:rPr>
            </w:pPr>
            <w:r w:rsidRPr="003B6955">
              <w:rPr>
                <w:rStyle w:val="SpecialBold"/>
              </w:rPr>
              <w:t>Recommend a method of manufacture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955">
            <w:pPr>
              <w:pStyle w:val="BodyText"/>
              <w:rPr>
                <w:lang w:val="en-NZ"/>
              </w:rPr>
            </w:pPr>
            <w:r w:rsidRPr="003B6955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955">
            <w:pPr>
              <w:pStyle w:val="BodyText"/>
              <w:rPr>
                <w:lang w:val="en-NZ"/>
              </w:rPr>
            </w:pPr>
            <w:r w:rsidRPr="003B6955">
              <w:t>Identify critical formulation parameters and the effect on manufacturing characteristics for industrial coatings/inks</w:t>
            </w:r>
          </w:p>
        </w:tc>
      </w:tr>
      <w:tr w:rsidTr="003B6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955">
            <w:pPr>
              <w:pStyle w:val="BodyText"/>
              <w:rPr>
                <w:lang w:val="en-NZ"/>
              </w:rPr>
            </w:pPr>
            <w:r w:rsidRPr="003B6955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955">
            <w:pPr>
              <w:pStyle w:val="BodyText"/>
              <w:rPr>
                <w:lang w:val="en-NZ"/>
              </w:rPr>
            </w:pPr>
            <w:r w:rsidRPr="003B6955">
              <w:t>Determine dispersion, let down and mixing required</w:t>
            </w:r>
          </w:p>
        </w:tc>
      </w:tr>
      <w:tr w:rsidTr="003B6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955">
            <w:pPr>
              <w:pStyle w:val="BodyText"/>
              <w:rPr>
                <w:lang w:val="en-NZ"/>
              </w:rPr>
            </w:pPr>
            <w:r w:rsidRPr="003B6955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955">
            <w:pPr>
              <w:pStyle w:val="BodyText"/>
              <w:rPr>
                <w:lang w:val="en-NZ"/>
              </w:rPr>
            </w:pPr>
            <w:r w:rsidRPr="003B6955">
              <w:t>Select the types of equipment required for coating manufacture</w:t>
            </w:r>
          </w:p>
        </w:tc>
      </w:tr>
      <w:tr w:rsidTr="003B6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955">
            <w:pPr>
              <w:pStyle w:val="BodyText"/>
              <w:rPr>
                <w:lang w:val="en-NZ"/>
              </w:rPr>
            </w:pPr>
            <w:r w:rsidRPr="003B6955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955">
            <w:pPr>
              <w:pStyle w:val="BodyText"/>
              <w:rPr>
                <w:lang w:val="en-NZ"/>
              </w:rPr>
            </w:pPr>
            <w:r w:rsidRPr="003B6955">
              <w:t>Recommend a method of manufacture</w:t>
            </w:r>
          </w:p>
        </w:tc>
      </w:tr>
      <w:tr w:rsidTr="003B6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955">
            <w:pPr>
              <w:pStyle w:val="BodyText"/>
              <w:rPr>
                <w:lang w:val="en-NZ"/>
              </w:rPr>
            </w:pPr>
          </w:p>
        </w:tc>
      </w:tr>
      <w:tr w:rsidTr="003B6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955" w:rsidP="003B6955">
            <w:pPr>
              <w:pStyle w:val="BodyText"/>
            </w:pPr>
            <w:r w:rsidRPr="003B6955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955">
            <w:pPr>
              <w:pStyle w:val="BodyText"/>
              <w:rPr>
                <w:lang w:val="en-NZ"/>
              </w:rPr>
            </w:pPr>
            <w:r w:rsidRPr="003B6955">
              <w:rPr>
                <w:rStyle w:val="SpecialBold"/>
              </w:rPr>
              <w:t>Identify and control hazards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955">
            <w:pPr>
              <w:pStyle w:val="BodyText"/>
              <w:rPr>
                <w:lang w:val="en-NZ"/>
              </w:rPr>
            </w:pPr>
            <w:r w:rsidRPr="003B6955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955">
            <w:pPr>
              <w:pStyle w:val="BodyText"/>
              <w:rPr>
                <w:lang w:val="en-NZ"/>
              </w:rPr>
            </w:pPr>
            <w:r w:rsidRPr="003B6955">
              <w:t>Identify material hazards</w:t>
            </w:r>
          </w:p>
        </w:tc>
      </w:tr>
      <w:tr w:rsidTr="003B6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955">
            <w:pPr>
              <w:pStyle w:val="BodyText"/>
              <w:rPr>
                <w:lang w:val="en-NZ"/>
              </w:rPr>
            </w:pPr>
            <w:r w:rsidRPr="003B6955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955">
            <w:pPr>
              <w:pStyle w:val="BodyText"/>
              <w:rPr>
                <w:lang w:val="en-NZ"/>
              </w:rPr>
            </w:pPr>
            <w:r w:rsidRPr="003B6955">
              <w:t>Identify regulatory requirements</w:t>
            </w:r>
          </w:p>
        </w:tc>
      </w:tr>
      <w:tr w:rsidTr="003B6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955">
            <w:pPr>
              <w:pStyle w:val="BodyText"/>
              <w:rPr>
                <w:lang w:val="en-NZ"/>
              </w:rPr>
            </w:pPr>
            <w:r w:rsidRPr="003B6955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955">
            <w:pPr>
              <w:pStyle w:val="BodyText"/>
              <w:rPr>
                <w:lang w:val="en-NZ"/>
              </w:rPr>
            </w:pPr>
            <w:r w:rsidRPr="003B6955">
              <w:t>Identify other hazards from the manufacture of non-decorative coatings/inks</w:t>
            </w:r>
          </w:p>
        </w:tc>
      </w:tr>
      <w:tr w:rsidTr="003B6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955">
            <w:pPr>
              <w:pStyle w:val="BodyText"/>
              <w:rPr>
                <w:lang w:val="en-NZ"/>
              </w:rPr>
            </w:pPr>
            <w:r w:rsidRPr="003B6955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955">
            <w:pPr>
              <w:pStyle w:val="BodyText"/>
              <w:rPr>
                <w:lang w:val="en-NZ"/>
              </w:rPr>
            </w:pPr>
            <w:r w:rsidRPr="003B6955">
              <w:t>Recommend appropriate hazard control</w:t>
            </w:r>
          </w:p>
        </w:tc>
      </w:tr>
      <w:tr w:rsidTr="003B6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955">
            <w:pPr>
              <w:pStyle w:val="BodyText"/>
              <w:rPr>
                <w:lang w:val="en-NZ"/>
              </w:rPr>
            </w:pPr>
          </w:p>
        </w:tc>
      </w:tr>
      <w:tr w:rsidTr="003B6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955" w:rsidP="003B6955">
            <w:pPr>
              <w:pStyle w:val="BodyText"/>
            </w:pPr>
            <w:r w:rsidRPr="003B6955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955">
            <w:pPr>
              <w:pStyle w:val="BodyText"/>
              <w:rPr>
                <w:lang w:val="en-NZ"/>
              </w:rPr>
            </w:pPr>
            <w:r w:rsidRPr="003B6955">
              <w:rPr>
                <w:rStyle w:val="SpecialBold"/>
              </w:rPr>
              <w:t>Recommend a coating application method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955">
            <w:pPr>
              <w:pStyle w:val="BodyText"/>
              <w:rPr>
                <w:lang w:val="en-NZ"/>
              </w:rPr>
            </w:pPr>
            <w:r w:rsidRPr="003B6955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955">
            <w:pPr>
              <w:pStyle w:val="BodyText"/>
              <w:rPr>
                <w:lang w:val="en-NZ"/>
              </w:rPr>
            </w:pPr>
            <w:r w:rsidRPr="003B6955">
              <w:t>Distinguish between common non-decorative coating/ink application methods</w:t>
            </w:r>
          </w:p>
        </w:tc>
      </w:tr>
      <w:tr w:rsidTr="003B6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955">
            <w:pPr>
              <w:pStyle w:val="BodyText"/>
              <w:rPr>
                <w:lang w:val="en-NZ"/>
              </w:rPr>
            </w:pPr>
            <w:r w:rsidRPr="003B6955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955" w:rsidP="003B6955">
            <w:pPr>
              <w:pStyle w:val="BodyText"/>
            </w:pPr>
            <w:r w:rsidRPr="003B6955">
              <w:t>Recommend an application method for non-decorative coatings/ink</w:t>
            </w:r>
          </w:p>
        </w:tc>
      </w:tr>
    </w:tbl>
    <w:p w:rsidR="00000000" w:rsidRPr="003B6955" w:rsidP="003B6955">
      <w:pPr>
        <w:pStyle w:val="BodyText"/>
      </w:pPr>
    </w:p>
    <w:p w:rsidR="00000000" w:rsidRPr="003B6955" w:rsidP="003B6955">
      <w:pPr>
        <w:pStyle w:val="AllowPageBreak"/>
      </w:pPr>
    </w:p>
    <w:p w:rsidR="00000000" w:rsidRPr="003B6955" w:rsidP="003B6955">
      <w:pPr>
        <w:pStyle w:val="Heading1"/>
      </w:pPr>
      <w:bookmarkStart w:id="7" w:name="O_908661"/>
      <w:bookmarkEnd w:id="7"/>
      <w:r w:rsidRPr="003B6955">
        <w:t>Foundation Skills</w:t>
      </w:r>
    </w:p>
    <w:p w:rsidR="00000000" w:rsidRPr="003B6955" w:rsidP="005B4C91">
      <w:pPr>
        <w:pStyle w:val="BodyText"/>
      </w:pPr>
      <w:r w:rsidRPr="003B6955">
        <w:t>This section describes those language, literacy, numeracy and employment skills that are essential to performance.</w:t>
      </w:r>
    </w:p>
    <w:p w:rsidR="00000000" w:rsidRPr="003B6955" w:rsidP="005B4C91">
      <w:pPr>
        <w:pStyle w:val="BodyText"/>
      </w:pPr>
      <w:r w:rsidRPr="003B6955">
        <w:t>Foundation skills essential to performa</w:t>
      </w:r>
      <w:r w:rsidRPr="003B6955">
        <w:t>nce are explicit in the performance criteria of this unit of competency.</w:t>
      </w:r>
    </w:p>
    <w:p w:rsidR="00000000" w:rsidRPr="003B6955" w:rsidP="003B6955">
      <w:pPr>
        <w:pStyle w:val="Heading1"/>
      </w:pPr>
      <w:bookmarkStart w:id="8" w:name="O_908660"/>
      <w:bookmarkEnd w:id="8"/>
      <w:r w:rsidRPr="003B6955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2"/>
        <w:gridCol w:w="6484"/>
      </w:tblGrid>
      <w:tr w:rsidTr="005B4C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955">
            <w:pPr>
              <w:pStyle w:val="BodyText"/>
              <w:rPr>
                <w:lang w:val="en-NZ"/>
              </w:rPr>
            </w:pPr>
            <w:r w:rsidRPr="003B6955">
              <w:t>This field allows for different work environments and conditions that may affect performance. Essential operating conditions that may be present (</w:t>
            </w:r>
            <w:r w:rsidRPr="003B6955">
              <w:t>depending on the work situation, needs of the candidate, accessibility of the item, and local industry and regional contexts) are included.</w:t>
            </w:r>
          </w:p>
        </w:tc>
      </w:tr>
      <w:tr w:rsidTr="005B4C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955" w:rsidP="003B6955">
            <w:pPr>
              <w:pStyle w:val="BodyText"/>
            </w:pPr>
            <w:r w:rsidRPr="003B6955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955" w:rsidP="003B6955">
            <w:pPr>
              <w:pStyle w:val="BodyText"/>
            </w:pPr>
            <w:r w:rsidRPr="003B6955">
              <w:t>The latest version of all legislation, regulations, industry codes of practice and Australian/international standards, or the version specified by the local regulatory authority, must be used, and include one or more of the following:</w:t>
            </w:r>
          </w:p>
          <w:p w:rsidR="00000000" w:rsidRPr="003B6955" w:rsidP="003B6955">
            <w:pPr>
              <w:pStyle w:val="ListBullet"/>
            </w:pPr>
            <w:r w:rsidRPr="003B6955">
              <w:t>legislative requirem</w:t>
            </w:r>
            <w:r w:rsidRPr="003B6955">
              <w:t>ents, including work health and safety (WHS)</w:t>
            </w:r>
          </w:p>
          <w:p w:rsidR="00000000" w:rsidRPr="003B6955" w:rsidP="003B6955">
            <w:pPr>
              <w:pStyle w:val="ListBullet"/>
            </w:pPr>
            <w:r w:rsidRPr="003B6955">
              <w:t>industry codes of practice and guidelines</w:t>
            </w:r>
          </w:p>
          <w:p w:rsidR="00000000" w:rsidRPr="003B6955" w:rsidP="003B6955">
            <w:pPr>
              <w:pStyle w:val="ListBullet"/>
            </w:pPr>
            <w:r w:rsidRPr="003B6955">
              <w:t xml:space="preserve">environmental regulations and guidelines </w:t>
            </w:r>
          </w:p>
          <w:p w:rsidR="00000000" w:rsidRPr="003B6955" w:rsidP="003B6955">
            <w:pPr>
              <w:pStyle w:val="ListBullet"/>
            </w:pPr>
            <w:r w:rsidRPr="003B6955">
              <w:t>Australian and other standards</w:t>
            </w:r>
          </w:p>
          <w:p w:rsidR="00000000" w:rsidRPr="003B6955" w:rsidP="003B6955">
            <w:pPr>
              <w:pStyle w:val="ListBullet"/>
            </w:pPr>
            <w:r w:rsidRPr="003B6955">
              <w:t xml:space="preserve">licence and certification requirements </w:t>
            </w:r>
          </w:p>
          <w:p w:rsidR="00000000" w:rsidRPr="003B6955" w:rsidP="003B6955">
            <w:pPr>
              <w:pStyle w:val="BodyText"/>
            </w:pPr>
          </w:p>
          <w:p w:rsidR="00000000" w:rsidRPr="003B6955" w:rsidP="003B6955">
            <w:pPr>
              <w:pStyle w:val="BodyText"/>
            </w:pPr>
            <w:r w:rsidRPr="003B6955">
              <w:t>All operations to which this unit applies are subject t</w:t>
            </w:r>
            <w:r w:rsidRPr="003B6955">
              <w:t>o stringent health, safety and environment (HSE) requirements, which may be imposed through state/territory or federal legislation, and these must not be compromised at any time. Where there is an apparent conflict between performance criteria and HSE requ</w:t>
            </w:r>
            <w:r w:rsidRPr="003B6955">
              <w:t>irements, the HSE requirements take precedence.</w:t>
            </w:r>
          </w:p>
          <w:p w:rsidR="00000000" w:rsidP="003B6955">
            <w:pPr>
              <w:pStyle w:val="BodyText"/>
              <w:rPr>
                <w:lang w:val="en-NZ"/>
              </w:rPr>
            </w:pPr>
          </w:p>
        </w:tc>
      </w:tr>
      <w:tr w:rsidTr="005B4C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955">
            <w:pPr>
              <w:pStyle w:val="BodyText"/>
              <w:rPr>
                <w:lang w:val="en-NZ"/>
              </w:rPr>
            </w:pPr>
            <w:r w:rsidRPr="003B6955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955" w:rsidP="003B6955">
            <w:pPr>
              <w:pStyle w:val="BodyText"/>
            </w:pPr>
            <w:r w:rsidRPr="003B6955">
              <w:t>Hazards include one or more of the following:</w:t>
            </w:r>
          </w:p>
          <w:p w:rsidR="00000000" w:rsidRPr="003B6955" w:rsidP="003B6955">
            <w:pPr>
              <w:pStyle w:val="ListBullet"/>
            </w:pPr>
            <w:r w:rsidRPr="003B6955">
              <w:t>equipment failures</w:t>
            </w:r>
          </w:p>
          <w:p w:rsidR="00000000" w:rsidRPr="003B6955" w:rsidP="003B6955">
            <w:pPr>
              <w:pStyle w:val="ListBullet"/>
            </w:pPr>
            <w:r w:rsidRPr="003B6955">
              <w:t>industrial (machinery, equipment and product)</w:t>
            </w:r>
          </w:p>
          <w:p w:rsidR="00000000" w:rsidRPr="003B6955" w:rsidP="003B6955">
            <w:pPr>
              <w:pStyle w:val="ListBullet"/>
            </w:pPr>
            <w:r w:rsidRPr="003B6955">
              <w:t>noise, rotational equipment or vibration</w:t>
            </w:r>
          </w:p>
          <w:p w:rsidR="00000000" w:rsidRPr="003B6955" w:rsidP="003B6955">
            <w:pPr>
              <w:pStyle w:val="ListBullet"/>
            </w:pPr>
            <w:r w:rsidRPr="003B6955">
              <w:t>plant services (steam</w:t>
            </w:r>
            <w:r w:rsidRPr="003B6955">
              <w:t>, condensate and cooling water)</w:t>
            </w:r>
          </w:p>
          <w:p w:rsidR="00000000" w:rsidRPr="003B6955" w:rsidP="003B6955">
            <w:pPr>
              <w:pStyle w:val="ListBullet"/>
            </w:pPr>
            <w:r w:rsidRPr="003B6955">
              <w:t>flammability and explosivity</w:t>
            </w:r>
          </w:p>
          <w:p w:rsidR="00000000" w:rsidRPr="003B6955" w:rsidP="003B6955">
            <w:pPr>
              <w:pStyle w:val="ListBullet"/>
            </w:pPr>
            <w:r w:rsidRPr="003B6955">
              <w:t>hazardous products and materials</w:t>
            </w:r>
          </w:p>
          <w:p w:rsidR="00000000" w:rsidRPr="003B6955" w:rsidP="003B6955">
            <w:pPr>
              <w:pStyle w:val="ListBullet"/>
            </w:pPr>
            <w:r w:rsidRPr="003B6955">
              <w:t>slippery surfaces, spills or leaks</w:t>
            </w:r>
          </w:p>
          <w:p w:rsidR="00000000" w:rsidRPr="003B6955" w:rsidP="003B6955">
            <w:pPr>
              <w:pStyle w:val="ListBullet"/>
            </w:pPr>
            <w:r w:rsidRPr="003B6955">
              <w:t>other hazards that might arise</w:t>
            </w:r>
          </w:p>
          <w:p w:rsidR="00000000" w:rsidP="003B6955">
            <w:pPr>
              <w:pStyle w:val="BodyText"/>
              <w:rPr>
                <w:lang w:val="en-NZ"/>
              </w:rPr>
            </w:pPr>
          </w:p>
        </w:tc>
      </w:tr>
      <w:tr w:rsidTr="005B4C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955">
            <w:pPr>
              <w:pStyle w:val="BodyText"/>
              <w:rPr>
                <w:lang w:val="en-NZ"/>
              </w:rPr>
            </w:pPr>
            <w:r w:rsidRPr="003B6955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955" w:rsidP="003B6955">
            <w:pPr>
              <w:pStyle w:val="BodyText"/>
            </w:pPr>
            <w:r w:rsidRPr="003B6955">
              <w:t>All operations must be performed in accordance with relevant procedures.</w:t>
            </w:r>
          </w:p>
          <w:p w:rsidR="00000000" w:rsidRPr="003B6955" w:rsidP="003B6955">
            <w:pPr>
              <w:pStyle w:val="BodyText"/>
            </w:pPr>
          </w:p>
          <w:p w:rsidR="00000000" w:rsidRPr="003B6955" w:rsidP="003B6955">
            <w:pPr>
              <w:pStyle w:val="BodyText"/>
            </w:pPr>
            <w:r w:rsidRPr="003B6955">
              <w:t>Procedure</w:t>
            </w:r>
            <w:r w:rsidRPr="003B6955">
              <w:t>s are written, verbal, visual, computer-based or in some other form, include one or more of the following:</w:t>
            </w:r>
          </w:p>
          <w:p w:rsidR="00000000" w:rsidRPr="003B6955" w:rsidP="003B6955">
            <w:pPr>
              <w:pStyle w:val="ListBullet"/>
            </w:pPr>
            <w:r w:rsidRPr="003B6955">
              <w:t>emergency procedures</w:t>
            </w:r>
          </w:p>
          <w:p w:rsidR="00000000" w:rsidRPr="003B6955" w:rsidP="003B6955">
            <w:pPr>
              <w:pStyle w:val="ListBullet"/>
            </w:pPr>
            <w:r w:rsidRPr="003B6955">
              <w:t>work instructions</w:t>
            </w:r>
          </w:p>
          <w:p w:rsidR="00000000" w:rsidRPr="003B6955" w:rsidP="003B6955">
            <w:pPr>
              <w:pStyle w:val="ListBullet"/>
            </w:pPr>
            <w:r w:rsidRPr="003B6955">
              <w:t>standard operating procedures (SOPs)</w:t>
            </w:r>
          </w:p>
          <w:p w:rsidR="00000000" w:rsidRPr="003B6955" w:rsidP="003B6955">
            <w:pPr>
              <w:pStyle w:val="ListBullet"/>
            </w:pPr>
            <w:r w:rsidRPr="003B6955">
              <w:t>safe work method statements (SWMS)</w:t>
            </w:r>
          </w:p>
          <w:p w:rsidR="00000000" w:rsidRPr="003B6955" w:rsidP="003B6955">
            <w:pPr>
              <w:pStyle w:val="ListBullet"/>
            </w:pPr>
            <w:r w:rsidRPr="003B6955">
              <w:t>formulas/recipes</w:t>
            </w:r>
          </w:p>
          <w:p w:rsidR="00000000" w:rsidRPr="003B6955" w:rsidP="003B6955">
            <w:pPr>
              <w:pStyle w:val="ListBullet"/>
            </w:pPr>
            <w:r w:rsidRPr="003B6955">
              <w:t>batch sheets</w:t>
            </w:r>
          </w:p>
          <w:p w:rsidR="00000000" w:rsidRPr="003B6955" w:rsidP="003B6955">
            <w:pPr>
              <w:pStyle w:val="ListBullet"/>
            </w:pPr>
            <w:r w:rsidRPr="003B6955">
              <w:t>temporary instructions</w:t>
            </w:r>
          </w:p>
          <w:p w:rsidR="00000000" w:rsidRPr="003B6955" w:rsidP="003B6955">
            <w:pPr>
              <w:pStyle w:val="ListBullet"/>
            </w:pPr>
            <w:r w:rsidRPr="003B6955">
              <w:t>any similar instructions provided for the smooth running of the plant</w:t>
            </w:r>
          </w:p>
        </w:tc>
      </w:tr>
    </w:tbl>
    <w:p w:rsidR="00000000" w:rsidRPr="003B6955" w:rsidP="003B6955">
      <w:pPr>
        <w:pStyle w:val="BodyText"/>
      </w:pPr>
    </w:p>
    <w:p w:rsidR="00000000" w:rsidRPr="003B6955" w:rsidP="003B6955">
      <w:pPr>
        <w:pStyle w:val="AllowPageBreak"/>
      </w:pPr>
    </w:p>
    <w:p w:rsidR="00000000" w:rsidRPr="003B6955" w:rsidP="003B6955">
      <w:pPr>
        <w:pStyle w:val="Heading1"/>
      </w:pPr>
      <w:bookmarkStart w:id="9" w:name="O_908659"/>
      <w:bookmarkEnd w:id="9"/>
      <w:r w:rsidRPr="003B6955">
        <w:t>Unit Mapping Information</w:t>
      </w:r>
    </w:p>
    <w:p w:rsidR="00000000" w:rsidRPr="003B6955" w:rsidP="005B4C91">
      <w:pPr>
        <w:pStyle w:val="BodyText"/>
      </w:pPr>
      <w:r w:rsidRPr="003B6955">
        <w:t>Release 1. Supersedes and is equivalent to PMAOPS753A Develop a non-decorative coating or ink</w:t>
      </w:r>
    </w:p>
    <w:p w:rsidR="00000000" w:rsidRPr="003B6955" w:rsidP="003B6955">
      <w:pPr>
        <w:pStyle w:val="Heading1"/>
      </w:pPr>
      <w:bookmarkStart w:id="10" w:name="O_908652"/>
      <w:bookmarkEnd w:id="10"/>
      <w:r w:rsidRPr="003B6955">
        <w:t>Links</w:t>
      </w:r>
    </w:p>
    <w:p w:rsidR="00000000" w:rsidRPr="003B6955" w:rsidP="005B4C91">
      <w:pPr>
        <w:pStyle w:val="BodyText"/>
      </w:pPr>
      <w:r w:rsidRPr="003B69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6E54D3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3B6955" w:rsidP="003B6955"/>
    <w:sectPr w:rsidSect="003B69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9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955" w:rsidRPr="005B4C91" w:rsidP="005B4C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9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C91" w:rsidP="003B69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4C91" w:rsidP="003B69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B4C91" w:rsidP="003B69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9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C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6955" w:rsidRPr="005B4C91" w:rsidP="005B4C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9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C91" w:rsidRPr="002D2AF8" w:rsidP="003B69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PMAOPS753 Develop a non-decorative coating or ink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November 2020</w:t>
    </w:r>
    <w:r>
      <w:fldChar w:fldCharType="end"/>
    </w:r>
  </w:p>
  <w:p w:rsidR="005B4C91" w:rsidP="003B69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782B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FA64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9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69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69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69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69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69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69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69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69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69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69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6955"/>
  </w:style>
  <w:style w:type="character" w:customStyle="1" w:styleId="Heading1Char">
    <w:name w:val="Heading 1 Char"/>
    <w:basedOn w:val="DefaultParagraphFont"/>
    <w:link w:val="Heading1"/>
    <w:rsid w:val="003B69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69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69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69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6955"/>
    <w:rPr>
      <w:b/>
      <w:spacing w:val="0"/>
    </w:rPr>
  </w:style>
  <w:style w:type="paragraph" w:customStyle="1" w:styleId="SuperHeading">
    <w:name w:val="SuperHeading"/>
    <w:basedOn w:val="Normal"/>
    <w:rsid w:val="003B69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69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69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69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69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69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69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69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69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69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69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69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69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69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69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69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69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69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69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69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69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69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69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69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69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69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69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69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69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69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69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69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69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69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69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6955"/>
    <w:rPr>
      <w:i/>
    </w:rPr>
  </w:style>
  <w:style w:type="paragraph" w:styleId="Caption">
    <w:name w:val="caption"/>
    <w:basedOn w:val="BodyText"/>
    <w:next w:val="Normal"/>
    <w:qFormat/>
    <w:rsid w:val="003B69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69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69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6955"/>
  </w:style>
  <w:style w:type="paragraph" w:styleId="TableofFigures">
    <w:name w:val="table of figures"/>
    <w:basedOn w:val="Normal"/>
    <w:next w:val="Normal"/>
    <w:semiHidden/>
    <w:rsid w:val="003B69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69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6955"/>
    <w:rPr>
      <w:rFonts w:ascii="Wingdings" w:hAnsi="Wingdings"/>
    </w:rPr>
  </w:style>
  <w:style w:type="paragraph" w:customStyle="1" w:styleId="TableHeading">
    <w:name w:val="Table Heading"/>
    <w:basedOn w:val="HeadingBase"/>
    <w:rsid w:val="003B69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6955"/>
    <w:rPr>
      <w:color w:val="0033CC"/>
      <w:u w:val="none"/>
    </w:rPr>
  </w:style>
  <w:style w:type="paragraph" w:customStyle="1" w:styleId="BodyTextRight">
    <w:name w:val="Body Text Right"/>
    <w:basedOn w:val="BodyText"/>
    <w:rsid w:val="003B69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69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69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69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69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69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6955"/>
    <w:rPr>
      <w:sz w:val="32"/>
    </w:rPr>
  </w:style>
  <w:style w:type="paragraph" w:customStyle="1" w:styleId="HeadingProcedure">
    <w:name w:val="Heading Procedure"/>
    <w:basedOn w:val="HeadingBase"/>
    <w:next w:val="Normal"/>
    <w:rsid w:val="003B69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6955"/>
    <w:pPr>
      <w:spacing w:before="60" w:after="60"/>
    </w:pPr>
  </w:style>
  <w:style w:type="paragraph" w:styleId="ListContinue">
    <w:name w:val="List Continue"/>
    <w:basedOn w:val="List"/>
    <w:rsid w:val="003B6955"/>
    <w:pPr>
      <w:ind w:firstLine="0"/>
    </w:pPr>
  </w:style>
  <w:style w:type="paragraph" w:customStyle="1" w:styleId="ListNote">
    <w:name w:val="List Note"/>
    <w:basedOn w:val="List"/>
    <w:rsid w:val="003B69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69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69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6955"/>
    <w:rPr>
      <w:rFonts w:ascii="Courier New" w:hAnsi="Courier New"/>
    </w:rPr>
  </w:style>
  <w:style w:type="paragraph" w:customStyle="1" w:styleId="NoteBullet">
    <w:name w:val="Note Bullet"/>
    <w:basedOn w:val="Note"/>
    <w:rsid w:val="003B69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69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69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69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69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69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69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6955"/>
    <w:rPr>
      <w:b/>
      <w:smallCaps/>
    </w:rPr>
  </w:style>
  <w:style w:type="paragraph" w:customStyle="1" w:styleId="TableListNumber">
    <w:name w:val="Table List Number"/>
    <w:basedOn w:val="ListNumber"/>
    <w:rsid w:val="003B69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69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6955"/>
    <w:pPr>
      <w:numPr>
        <w:numId w:val="8"/>
      </w:numPr>
    </w:pPr>
  </w:style>
  <w:style w:type="paragraph" w:customStyle="1" w:styleId="ListAlpha2">
    <w:name w:val="List Alpha 2"/>
    <w:basedOn w:val="List2"/>
    <w:rsid w:val="003B6955"/>
    <w:pPr>
      <w:numPr>
        <w:numId w:val="7"/>
      </w:numPr>
    </w:pPr>
  </w:style>
  <w:style w:type="paragraph" w:styleId="List2">
    <w:name w:val="List 2"/>
    <w:basedOn w:val="BodyText"/>
    <w:rsid w:val="003B69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69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69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69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69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69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6955"/>
    <w:pPr>
      <w:numPr>
        <w:numId w:val="3"/>
      </w:numPr>
    </w:pPr>
  </w:style>
  <w:style w:type="paragraph" w:styleId="ListContinue2">
    <w:name w:val="List Continue 2"/>
    <w:basedOn w:val="List2"/>
    <w:rsid w:val="003B6955"/>
    <w:pPr>
      <w:ind w:firstLine="0"/>
    </w:pPr>
  </w:style>
  <w:style w:type="paragraph" w:styleId="ListContinue3">
    <w:name w:val="List Continue 3"/>
    <w:basedOn w:val="List3"/>
    <w:rsid w:val="003B6955"/>
    <w:pPr>
      <w:ind w:left="1021" w:firstLine="0"/>
    </w:pPr>
  </w:style>
  <w:style w:type="paragraph" w:styleId="ListContinue4">
    <w:name w:val="List Continue 4"/>
    <w:basedOn w:val="List4"/>
    <w:rsid w:val="003B6955"/>
    <w:pPr>
      <w:ind w:firstLine="0"/>
    </w:pPr>
  </w:style>
  <w:style w:type="paragraph" w:styleId="ListContinue5">
    <w:name w:val="List Continue 5"/>
    <w:basedOn w:val="List5"/>
    <w:rsid w:val="003B6955"/>
    <w:pPr>
      <w:ind w:firstLine="0"/>
    </w:pPr>
  </w:style>
  <w:style w:type="paragraph" w:styleId="ListNumber3">
    <w:name w:val="List Number 3"/>
    <w:basedOn w:val="List3"/>
    <w:rsid w:val="003B6955"/>
    <w:pPr>
      <w:numPr>
        <w:numId w:val="4"/>
      </w:numPr>
    </w:pPr>
  </w:style>
  <w:style w:type="paragraph" w:styleId="ListNumber4">
    <w:name w:val="List Number 4"/>
    <w:basedOn w:val="List4"/>
    <w:rsid w:val="003B6955"/>
    <w:pPr>
      <w:numPr>
        <w:numId w:val="5"/>
      </w:numPr>
    </w:pPr>
  </w:style>
  <w:style w:type="paragraph" w:styleId="ListNumber5">
    <w:name w:val="List Number 5"/>
    <w:basedOn w:val="List5"/>
    <w:rsid w:val="003B6955"/>
    <w:pPr>
      <w:numPr>
        <w:numId w:val="6"/>
      </w:numPr>
    </w:pPr>
  </w:style>
  <w:style w:type="paragraph" w:styleId="BlockText">
    <w:name w:val="Block Text"/>
    <w:basedOn w:val="Normal"/>
    <w:rsid w:val="003B69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69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6955"/>
    <w:rPr>
      <w:sz w:val="16"/>
      <w:vertAlign w:val="superscript"/>
    </w:rPr>
  </w:style>
  <w:style w:type="character" w:customStyle="1" w:styleId="Symbols">
    <w:name w:val="Symbols"/>
    <w:basedOn w:val="DefaultParagraphFont"/>
    <w:rsid w:val="003B6955"/>
    <w:rPr>
      <w:rFonts w:ascii="Symbol" w:hAnsi="Symbol"/>
    </w:rPr>
  </w:style>
  <w:style w:type="character" w:customStyle="1" w:styleId="MenuOptions">
    <w:name w:val="Menu Options"/>
    <w:basedOn w:val="DefaultParagraphFont"/>
    <w:rsid w:val="003B69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6955"/>
    <w:rPr>
      <w:b/>
    </w:rPr>
  </w:style>
  <w:style w:type="character" w:customStyle="1" w:styleId="Underlined">
    <w:name w:val="Underlined"/>
    <w:basedOn w:val="DefaultParagraphFont"/>
    <w:rsid w:val="003B6955"/>
    <w:rPr>
      <w:u w:val="single"/>
    </w:rPr>
  </w:style>
  <w:style w:type="paragraph" w:customStyle="1" w:styleId="TableBodyTextRight">
    <w:name w:val="Table Body Text Right"/>
    <w:basedOn w:val="TableBodyText"/>
    <w:rsid w:val="003B69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6955"/>
    <w:rPr>
      <w:sz w:val="18"/>
    </w:rPr>
  </w:style>
  <w:style w:type="paragraph" w:customStyle="1" w:styleId="BodySmallRight">
    <w:name w:val="Body Small Right"/>
    <w:basedOn w:val="BodyTextRight"/>
    <w:rsid w:val="003B6955"/>
    <w:rPr>
      <w:sz w:val="18"/>
      <w:szCs w:val="18"/>
    </w:rPr>
  </w:style>
  <w:style w:type="paragraph" w:customStyle="1" w:styleId="MarginEdition">
    <w:name w:val="Margin Edition"/>
    <w:basedOn w:val="MarginNote"/>
    <w:rsid w:val="003B69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6955"/>
    <w:rPr>
      <w:sz w:val="2"/>
      <w:szCs w:val="2"/>
    </w:rPr>
  </w:style>
  <w:style w:type="character" w:customStyle="1" w:styleId="Small">
    <w:name w:val="Small"/>
    <w:basedOn w:val="DefaultParagraphFont"/>
    <w:rsid w:val="003B6955"/>
    <w:rPr>
      <w:sz w:val="16"/>
    </w:rPr>
  </w:style>
  <w:style w:type="paragraph" w:customStyle="1" w:styleId="WideTable">
    <w:name w:val="Wide Table"/>
    <w:basedOn w:val="Normal"/>
    <w:rsid w:val="003B69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6955"/>
  </w:style>
  <w:style w:type="paragraph" w:styleId="Quote">
    <w:name w:val="Quote"/>
    <w:basedOn w:val="Heading1"/>
    <w:link w:val="QuoteChar"/>
    <w:qFormat/>
    <w:rsid w:val="003B69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69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6955"/>
    <w:pPr>
      <w:pageBreakBefore/>
    </w:pPr>
  </w:style>
  <w:style w:type="paragraph" w:customStyle="1" w:styleId="Border">
    <w:name w:val="Border"/>
    <w:basedOn w:val="Normal"/>
    <w:qFormat/>
    <w:rsid w:val="003B69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69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69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69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69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69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69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69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69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6955"/>
    <w:rPr>
      <w:u w:val="single"/>
    </w:rPr>
  </w:style>
  <w:style w:type="character" w:customStyle="1" w:styleId="BoldandItalics">
    <w:name w:val="Bold and Italics"/>
    <w:qFormat/>
    <w:rsid w:val="003B6955"/>
    <w:rPr>
      <w:b/>
      <w:i/>
      <w:u w:val="none"/>
    </w:rPr>
  </w:style>
  <w:style w:type="paragraph" w:styleId="BalloonText">
    <w:name w:val="Balloon Text"/>
    <w:basedOn w:val="Normal"/>
    <w:link w:val="BalloonTextChar"/>
    <w:rsid w:val="003B69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69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69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69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69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69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6955"/>
    <w:pPr>
      <w:spacing w:before="0" w:after="0"/>
    </w:pPr>
  </w:style>
  <w:style w:type="paragraph" w:customStyle="1" w:styleId="BodyTextBold">
    <w:name w:val="Body Text Bold"/>
    <w:basedOn w:val="BodyText"/>
    <w:qFormat/>
    <w:rsid w:val="003B6955"/>
    <w:rPr>
      <w:b/>
    </w:rPr>
  </w:style>
  <w:style w:type="character" w:styleId="Hyperlink">
    <w:name w:val="Hyperlink"/>
    <w:basedOn w:val="DefaultParagraphFont"/>
    <w:uiPriority w:val="99"/>
    <w:unhideWhenUsed/>
    <w:rsid w:val="005B4C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724</Words>
  <Characters>4794</Characters>
  <Application>Microsoft Office Word</Application>
  <DocSecurity>0</DocSecurity>
  <Lines>228</Lines>
  <Paragraphs>125</Paragraphs>
  <ScaleCrop>false</ScaleCrop>
  <Company>Author-it Software Corporation Ltd.</Company>
  <LinksUpToDate>false</LinksUpToDate>
  <CharactersWithSpaces>5393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PMAOPS753 Develop a non-decorative coating or ink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2020-11-16T08:19:00Z</dcterms:created>
  <dcterms:modified xsi:type="dcterms:W3CDTF">2020-11-16T08:19:00Z</dcterms:modified>
</cp:coreProperties>
</file>