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76C9E" w:rsidP="00776C9E">
      <w:pPr>
        <w:pStyle w:val="Title"/>
      </w:pPr>
      <w:r>
        <w:fldChar w:fldCharType="begin"/>
      </w:r>
      <w:r>
        <w:instrText xml:space="preserve"> TITLE   \* MERGEFORMAT </w:instrText>
      </w:r>
      <w:r>
        <w:fldChar w:fldCharType="separate"/>
      </w:r>
      <w:r>
        <w:t>PMAOPS751 Apply physiochemical knowledge to select raw materials for surface coatings</w:t>
      </w:r>
      <w:r>
        <w:fldChar w:fldCharType="end"/>
      </w:r>
    </w:p>
    <w:p w:rsidR="00776C9E" w:rsidP="00776C9E">
      <w:pPr>
        <w:pStyle w:val="Version"/>
        <w:sectPr w:rsidSect="00AA717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A717D" w:rsidP="00AA717D">
      <w:pPr>
        <w:pStyle w:val="SuperHeading"/>
      </w:pPr>
      <w:r w:rsidRPr="00AA717D">
        <w:t>PMAOPS751 Apply physiochemical knowledge to select raw materials for surface coatings</w:t>
      </w:r>
    </w:p>
    <w:p w:rsidR="00000000" w:rsidRPr="00AA717D" w:rsidP="00AA717D">
      <w:pPr>
        <w:pStyle w:val="Heading1"/>
      </w:pPr>
      <w:bookmarkStart w:id="1" w:name="O_908620"/>
      <w:bookmarkEnd w:id="1"/>
      <w:r w:rsidRPr="00AA717D">
        <w:t>Modification History</w:t>
      </w:r>
    </w:p>
    <w:p w:rsidR="00000000" w:rsidRPr="00AA717D" w:rsidP="00776C9E">
      <w:pPr>
        <w:pStyle w:val="BodyText"/>
      </w:pPr>
      <w:r w:rsidRPr="00AA717D">
        <w:t xml:space="preserve">Release 1. Supersedes and is equivalent to PMAOPS751A Apply physiochemical knowledge to select raw materials for surface coatings  </w:t>
      </w:r>
    </w:p>
    <w:p w:rsidR="00000000" w:rsidRPr="00AA717D" w:rsidP="00AA717D">
      <w:pPr>
        <w:pStyle w:val="Heading1"/>
      </w:pPr>
      <w:bookmarkStart w:id="2" w:name="O_908628"/>
      <w:bookmarkEnd w:id="2"/>
      <w:r w:rsidRPr="00AA717D">
        <w:t>Application</w:t>
      </w:r>
    </w:p>
    <w:p w:rsidR="00000000" w:rsidRPr="00AA717D" w:rsidP="00776C9E">
      <w:pPr>
        <w:pStyle w:val="BodyText"/>
      </w:pPr>
      <w:r w:rsidRPr="00AA717D">
        <w:t xml:space="preserve">This unit of competency covers the skills and knowledge required to select raw materials for surface coatings. A surface coating is any liquid (e.g. solvent or emulsion-based) material applied to a solid surface for decorative </w:t>
      </w:r>
      <w:r w:rsidRPr="00AA717D">
        <w:t>and/or protective reasons.</w:t>
      </w:r>
    </w:p>
    <w:p w:rsidR="00000000" w:rsidRPr="00AA717D" w:rsidP="00776C9E">
      <w:pPr>
        <w:pStyle w:val="BodyText"/>
      </w:pPr>
      <w:r w:rsidRPr="00AA717D">
        <w:t>This unit of competency applies to senior technicians, laboratory supervisors, research and development personnel, or those in similar roles who are required to apply in-depth physiochemical knowledge in order to evaluate and se</w:t>
      </w:r>
      <w:r w:rsidRPr="00AA717D">
        <w:t xml:space="preserve">lect coating components (resins, additives and pigments), and design solvent systems to meet surface coatings requirements/specifications.   </w:t>
      </w:r>
    </w:p>
    <w:p w:rsidR="00000000" w:rsidRPr="00AA717D" w:rsidP="00776C9E">
      <w:pPr>
        <w:pStyle w:val="BodyText"/>
      </w:pPr>
      <w:r w:rsidRPr="00AA717D">
        <w:t xml:space="preserve">This unit provides the underlying competency to select materials which may then be combined to make a decorative </w:t>
      </w:r>
      <w:r w:rsidRPr="00AA717D">
        <w:t>or non-decorative coating.</w:t>
      </w:r>
    </w:p>
    <w:p w:rsidR="00000000" w:rsidRPr="00AA717D" w:rsidP="00776C9E">
      <w:pPr>
        <w:pStyle w:val="BodyText"/>
      </w:pPr>
      <w:r w:rsidRPr="00AA717D">
        <w:t>No licensing, legislative or certification requirements apply to this unit at the time of publication.</w:t>
      </w:r>
    </w:p>
    <w:p w:rsidR="00000000" w:rsidRPr="00AA717D" w:rsidP="00AA717D">
      <w:pPr>
        <w:pStyle w:val="Heading1"/>
      </w:pPr>
      <w:bookmarkStart w:id="3" w:name="O_908627"/>
      <w:bookmarkEnd w:id="3"/>
      <w:r w:rsidRPr="00AA717D">
        <w:t>Pre-requisite Unit</w:t>
      </w:r>
    </w:p>
    <w:p w:rsidR="00000000" w:rsidRPr="00AA717D" w:rsidP="00776C9E">
      <w:pPr>
        <w:pStyle w:val="BodyText"/>
      </w:pPr>
      <w:r w:rsidRPr="00AA717D">
        <w:t>Nil</w:t>
      </w:r>
    </w:p>
    <w:p w:rsidR="00000000" w:rsidRPr="00AA717D" w:rsidP="00AA717D">
      <w:pPr>
        <w:pStyle w:val="Heading1"/>
      </w:pPr>
      <w:bookmarkStart w:id="4" w:name="O_908626"/>
      <w:bookmarkEnd w:id="4"/>
      <w:r w:rsidRPr="00AA717D">
        <w:t>Competency Field</w:t>
      </w:r>
    </w:p>
    <w:p w:rsidR="00000000" w:rsidRPr="00AA717D" w:rsidP="00776C9E">
      <w:pPr>
        <w:pStyle w:val="BodyText"/>
      </w:pPr>
      <w:r w:rsidRPr="00AA717D">
        <w:t>Operations</w:t>
      </w:r>
    </w:p>
    <w:p w:rsidR="00000000" w:rsidRPr="00AA717D" w:rsidP="00AA717D">
      <w:pPr>
        <w:pStyle w:val="Heading1"/>
      </w:pPr>
      <w:bookmarkStart w:id="5" w:name="O_908625"/>
      <w:bookmarkEnd w:id="5"/>
      <w:r w:rsidRPr="00AA717D">
        <w:t>Unit Sector</w:t>
      </w:r>
    </w:p>
    <w:p w:rsidR="00000000" w:rsidRPr="00AA717D" w:rsidP="00AA717D">
      <w:pPr>
        <w:pStyle w:val="Heading1"/>
      </w:pPr>
      <w:bookmarkStart w:id="6" w:name="O_908624"/>
      <w:bookmarkEnd w:id="6"/>
      <w:r w:rsidRPr="00AA717D">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AA717D">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AA717D">
            <w:pPr>
              <w:pStyle w:val="BodyText"/>
              <w:rPr>
                <w:lang w:val="en-NZ"/>
              </w:rPr>
            </w:pPr>
            <w:r w:rsidRPr="00AA717D">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AA717D">
            <w:pPr>
              <w:pStyle w:val="BodyText"/>
              <w:rPr>
                <w:lang w:val="en-NZ"/>
              </w:rPr>
            </w:pPr>
            <w:r w:rsidRPr="00AA717D">
              <w:t>Performance criteria describe the performance needed to demonstrate achievement of the element.</w:t>
            </w:r>
          </w:p>
        </w:tc>
      </w:tr>
      <w:tr w:rsidTr="00AA717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AA717D" w:rsidP="00AA717D">
            <w:pPr>
              <w:pStyle w:val="BodyText"/>
            </w:pPr>
            <w:r w:rsidRPr="00AA717D">
              <w:t>1</w:t>
            </w:r>
          </w:p>
        </w:tc>
        <w:tc>
          <w:tcPr>
            <w:tcW w:w="1962" w:type="dxa"/>
            <w:vMerge w:val="restart"/>
            <w:tcBorders>
              <w:top w:val="nil"/>
              <w:left w:val="nil"/>
              <w:bottom w:val="nil"/>
              <w:right w:val="nil"/>
            </w:tcBorders>
            <w:tcMar>
              <w:top w:w="0" w:type="dxa"/>
              <w:left w:w="62" w:type="dxa"/>
              <w:bottom w:w="0" w:type="dxa"/>
              <w:right w:w="62" w:type="dxa"/>
            </w:tcMar>
          </w:tcPr>
          <w:p w:rsidR="00000000" w:rsidP="00AA717D">
            <w:pPr>
              <w:pStyle w:val="BodyText"/>
              <w:rPr>
                <w:lang w:val="en-NZ"/>
              </w:rPr>
            </w:pPr>
            <w:r w:rsidRPr="00AA717D">
              <w:rPr>
                <w:rStyle w:val="SpecialBold"/>
              </w:rPr>
              <w:t>Apply knowledge of polymers to surface coating properties</w:t>
            </w:r>
          </w:p>
        </w:tc>
        <w:tc>
          <w:tcPr>
            <w:tcW w:w="770" w:type="dxa"/>
            <w:tcBorders>
              <w:top w:val="nil"/>
              <w:left w:val="nil"/>
              <w:bottom w:val="nil"/>
              <w:right w:val="nil"/>
            </w:tcBorders>
            <w:tcMar>
              <w:top w:w="0" w:type="dxa"/>
              <w:left w:w="62" w:type="dxa"/>
              <w:bottom w:w="0" w:type="dxa"/>
              <w:right w:w="62" w:type="dxa"/>
            </w:tcMar>
          </w:tcPr>
          <w:p w:rsidR="00000000" w:rsidP="00AA717D">
            <w:pPr>
              <w:pStyle w:val="BodyText"/>
              <w:rPr>
                <w:lang w:val="en-NZ"/>
              </w:rPr>
            </w:pPr>
            <w:r w:rsidRPr="00AA717D">
              <w:t>1.1</w:t>
            </w:r>
          </w:p>
        </w:tc>
        <w:tc>
          <w:tcPr>
            <w:tcW w:w="5610" w:type="dxa"/>
            <w:tcBorders>
              <w:top w:val="nil"/>
              <w:left w:val="nil"/>
              <w:bottom w:val="nil"/>
              <w:right w:val="nil"/>
            </w:tcBorders>
            <w:tcMar>
              <w:top w:w="0" w:type="dxa"/>
              <w:left w:w="62" w:type="dxa"/>
              <w:bottom w:w="0" w:type="dxa"/>
              <w:right w:w="62" w:type="dxa"/>
            </w:tcMar>
          </w:tcPr>
          <w:p w:rsidR="00000000" w:rsidP="00AA717D">
            <w:pPr>
              <w:pStyle w:val="BodyText"/>
              <w:rPr>
                <w:lang w:val="en-NZ"/>
              </w:rPr>
            </w:pPr>
            <w:r w:rsidRPr="00AA717D">
              <w:t>Predict coating properties related to nature of polymer base</w:t>
            </w:r>
          </w:p>
        </w:tc>
      </w:tr>
      <w:tr w:rsidTr="00AA717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A717D">
            <w:pPr>
              <w:pStyle w:val="BodyText"/>
              <w:rPr>
                <w:lang w:val="en-NZ"/>
              </w:rPr>
            </w:pPr>
            <w:r w:rsidRPr="00AA717D">
              <w:t>1.2</w:t>
            </w:r>
          </w:p>
        </w:tc>
        <w:tc>
          <w:tcPr>
            <w:tcW w:w="5610" w:type="dxa"/>
            <w:tcBorders>
              <w:top w:val="nil"/>
              <w:left w:val="nil"/>
              <w:bottom w:val="nil"/>
              <w:right w:val="nil"/>
            </w:tcBorders>
            <w:tcMar>
              <w:top w:w="0" w:type="dxa"/>
              <w:left w:w="62" w:type="dxa"/>
              <w:bottom w:w="0" w:type="dxa"/>
              <w:right w:w="62" w:type="dxa"/>
            </w:tcMar>
          </w:tcPr>
          <w:p w:rsidR="00000000" w:rsidP="00AA717D">
            <w:pPr>
              <w:pStyle w:val="BodyText"/>
              <w:rPr>
                <w:lang w:val="en-NZ"/>
              </w:rPr>
            </w:pPr>
            <w:r w:rsidRPr="00AA717D">
              <w:t>Calculate the molecular weight of a polymer</w:t>
            </w:r>
          </w:p>
        </w:tc>
      </w:tr>
      <w:tr w:rsidTr="00AA717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A717D">
            <w:pPr>
              <w:pStyle w:val="BodyText"/>
              <w:rPr>
                <w:lang w:val="en-NZ"/>
              </w:rPr>
            </w:pPr>
            <w:r w:rsidRPr="00AA717D">
              <w:t>1.3</w:t>
            </w:r>
          </w:p>
        </w:tc>
        <w:tc>
          <w:tcPr>
            <w:tcW w:w="5610" w:type="dxa"/>
            <w:tcBorders>
              <w:top w:val="nil"/>
              <w:left w:val="nil"/>
              <w:bottom w:val="nil"/>
              <w:right w:val="nil"/>
            </w:tcBorders>
            <w:tcMar>
              <w:top w:w="0" w:type="dxa"/>
              <w:left w:w="62" w:type="dxa"/>
              <w:bottom w:w="0" w:type="dxa"/>
              <w:right w:w="62" w:type="dxa"/>
            </w:tcMar>
          </w:tcPr>
          <w:p w:rsidR="00000000" w:rsidP="00AA717D">
            <w:pPr>
              <w:pStyle w:val="BodyText"/>
              <w:rPr>
                <w:lang w:val="en-NZ"/>
              </w:rPr>
            </w:pPr>
            <w:r w:rsidRPr="00AA717D">
              <w:t>Distinguish between the characteristics of solution, emulsion and dispersion polymers</w:t>
            </w:r>
          </w:p>
        </w:tc>
      </w:tr>
      <w:tr w:rsidTr="00AA717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A717D">
            <w:pPr>
              <w:pStyle w:val="BodyText"/>
              <w:rPr>
                <w:lang w:val="en-NZ"/>
              </w:rPr>
            </w:pPr>
            <w:r w:rsidRPr="00AA717D">
              <w:t>1.4</w:t>
            </w:r>
          </w:p>
        </w:tc>
        <w:tc>
          <w:tcPr>
            <w:tcW w:w="5610" w:type="dxa"/>
            <w:tcBorders>
              <w:top w:val="nil"/>
              <w:left w:val="nil"/>
              <w:bottom w:val="nil"/>
              <w:right w:val="nil"/>
            </w:tcBorders>
            <w:tcMar>
              <w:top w:w="0" w:type="dxa"/>
              <w:left w:w="62" w:type="dxa"/>
              <w:bottom w:w="0" w:type="dxa"/>
              <w:right w:w="62" w:type="dxa"/>
            </w:tcMar>
          </w:tcPr>
          <w:p w:rsidR="00000000" w:rsidP="00AA717D">
            <w:pPr>
              <w:pStyle w:val="BodyText"/>
              <w:rPr>
                <w:lang w:val="en-NZ"/>
              </w:rPr>
            </w:pPr>
            <w:r w:rsidRPr="00AA717D">
              <w:t>Identify health, safety and environment (HSE), economic and manufacturing-related properties of polymers</w:t>
            </w:r>
          </w:p>
        </w:tc>
      </w:tr>
      <w:tr w:rsidTr="00AA717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A717D">
            <w:pPr>
              <w:pStyle w:val="BodyText"/>
              <w:rPr>
                <w:lang w:val="en-NZ"/>
              </w:rPr>
            </w:pPr>
            <w:r w:rsidRPr="00AA717D">
              <w:t>1.5</w:t>
            </w:r>
          </w:p>
        </w:tc>
        <w:tc>
          <w:tcPr>
            <w:tcW w:w="5610" w:type="dxa"/>
            <w:tcBorders>
              <w:top w:val="nil"/>
              <w:left w:val="nil"/>
              <w:bottom w:val="nil"/>
              <w:right w:val="nil"/>
            </w:tcBorders>
            <w:tcMar>
              <w:top w:w="0" w:type="dxa"/>
              <w:left w:w="62" w:type="dxa"/>
              <w:bottom w:w="0" w:type="dxa"/>
              <w:right w:w="62" w:type="dxa"/>
            </w:tcMar>
          </w:tcPr>
          <w:p w:rsidR="00000000" w:rsidP="00AA717D">
            <w:pPr>
              <w:pStyle w:val="BodyText"/>
              <w:rPr>
                <w:lang w:val="en-NZ"/>
              </w:rPr>
            </w:pPr>
            <w:r w:rsidRPr="00AA717D">
              <w:t>Identify the effects of monomer selection on product properties</w:t>
            </w:r>
          </w:p>
        </w:tc>
      </w:tr>
      <w:tr w:rsidTr="00AA717D">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AA717D">
            <w:pPr>
              <w:pStyle w:val="BodyText"/>
              <w:rPr>
                <w:lang w:val="en-NZ"/>
              </w:rPr>
            </w:pPr>
          </w:p>
        </w:tc>
      </w:tr>
      <w:tr w:rsidTr="00AA717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AA717D" w:rsidP="00AA717D">
            <w:pPr>
              <w:pStyle w:val="BodyText"/>
            </w:pPr>
            <w:r w:rsidRPr="00AA717D">
              <w:t>2</w:t>
            </w:r>
          </w:p>
        </w:tc>
        <w:tc>
          <w:tcPr>
            <w:tcW w:w="1962" w:type="dxa"/>
            <w:vMerge w:val="restart"/>
            <w:tcBorders>
              <w:top w:val="nil"/>
              <w:left w:val="nil"/>
              <w:bottom w:val="nil"/>
              <w:right w:val="nil"/>
            </w:tcBorders>
            <w:tcMar>
              <w:top w:w="0" w:type="dxa"/>
              <w:left w:w="62" w:type="dxa"/>
              <w:bottom w:w="0" w:type="dxa"/>
              <w:right w:w="62" w:type="dxa"/>
            </w:tcMar>
          </w:tcPr>
          <w:p w:rsidR="00000000" w:rsidP="00AA717D">
            <w:pPr>
              <w:pStyle w:val="BodyText"/>
              <w:rPr>
                <w:lang w:val="en-NZ"/>
              </w:rPr>
            </w:pPr>
            <w:r w:rsidRPr="00AA717D">
              <w:rPr>
                <w:rStyle w:val="SpecialBold"/>
              </w:rPr>
              <w:t>Select resins for surface coatings</w:t>
            </w:r>
          </w:p>
        </w:tc>
        <w:tc>
          <w:tcPr>
            <w:tcW w:w="770" w:type="dxa"/>
            <w:tcBorders>
              <w:top w:val="nil"/>
              <w:left w:val="nil"/>
              <w:bottom w:val="nil"/>
              <w:right w:val="nil"/>
            </w:tcBorders>
            <w:tcMar>
              <w:top w:w="0" w:type="dxa"/>
              <w:left w:w="62" w:type="dxa"/>
              <w:bottom w:w="0" w:type="dxa"/>
              <w:right w:w="62" w:type="dxa"/>
            </w:tcMar>
          </w:tcPr>
          <w:p w:rsidR="00000000" w:rsidP="00AA717D">
            <w:pPr>
              <w:pStyle w:val="BodyText"/>
              <w:rPr>
                <w:lang w:val="en-NZ"/>
              </w:rPr>
            </w:pPr>
            <w:r w:rsidRPr="00AA717D">
              <w:t>2.1</w:t>
            </w:r>
          </w:p>
        </w:tc>
        <w:tc>
          <w:tcPr>
            <w:tcW w:w="5610" w:type="dxa"/>
            <w:tcBorders>
              <w:top w:val="nil"/>
              <w:left w:val="nil"/>
              <w:bottom w:val="nil"/>
              <w:right w:val="nil"/>
            </w:tcBorders>
            <w:tcMar>
              <w:top w:w="0" w:type="dxa"/>
              <w:left w:w="62" w:type="dxa"/>
              <w:bottom w:w="0" w:type="dxa"/>
              <w:right w:w="62" w:type="dxa"/>
            </w:tcMar>
          </w:tcPr>
          <w:p w:rsidR="00000000" w:rsidP="00AA717D">
            <w:pPr>
              <w:pStyle w:val="BodyText"/>
              <w:rPr>
                <w:lang w:val="en-NZ"/>
              </w:rPr>
            </w:pPr>
            <w:r w:rsidRPr="00AA717D">
              <w:t>Distinguish between the characteristics and uses of surface coating resins</w:t>
            </w:r>
          </w:p>
        </w:tc>
      </w:tr>
      <w:tr w:rsidTr="00AA717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A717D">
            <w:pPr>
              <w:pStyle w:val="BodyText"/>
              <w:rPr>
                <w:lang w:val="en-NZ"/>
              </w:rPr>
            </w:pPr>
            <w:r w:rsidRPr="00AA717D">
              <w:t>2.2</w:t>
            </w:r>
          </w:p>
        </w:tc>
        <w:tc>
          <w:tcPr>
            <w:tcW w:w="5610" w:type="dxa"/>
            <w:tcBorders>
              <w:top w:val="nil"/>
              <w:left w:val="nil"/>
              <w:bottom w:val="nil"/>
              <w:right w:val="nil"/>
            </w:tcBorders>
            <w:tcMar>
              <w:top w:w="0" w:type="dxa"/>
              <w:left w:w="62" w:type="dxa"/>
              <w:bottom w:w="0" w:type="dxa"/>
              <w:right w:w="62" w:type="dxa"/>
            </w:tcMar>
          </w:tcPr>
          <w:p w:rsidR="00000000" w:rsidP="00AA717D">
            <w:pPr>
              <w:pStyle w:val="BodyText"/>
              <w:rPr>
                <w:lang w:val="en-NZ"/>
              </w:rPr>
            </w:pPr>
            <w:r w:rsidRPr="00AA717D">
              <w:t>Identify HSE, economic and manufacturing-related properties of resins</w:t>
            </w:r>
          </w:p>
        </w:tc>
      </w:tr>
      <w:tr w:rsidTr="00AA717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A717D">
            <w:pPr>
              <w:pStyle w:val="BodyText"/>
              <w:rPr>
                <w:lang w:val="en-NZ"/>
              </w:rPr>
            </w:pPr>
            <w:r w:rsidRPr="00AA717D">
              <w:t>2.3</w:t>
            </w:r>
          </w:p>
        </w:tc>
        <w:tc>
          <w:tcPr>
            <w:tcW w:w="5610" w:type="dxa"/>
            <w:tcBorders>
              <w:top w:val="nil"/>
              <w:left w:val="nil"/>
              <w:bottom w:val="nil"/>
              <w:right w:val="nil"/>
            </w:tcBorders>
            <w:tcMar>
              <w:top w:w="0" w:type="dxa"/>
              <w:left w:w="62" w:type="dxa"/>
              <w:bottom w:w="0" w:type="dxa"/>
              <w:right w:w="62" w:type="dxa"/>
            </w:tcMar>
          </w:tcPr>
          <w:p w:rsidR="00000000" w:rsidP="00AA717D">
            <w:pPr>
              <w:pStyle w:val="BodyText"/>
              <w:rPr>
                <w:lang w:val="en-NZ"/>
              </w:rPr>
            </w:pPr>
            <w:r w:rsidRPr="00AA717D">
              <w:t>Select a resin for a typical end use</w:t>
            </w:r>
          </w:p>
        </w:tc>
      </w:tr>
      <w:tr w:rsidTr="00AA717D">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AA717D">
            <w:pPr>
              <w:pStyle w:val="BodyText"/>
              <w:rPr>
                <w:lang w:val="en-NZ"/>
              </w:rPr>
            </w:pPr>
          </w:p>
        </w:tc>
      </w:tr>
      <w:tr w:rsidTr="00AA717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AA717D" w:rsidP="00AA717D">
            <w:pPr>
              <w:pStyle w:val="BodyText"/>
            </w:pPr>
            <w:r w:rsidRPr="00AA717D">
              <w:t>3</w:t>
            </w:r>
          </w:p>
        </w:tc>
        <w:tc>
          <w:tcPr>
            <w:tcW w:w="1962" w:type="dxa"/>
            <w:vMerge w:val="restart"/>
            <w:tcBorders>
              <w:top w:val="nil"/>
              <w:left w:val="nil"/>
              <w:bottom w:val="nil"/>
              <w:right w:val="nil"/>
            </w:tcBorders>
            <w:tcMar>
              <w:top w:w="0" w:type="dxa"/>
              <w:left w:w="62" w:type="dxa"/>
              <w:bottom w:w="0" w:type="dxa"/>
              <w:right w:w="62" w:type="dxa"/>
            </w:tcMar>
          </w:tcPr>
          <w:p w:rsidR="00000000" w:rsidP="00AA717D">
            <w:pPr>
              <w:pStyle w:val="BodyText"/>
              <w:rPr>
                <w:lang w:val="en-NZ"/>
              </w:rPr>
            </w:pPr>
            <w:r w:rsidRPr="00AA717D">
              <w:rPr>
                <w:rStyle w:val="SpecialBold"/>
              </w:rPr>
              <w:t>Select additives for surface coatings</w:t>
            </w:r>
          </w:p>
        </w:tc>
        <w:tc>
          <w:tcPr>
            <w:tcW w:w="770" w:type="dxa"/>
            <w:tcBorders>
              <w:top w:val="nil"/>
              <w:left w:val="nil"/>
              <w:bottom w:val="nil"/>
              <w:right w:val="nil"/>
            </w:tcBorders>
            <w:tcMar>
              <w:top w:w="0" w:type="dxa"/>
              <w:left w:w="62" w:type="dxa"/>
              <w:bottom w:w="0" w:type="dxa"/>
              <w:right w:w="62" w:type="dxa"/>
            </w:tcMar>
          </w:tcPr>
          <w:p w:rsidR="00000000" w:rsidP="00AA717D">
            <w:pPr>
              <w:pStyle w:val="BodyText"/>
              <w:rPr>
                <w:lang w:val="en-NZ"/>
              </w:rPr>
            </w:pPr>
            <w:r w:rsidRPr="00AA717D">
              <w:t>3.1</w:t>
            </w:r>
          </w:p>
        </w:tc>
        <w:tc>
          <w:tcPr>
            <w:tcW w:w="5610" w:type="dxa"/>
            <w:tcBorders>
              <w:top w:val="nil"/>
              <w:left w:val="nil"/>
              <w:bottom w:val="nil"/>
              <w:right w:val="nil"/>
            </w:tcBorders>
            <w:tcMar>
              <w:top w:w="0" w:type="dxa"/>
              <w:left w:w="62" w:type="dxa"/>
              <w:bottom w:w="0" w:type="dxa"/>
              <w:right w:w="62" w:type="dxa"/>
            </w:tcMar>
          </w:tcPr>
          <w:p w:rsidR="00000000" w:rsidP="00AA717D">
            <w:pPr>
              <w:pStyle w:val="BodyText"/>
              <w:rPr>
                <w:lang w:val="en-NZ"/>
              </w:rPr>
            </w:pPr>
            <w:r w:rsidRPr="00AA717D">
              <w:t>Identify the principal additives used in coatings</w:t>
            </w:r>
          </w:p>
        </w:tc>
      </w:tr>
      <w:tr w:rsidTr="00AA717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A717D">
            <w:pPr>
              <w:pStyle w:val="BodyText"/>
              <w:rPr>
                <w:lang w:val="en-NZ"/>
              </w:rPr>
            </w:pPr>
            <w:r w:rsidRPr="00AA717D">
              <w:t>3.2</w:t>
            </w:r>
          </w:p>
        </w:tc>
        <w:tc>
          <w:tcPr>
            <w:tcW w:w="5610" w:type="dxa"/>
            <w:tcBorders>
              <w:top w:val="nil"/>
              <w:left w:val="nil"/>
              <w:bottom w:val="nil"/>
              <w:right w:val="nil"/>
            </w:tcBorders>
            <w:tcMar>
              <w:top w:w="0" w:type="dxa"/>
              <w:left w:w="62" w:type="dxa"/>
              <w:bottom w:w="0" w:type="dxa"/>
              <w:right w:w="62" w:type="dxa"/>
            </w:tcMar>
          </w:tcPr>
          <w:p w:rsidR="00000000" w:rsidP="00AA717D">
            <w:pPr>
              <w:pStyle w:val="BodyText"/>
              <w:rPr>
                <w:lang w:val="en-NZ"/>
              </w:rPr>
            </w:pPr>
            <w:r w:rsidRPr="00AA717D">
              <w:t>Distinguish between the characteristics and uses additives</w:t>
            </w:r>
          </w:p>
        </w:tc>
      </w:tr>
      <w:tr w:rsidTr="00AA717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A717D">
            <w:pPr>
              <w:pStyle w:val="BodyText"/>
              <w:rPr>
                <w:lang w:val="en-NZ"/>
              </w:rPr>
            </w:pPr>
            <w:r w:rsidRPr="00AA717D">
              <w:t>3.3</w:t>
            </w:r>
          </w:p>
        </w:tc>
        <w:tc>
          <w:tcPr>
            <w:tcW w:w="5610" w:type="dxa"/>
            <w:tcBorders>
              <w:top w:val="nil"/>
              <w:left w:val="nil"/>
              <w:bottom w:val="nil"/>
              <w:right w:val="nil"/>
            </w:tcBorders>
            <w:tcMar>
              <w:top w:w="0" w:type="dxa"/>
              <w:left w:w="62" w:type="dxa"/>
              <w:bottom w:w="0" w:type="dxa"/>
              <w:right w:w="62" w:type="dxa"/>
            </w:tcMar>
          </w:tcPr>
          <w:p w:rsidR="00000000" w:rsidP="00AA717D">
            <w:pPr>
              <w:pStyle w:val="BodyText"/>
              <w:rPr>
                <w:lang w:val="en-NZ"/>
              </w:rPr>
            </w:pPr>
            <w:r w:rsidRPr="00AA717D">
              <w:t>Identify HSE, economic and manufacturing-related properties of additives</w:t>
            </w:r>
          </w:p>
        </w:tc>
      </w:tr>
      <w:tr w:rsidTr="00AA717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A717D">
            <w:pPr>
              <w:pStyle w:val="BodyText"/>
              <w:rPr>
                <w:lang w:val="en-NZ"/>
              </w:rPr>
            </w:pPr>
            <w:r w:rsidRPr="00AA717D">
              <w:t>3.4</w:t>
            </w:r>
          </w:p>
        </w:tc>
        <w:tc>
          <w:tcPr>
            <w:tcW w:w="5610" w:type="dxa"/>
            <w:tcBorders>
              <w:top w:val="nil"/>
              <w:left w:val="nil"/>
              <w:bottom w:val="nil"/>
              <w:right w:val="nil"/>
            </w:tcBorders>
            <w:tcMar>
              <w:top w:w="0" w:type="dxa"/>
              <w:left w:w="62" w:type="dxa"/>
              <w:bottom w:w="0" w:type="dxa"/>
              <w:right w:w="62" w:type="dxa"/>
            </w:tcMar>
          </w:tcPr>
          <w:p w:rsidR="00000000" w:rsidP="00AA717D">
            <w:pPr>
              <w:pStyle w:val="BodyText"/>
              <w:rPr>
                <w:lang w:val="en-NZ"/>
              </w:rPr>
            </w:pPr>
            <w:r w:rsidRPr="00AA717D">
              <w:t>Select an additive for a typical end use</w:t>
            </w:r>
          </w:p>
        </w:tc>
      </w:tr>
      <w:tr w:rsidTr="00AA717D">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AA717D">
            <w:pPr>
              <w:pStyle w:val="BodyText"/>
              <w:rPr>
                <w:lang w:val="en-NZ"/>
              </w:rPr>
            </w:pPr>
          </w:p>
        </w:tc>
      </w:tr>
      <w:tr w:rsidTr="00AA717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AA717D" w:rsidP="00AA717D">
            <w:pPr>
              <w:pStyle w:val="BodyText"/>
            </w:pPr>
            <w:r w:rsidRPr="00AA717D">
              <w:t>4</w:t>
            </w:r>
          </w:p>
        </w:tc>
        <w:tc>
          <w:tcPr>
            <w:tcW w:w="1962" w:type="dxa"/>
            <w:vMerge w:val="restart"/>
            <w:tcBorders>
              <w:top w:val="nil"/>
              <w:left w:val="nil"/>
              <w:bottom w:val="nil"/>
              <w:right w:val="nil"/>
            </w:tcBorders>
            <w:tcMar>
              <w:top w:w="0" w:type="dxa"/>
              <w:left w:w="62" w:type="dxa"/>
              <w:bottom w:w="0" w:type="dxa"/>
              <w:right w:w="62" w:type="dxa"/>
            </w:tcMar>
          </w:tcPr>
          <w:p w:rsidR="00000000" w:rsidP="00AA717D">
            <w:pPr>
              <w:pStyle w:val="BodyText"/>
              <w:rPr>
                <w:lang w:val="en-NZ"/>
              </w:rPr>
            </w:pPr>
            <w:r w:rsidRPr="00AA717D">
              <w:rPr>
                <w:rStyle w:val="SpecialBold"/>
              </w:rPr>
              <w:t>Design a solvent system for surface coatings</w:t>
            </w:r>
          </w:p>
        </w:tc>
        <w:tc>
          <w:tcPr>
            <w:tcW w:w="770" w:type="dxa"/>
            <w:tcBorders>
              <w:top w:val="nil"/>
              <w:left w:val="nil"/>
              <w:bottom w:val="nil"/>
              <w:right w:val="nil"/>
            </w:tcBorders>
            <w:tcMar>
              <w:top w:w="0" w:type="dxa"/>
              <w:left w:w="62" w:type="dxa"/>
              <w:bottom w:w="0" w:type="dxa"/>
              <w:right w:w="62" w:type="dxa"/>
            </w:tcMar>
          </w:tcPr>
          <w:p w:rsidR="00000000" w:rsidP="00AA717D">
            <w:pPr>
              <w:pStyle w:val="BodyText"/>
              <w:rPr>
                <w:lang w:val="en-NZ"/>
              </w:rPr>
            </w:pPr>
            <w:r w:rsidRPr="00AA717D">
              <w:t>4.1</w:t>
            </w:r>
          </w:p>
        </w:tc>
        <w:tc>
          <w:tcPr>
            <w:tcW w:w="5610" w:type="dxa"/>
            <w:tcBorders>
              <w:top w:val="nil"/>
              <w:left w:val="nil"/>
              <w:bottom w:val="nil"/>
              <w:right w:val="nil"/>
            </w:tcBorders>
            <w:tcMar>
              <w:top w:w="0" w:type="dxa"/>
              <w:left w:w="62" w:type="dxa"/>
              <w:bottom w:w="0" w:type="dxa"/>
              <w:right w:w="62" w:type="dxa"/>
            </w:tcMar>
          </w:tcPr>
          <w:p w:rsidR="00000000" w:rsidP="00AA717D">
            <w:pPr>
              <w:pStyle w:val="BodyText"/>
              <w:rPr>
                <w:lang w:val="en-NZ"/>
              </w:rPr>
            </w:pPr>
            <w:r w:rsidRPr="00AA717D">
              <w:t>Identify the role and behaviour of solvent types and their properties</w:t>
            </w:r>
          </w:p>
        </w:tc>
      </w:tr>
      <w:tr w:rsidTr="00AA717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A717D">
            <w:pPr>
              <w:pStyle w:val="BodyText"/>
              <w:rPr>
                <w:lang w:val="en-NZ"/>
              </w:rPr>
            </w:pPr>
            <w:r w:rsidRPr="00AA717D">
              <w:t>4.2</w:t>
            </w:r>
          </w:p>
        </w:tc>
        <w:tc>
          <w:tcPr>
            <w:tcW w:w="5610" w:type="dxa"/>
            <w:tcBorders>
              <w:top w:val="nil"/>
              <w:left w:val="nil"/>
              <w:bottom w:val="nil"/>
              <w:right w:val="nil"/>
            </w:tcBorders>
            <w:tcMar>
              <w:top w:w="0" w:type="dxa"/>
              <w:left w:w="62" w:type="dxa"/>
              <w:bottom w:w="0" w:type="dxa"/>
              <w:right w:w="62" w:type="dxa"/>
            </w:tcMar>
          </w:tcPr>
          <w:p w:rsidR="00000000" w:rsidP="00AA717D">
            <w:pPr>
              <w:pStyle w:val="BodyText"/>
              <w:rPr>
                <w:lang w:val="en-NZ"/>
              </w:rPr>
            </w:pPr>
            <w:r w:rsidRPr="00AA717D">
              <w:t>Select solvents which may be suitable for an application</w:t>
            </w:r>
          </w:p>
        </w:tc>
      </w:tr>
      <w:tr w:rsidTr="00AA717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A717D">
            <w:pPr>
              <w:pStyle w:val="BodyText"/>
              <w:rPr>
                <w:lang w:val="en-NZ"/>
              </w:rPr>
            </w:pPr>
            <w:r w:rsidRPr="00AA717D">
              <w:t>4.3</w:t>
            </w:r>
          </w:p>
        </w:tc>
        <w:tc>
          <w:tcPr>
            <w:tcW w:w="5610" w:type="dxa"/>
            <w:tcBorders>
              <w:top w:val="nil"/>
              <w:left w:val="nil"/>
              <w:bottom w:val="nil"/>
              <w:right w:val="nil"/>
            </w:tcBorders>
            <w:tcMar>
              <w:top w:w="0" w:type="dxa"/>
              <w:left w:w="62" w:type="dxa"/>
              <w:bottom w:w="0" w:type="dxa"/>
              <w:right w:w="62" w:type="dxa"/>
            </w:tcMar>
          </w:tcPr>
          <w:p w:rsidR="00000000" w:rsidP="00AA717D">
            <w:pPr>
              <w:pStyle w:val="BodyText"/>
              <w:rPr>
                <w:lang w:val="en-NZ"/>
              </w:rPr>
            </w:pPr>
            <w:r w:rsidRPr="00AA717D">
              <w:t>Identify HSE, economic and manufacturing-related properties of solvents/solvent systems</w:t>
            </w:r>
          </w:p>
        </w:tc>
      </w:tr>
      <w:tr w:rsidTr="00AA717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A717D">
            <w:pPr>
              <w:pStyle w:val="BodyText"/>
              <w:rPr>
                <w:lang w:val="en-NZ"/>
              </w:rPr>
            </w:pPr>
            <w:r w:rsidRPr="00AA717D">
              <w:t>4.4</w:t>
            </w:r>
          </w:p>
        </w:tc>
        <w:tc>
          <w:tcPr>
            <w:tcW w:w="5610" w:type="dxa"/>
            <w:tcBorders>
              <w:top w:val="nil"/>
              <w:left w:val="nil"/>
              <w:bottom w:val="nil"/>
              <w:right w:val="nil"/>
            </w:tcBorders>
            <w:tcMar>
              <w:top w:w="0" w:type="dxa"/>
              <w:left w:w="62" w:type="dxa"/>
              <w:bottom w:w="0" w:type="dxa"/>
              <w:right w:w="62" w:type="dxa"/>
            </w:tcMar>
          </w:tcPr>
          <w:p w:rsidR="00000000" w:rsidP="00AA717D">
            <w:pPr>
              <w:pStyle w:val="BodyText"/>
              <w:rPr>
                <w:lang w:val="en-NZ"/>
              </w:rPr>
            </w:pPr>
            <w:r w:rsidRPr="00AA717D">
              <w:t>Recommend a solvent system by applying solvent system design principles and solubility parameters</w:t>
            </w:r>
          </w:p>
        </w:tc>
      </w:tr>
      <w:tr w:rsidTr="00AA717D">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AA717D">
            <w:pPr>
              <w:pStyle w:val="BodyText"/>
              <w:rPr>
                <w:lang w:val="en-NZ"/>
              </w:rPr>
            </w:pPr>
          </w:p>
        </w:tc>
      </w:tr>
      <w:tr w:rsidTr="00AA717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AA717D" w:rsidP="00AA717D">
            <w:pPr>
              <w:pStyle w:val="BodyText"/>
            </w:pPr>
            <w:r w:rsidRPr="00AA717D">
              <w:t>5</w:t>
            </w:r>
          </w:p>
        </w:tc>
        <w:tc>
          <w:tcPr>
            <w:tcW w:w="1962" w:type="dxa"/>
            <w:vMerge w:val="restart"/>
            <w:tcBorders>
              <w:top w:val="nil"/>
              <w:left w:val="nil"/>
              <w:bottom w:val="nil"/>
              <w:right w:val="nil"/>
            </w:tcBorders>
            <w:tcMar>
              <w:top w:w="0" w:type="dxa"/>
              <w:left w:w="62" w:type="dxa"/>
              <w:bottom w:w="0" w:type="dxa"/>
              <w:right w:w="62" w:type="dxa"/>
            </w:tcMar>
          </w:tcPr>
          <w:p w:rsidR="00000000" w:rsidP="00AA717D">
            <w:pPr>
              <w:pStyle w:val="BodyText"/>
              <w:rPr>
                <w:lang w:val="en-NZ"/>
              </w:rPr>
            </w:pPr>
            <w:r w:rsidRPr="00AA717D">
              <w:rPr>
                <w:rStyle w:val="SpecialBold"/>
              </w:rPr>
              <w:t>Select pigments for a surface coating</w:t>
            </w:r>
          </w:p>
        </w:tc>
        <w:tc>
          <w:tcPr>
            <w:tcW w:w="770" w:type="dxa"/>
            <w:tcBorders>
              <w:top w:val="nil"/>
              <w:left w:val="nil"/>
              <w:bottom w:val="nil"/>
              <w:right w:val="nil"/>
            </w:tcBorders>
            <w:tcMar>
              <w:top w:w="0" w:type="dxa"/>
              <w:left w:w="62" w:type="dxa"/>
              <w:bottom w:w="0" w:type="dxa"/>
              <w:right w:w="62" w:type="dxa"/>
            </w:tcMar>
          </w:tcPr>
          <w:p w:rsidR="00000000" w:rsidP="00AA717D">
            <w:pPr>
              <w:pStyle w:val="BodyText"/>
              <w:rPr>
                <w:lang w:val="en-NZ"/>
              </w:rPr>
            </w:pPr>
            <w:r w:rsidRPr="00AA717D">
              <w:t>5.1</w:t>
            </w:r>
          </w:p>
        </w:tc>
        <w:tc>
          <w:tcPr>
            <w:tcW w:w="5610" w:type="dxa"/>
            <w:tcBorders>
              <w:top w:val="nil"/>
              <w:left w:val="nil"/>
              <w:bottom w:val="nil"/>
              <w:right w:val="nil"/>
            </w:tcBorders>
            <w:tcMar>
              <w:top w:w="0" w:type="dxa"/>
              <w:left w:w="62" w:type="dxa"/>
              <w:bottom w:w="0" w:type="dxa"/>
              <w:right w:w="62" w:type="dxa"/>
            </w:tcMar>
          </w:tcPr>
          <w:p w:rsidR="00000000" w:rsidP="00AA717D">
            <w:pPr>
              <w:pStyle w:val="BodyText"/>
              <w:rPr>
                <w:lang w:val="en-NZ"/>
              </w:rPr>
            </w:pPr>
            <w:r w:rsidRPr="00AA717D">
              <w:t>Balance the relationship between particle size, gloss and opacity to achieve required outcome</w:t>
            </w:r>
          </w:p>
        </w:tc>
      </w:tr>
      <w:tr w:rsidTr="00AA717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A717D">
            <w:pPr>
              <w:pStyle w:val="BodyText"/>
              <w:rPr>
                <w:lang w:val="en-NZ"/>
              </w:rPr>
            </w:pPr>
            <w:r w:rsidRPr="00AA717D">
              <w:t>5.2</w:t>
            </w:r>
          </w:p>
        </w:tc>
        <w:tc>
          <w:tcPr>
            <w:tcW w:w="5610" w:type="dxa"/>
            <w:tcBorders>
              <w:top w:val="nil"/>
              <w:left w:val="nil"/>
              <w:bottom w:val="nil"/>
              <w:right w:val="nil"/>
            </w:tcBorders>
            <w:tcMar>
              <w:top w:w="0" w:type="dxa"/>
              <w:left w:w="62" w:type="dxa"/>
              <w:bottom w:w="0" w:type="dxa"/>
              <w:right w:w="62" w:type="dxa"/>
            </w:tcMar>
          </w:tcPr>
          <w:p w:rsidR="00000000" w:rsidP="00AA717D">
            <w:pPr>
              <w:pStyle w:val="BodyText"/>
              <w:rPr>
                <w:lang w:val="en-NZ"/>
              </w:rPr>
            </w:pPr>
            <w:r w:rsidRPr="00AA717D">
              <w:t>Distinguish between organic and inorganic pigment</w:t>
            </w:r>
          </w:p>
        </w:tc>
      </w:tr>
      <w:tr w:rsidTr="00AA717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A717D">
            <w:pPr>
              <w:pStyle w:val="BodyText"/>
              <w:rPr>
                <w:lang w:val="en-NZ"/>
              </w:rPr>
            </w:pPr>
            <w:r w:rsidRPr="00AA717D">
              <w:t>5.3</w:t>
            </w:r>
          </w:p>
        </w:tc>
        <w:tc>
          <w:tcPr>
            <w:tcW w:w="5610" w:type="dxa"/>
            <w:tcBorders>
              <w:top w:val="nil"/>
              <w:left w:val="nil"/>
              <w:bottom w:val="nil"/>
              <w:right w:val="nil"/>
            </w:tcBorders>
            <w:tcMar>
              <w:top w:w="0" w:type="dxa"/>
              <w:left w:w="62" w:type="dxa"/>
              <w:bottom w:w="0" w:type="dxa"/>
              <w:right w:w="62" w:type="dxa"/>
            </w:tcMar>
          </w:tcPr>
          <w:p w:rsidR="00000000" w:rsidP="00AA717D">
            <w:pPr>
              <w:pStyle w:val="BodyText"/>
              <w:rPr>
                <w:lang w:val="en-NZ"/>
              </w:rPr>
            </w:pPr>
            <w:r w:rsidRPr="00AA717D">
              <w:t>Identify applications for titanium dioxide (TiO2) pigments</w:t>
            </w:r>
          </w:p>
        </w:tc>
      </w:tr>
      <w:tr w:rsidTr="00AA717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A717D">
            <w:pPr>
              <w:pStyle w:val="BodyText"/>
              <w:rPr>
                <w:lang w:val="en-NZ"/>
              </w:rPr>
            </w:pPr>
            <w:r w:rsidRPr="00AA717D">
              <w:t>5.4</w:t>
            </w:r>
          </w:p>
        </w:tc>
        <w:tc>
          <w:tcPr>
            <w:tcW w:w="5610" w:type="dxa"/>
            <w:tcBorders>
              <w:top w:val="nil"/>
              <w:left w:val="nil"/>
              <w:bottom w:val="nil"/>
              <w:right w:val="nil"/>
            </w:tcBorders>
            <w:tcMar>
              <w:top w:w="0" w:type="dxa"/>
              <w:left w:w="62" w:type="dxa"/>
              <w:bottom w:w="0" w:type="dxa"/>
              <w:right w:w="62" w:type="dxa"/>
            </w:tcMar>
          </w:tcPr>
          <w:p w:rsidR="00000000" w:rsidP="00AA717D">
            <w:pPr>
              <w:pStyle w:val="BodyText"/>
              <w:rPr>
                <w:lang w:val="en-NZ"/>
              </w:rPr>
            </w:pPr>
            <w:r w:rsidRPr="00AA717D">
              <w:t>Evaluate the need for the use of anti corrosive pigments</w:t>
            </w:r>
          </w:p>
        </w:tc>
      </w:tr>
      <w:tr w:rsidTr="00AA717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A717D">
            <w:pPr>
              <w:pStyle w:val="BodyText"/>
              <w:rPr>
                <w:lang w:val="en-NZ"/>
              </w:rPr>
            </w:pPr>
            <w:r w:rsidRPr="00AA717D">
              <w:t>5.5</w:t>
            </w:r>
          </w:p>
        </w:tc>
        <w:tc>
          <w:tcPr>
            <w:tcW w:w="5610" w:type="dxa"/>
            <w:tcBorders>
              <w:top w:val="nil"/>
              <w:left w:val="nil"/>
              <w:bottom w:val="nil"/>
              <w:right w:val="nil"/>
            </w:tcBorders>
            <w:tcMar>
              <w:top w:w="0" w:type="dxa"/>
              <w:left w:w="62" w:type="dxa"/>
              <w:bottom w:w="0" w:type="dxa"/>
              <w:right w:w="62" w:type="dxa"/>
            </w:tcMar>
          </w:tcPr>
          <w:p w:rsidR="00000000" w:rsidP="00AA717D">
            <w:pPr>
              <w:pStyle w:val="BodyText"/>
              <w:rPr>
                <w:lang w:val="en-NZ"/>
              </w:rPr>
            </w:pPr>
            <w:r w:rsidRPr="00AA717D">
              <w:t>Verify the need for extenders</w:t>
            </w:r>
          </w:p>
        </w:tc>
      </w:tr>
      <w:tr w:rsidTr="00AA717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A717D">
            <w:pPr>
              <w:pStyle w:val="BodyText"/>
              <w:rPr>
                <w:lang w:val="en-NZ"/>
              </w:rPr>
            </w:pPr>
            <w:r w:rsidRPr="00AA717D">
              <w:t>5.6</w:t>
            </w:r>
          </w:p>
        </w:tc>
        <w:tc>
          <w:tcPr>
            <w:tcW w:w="5610" w:type="dxa"/>
            <w:tcBorders>
              <w:top w:val="nil"/>
              <w:left w:val="nil"/>
              <w:bottom w:val="nil"/>
              <w:right w:val="nil"/>
            </w:tcBorders>
            <w:tcMar>
              <w:top w:w="0" w:type="dxa"/>
              <w:left w:w="62" w:type="dxa"/>
              <w:bottom w:w="0" w:type="dxa"/>
              <w:right w:w="62" w:type="dxa"/>
            </w:tcMar>
          </w:tcPr>
          <w:p w:rsidR="00000000" w:rsidP="00AA717D">
            <w:pPr>
              <w:pStyle w:val="BodyText"/>
              <w:rPr>
                <w:lang w:val="en-NZ"/>
              </w:rPr>
            </w:pPr>
            <w:r w:rsidRPr="00AA717D">
              <w:t>Identify HSE, economic and manufacturing-related properties of pigments</w:t>
            </w:r>
          </w:p>
        </w:tc>
      </w:tr>
      <w:tr w:rsidTr="00AA717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A717D">
            <w:pPr>
              <w:pStyle w:val="BodyText"/>
              <w:rPr>
                <w:lang w:val="en-NZ"/>
              </w:rPr>
            </w:pPr>
            <w:r w:rsidRPr="00AA717D">
              <w:t>5.7</w:t>
            </w:r>
          </w:p>
        </w:tc>
        <w:tc>
          <w:tcPr>
            <w:tcW w:w="5610" w:type="dxa"/>
            <w:tcBorders>
              <w:top w:val="nil"/>
              <w:left w:val="nil"/>
              <w:bottom w:val="nil"/>
              <w:right w:val="nil"/>
            </w:tcBorders>
            <w:tcMar>
              <w:top w:w="0" w:type="dxa"/>
              <w:left w:w="62" w:type="dxa"/>
              <w:bottom w:w="0" w:type="dxa"/>
              <w:right w:w="62" w:type="dxa"/>
            </w:tcMar>
          </w:tcPr>
          <w:p w:rsidR="00000000" w:rsidRPr="00AA717D" w:rsidP="00AA717D">
            <w:pPr>
              <w:pStyle w:val="BodyText"/>
            </w:pPr>
            <w:r w:rsidRPr="00AA717D">
              <w:t>Select a pigment combination for a typical application</w:t>
            </w:r>
          </w:p>
        </w:tc>
      </w:tr>
    </w:tbl>
    <w:p w:rsidR="00000000" w:rsidRPr="00AA717D" w:rsidP="00AA717D">
      <w:pPr>
        <w:pStyle w:val="BodyText"/>
      </w:pPr>
    </w:p>
    <w:p w:rsidR="00000000" w:rsidRPr="00AA717D" w:rsidP="00AA717D">
      <w:pPr>
        <w:pStyle w:val="AllowPageBreak"/>
      </w:pPr>
    </w:p>
    <w:p w:rsidR="00000000" w:rsidRPr="00AA717D" w:rsidP="00AA717D">
      <w:pPr>
        <w:pStyle w:val="Heading1"/>
      </w:pPr>
      <w:bookmarkStart w:id="7" w:name="O_908623"/>
      <w:bookmarkEnd w:id="7"/>
      <w:r w:rsidRPr="00AA717D">
        <w:t>Foundation Skills</w:t>
      </w:r>
    </w:p>
    <w:p w:rsidR="00000000" w:rsidRPr="00AA717D" w:rsidP="00776C9E">
      <w:pPr>
        <w:pStyle w:val="BodyText"/>
      </w:pPr>
      <w:r w:rsidRPr="00AA717D">
        <w:t>This section describes those language, literacy, numeracy and employment skills that are essential to performance.</w:t>
      </w:r>
    </w:p>
    <w:p w:rsidR="00000000" w:rsidRPr="00AA717D" w:rsidP="00776C9E">
      <w:pPr>
        <w:pStyle w:val="BodyText"/>
      </w:pPr>
      <w:r w:rsidRPr="00AA717D">
        <w:t>Foundation skills essential to performance are explicit in the performance criteria of this unit of competency.</w:t>
      </w:r>
    </w:p>
    <w:p w:rsidR="00000000" w:rsidRPr="00AA717D" w:rsidP="00AA717D">
      <w:pPr>
        <w:pStyle w:val="Heading1"/>
      </w:pPr>
      <w:bookmarkStart w:id="8" w:name="O_908622"/>
      <w:bookmarkEnd w:id="8"/>
      <w:r w:rsidRPr="00AA717D">
        <w:t>Range of Conditions</w:t>
      </w:r>
    </w:p>
    <w:tbl>
      <w:tblPr>
        <w:tblW w:w="0" w:type="auto"/>
        <w:tblCellMar>
          <w:left w:w="62" w:type="dxa"/>
          <w:right w:w="62" w:type="dxa"/>
        </w:tblCellMar>
        <w:tblLook w:val="0000"/>
      </w:tblPr>
      <w:tblGrid>
        <w:gridCol w:w="2712"/>
        <w:gridCol w:w="6484"/>
      </w:tblGrid>
      <w:tr w:rsidTr="00776C9E">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AA717D">
            <w:pPr>
              <w:pStyle w:val="BodyText"/>
              <w:rPr>
                <w:lang w:val="en-NZ"/>
              </w:rPr>
            </w:pPr>
            <w:r w:rsidRPr="00AA717D">
              <w:t>This field allows for different work environments and conditions that may affect performance. Essential operating conditions that may be present (depending on the work situation, needs of the candidate, accessibility of the item</w:t>
            </w:r>
            <w:r w:rsidRPr="00AA717D">
              <w:t>, and local industry and regional contexts) are included.</w:t>
            </w:r>
          </w:p>
        </w:tc>
      </w:tr>
      <w:tr w:rsidTr="00776C9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AA717D" w:rsidP="00AA717D">
            <w:pPr>
              <w:pStyle w:val="BodyText"/>
            </w:pPr>
            <w:r w:rsidRPr="00AA717D">
              <w:rPr>
                <w:rStyle w:val="SpecialBold"/>
              </w:rPr>
              <w:t xml:space="preserve">Regulatory framework </w:t>
            </w:r>
          </w:p>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AA717D" w:rsidP="00AA717D">
            <w:pPr>
              <w:pStyle w:val="BodyText"/>
            </w:pPr>
            <w:r w:rsidRPr="00AA717D">
              <w:t>The latest version of all legislation, regulations, industry codes of practice and Australian/international standards, or the version specified by the local regulatory autho</w:t>
            </w:r>
            <w:r w:rsidRPr="00AA717D">
              <w:t>rity, must be used, and include one or more of the following:</w:t>
            </w:r>
          </w:p>
          <w:p w:rsidR="00000000" w:rsidRPr="00AA717D" w:rsidP="00AA717D">
            <w:pPr>
              <w:pStyle w:val="ListBullet"/>
            </w:pPr>
            <w:r w:rsidRPr="00AA717D">
              <w:t>legislative requirements, including work health and safety (WHS)</w:t>
            </w:r>
          </w:p>
          <w:p w:rsidR="00000000" w:rsidRPr="00AA717D" w:rsidP="00AA717D">
            <w:pPr>
              <w:pStyle w:val="ListBullet"/>
            </w:pPr>
            <w:r w:rsidRPr="00AA717D">
              <w:t>industry codes of practice and guidelines</w:t>
            </w:r>
          </w:p>
          <w:p w:rsidR="00000000" w:rsidRPr="00AA717D" w:rsidP="00AA717D">
            <w:pPr>
              <w:pStyle w:val="ListBullet"/>
            </w:pPr>
            <w:r w:rsidRPr="00AA717D">
              <w:t xml:space="preserve">environmental regulations and guidelines </w:t>
            </w:r>
          </w:p>
          <w:p w:rsidR="00000000" w:rsidRPr="00AA717D" w:rsidP="00AA717D">
            <w:pPr>
              <w:pStyle w:val="ListBullet"/>
            </w:pPr>
            <w:r w:rsidRPr="00AA717D">
              <w:t>Australian and other standards</w:t>
            </w:r>
          </w:p>
          <w:p w:rsidR="00000000" w:rsidRPr="00AA717D" w:rsidP="00AA717D">
            <w:pPr>
              <w:pStyle w:val="ListBullet"/>
            </w:pPr>
            <w:r w:rsidRPr="00AA717D">
              <w:t xml:space="preserve">licence and certification requirements </w:t>
            </w:r>
          </w:p>
          <w:p w:rsidR="00000000" w:rsidRPr="00AA717D" w:rsidP="00AA717D">
            <w:pPr>
              <w:pStyle w:val="BodyText"/>
            </w:pPr>
          </w:p>
          <w:p w:rsidR="00000000" w:rsidRPr="00AA717D" w:rsidP="00AA717D">
            <w:pPr>
              <w:pStyle w:val="BodyText"/>
            </w:pPr>
            <w:r w:rsidRPr="00AA717D">
              <w:t>All operations to which this unit applies are subject to stringent health, safety and environment (HSE) requirements, which may be imposed through state/territory or federal legislation, and these must not be compro</w:t>
            </w:r>
            <w:r w:rsidRPr="00AA717D">
              <w:t>mised at any time. Where there is an apparent conflict between performance criteria and HSE requirements, the HSE requirements take precedence.</w:t>
            </w:r>
          </w:p>
          <w:p w:rsidR="00000000" w:rsidP="00AA717D">
            <w:pPr>
              <w:pStyle w:val="BodyText"/>
              <w:rPr>
                <w:lang w:val="en-NZ"/>
              </w:rPr>
            </w:pPr>
          </w:p>
        </w:tc>
      </w:tr>
      <w:tr w:rsidTr="00776C9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A717D">
            <w:pPr>
              <w:pStyle w:val="BodyText"/>
              <w:rPr>
                <w:lang w:val="en-NZ"/>
              </w:rPr>
            </w:pPr>
            <w:r w:rsidRPr="00AA717D">
              <w:rPr>
                <w:rStyle w:val="SpecialBold"/>
              </w:rPr>
              <w:t>Hazards</w:t>
            </w:r>
          </w:p>
        </w:tc>
        <w:tc>
          <w:tcPr>
            <w:tcW w:w="0" w:type="auto"/>
            <w:tcBorders>
              <w:top w:val="nil"/>
              <w:left w:val="nil"/>
              <w:bottom w:val="nil"/>
              <w:right w:val="nil"/>
            </w:tcBorders>
            <w:tcMar>
              <w:top w:w="0" w:type="dxa"/>
              <w:left w:w="62" w:type="dxa"/>
              <w:bottom w:w="0" w:type="dxa"/>
              <w:right w:w="62" w:type="dxa"/>
            </w:tcMar>
          </w:tcPr>
          <w:p w:rsidR="00000000" w:rsidRPr="00AA717D" w:rsidP="00AA717D">
            <w:pPr>
              <w:pStyle w:val="BodyText"/>
            </w:pPr>
            <w:r w:rsidRPr="00AA717D">
              <w:t>Hazards include one or more of the following:</w:t>
            </w:r>
          </w:p>
          <w:p w:rsidR="00000000" w:rsidRPr="00AA717D" w:rsidP="00AA717D">
            <w:pPr>
              <w:pStyle w:val="ListBullet"/>
            </w:pPr>
            <w:r w:rsidRPr="00AA717D">
              <w:t>flammability and explosivity</w:t>
            </w:r>
          </w:p>
          <w:p w:rsidR="00000000" w:rsidRPr="00AA717D" w:rsidP="00AA717D">
            <w:pPr>
              <w:pStyle w:val="ListBullet"/>
            </w:pPr>
            <w:r w:rsidRPr="00AA717D">
              <w:t>hazardous products and mat</w:t>
            </w:r>
            <w:r w:rsidRPr="00AA717D">
              <w:t>erials</w:t>
            </w:r>
          </w:p>
          <w:p w:rsidR="00000000" w:rsidRPr="00AA717D" w:rsidP="00AA717D">
            <w:pPr>
              <w:pStyle w:val="ListBullet"/>
            </w:pPr>
            <w:r w:rsidRPr="00AA717D">
              <w:t>other hazards that might arise</w:t>
            </w:r>
          </w:p>
          <w:p w:rsidR="00000000" w:rsidP="00AA717D">
            <w:pPr>
              <w:pStyle w:val="BodyText"/>
              <w:rPr>
                <w:lang w:val="en-NZ"/>
              </w:rPr>
            </w:pPr>
          </w:p>
        </w:tc>
      </w:tr>
      <w:tr w:rsidTr="00776C9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A717D">
            <w:pPr>
              <w:pStyle w:val="BodyText"/>
              <w:rPr>
                <w:lang w:val="en-NZ"/>
              </w:rPr>
            </w:pPr>
            <w:r w:rsidRPr="00AA717D">
              <w:rPr>
                <w:rStyle w:val="SpecialBold"/>
              </w:rPr>
              <w:t>Procedures</w:t>
            </w:r>
          </w:p>
        </w:tc>
        <w:tc>
          <w:tcPr>
            <w:tcW w:w="0" w:type="auto"/>
            <w:tcBorders>
              <w:top w:val="nil"/>
              <w:left w:val="nil"/>
              <w:bottom w:val="nil"/>
              <w:right w:val="nil"/>
            </w:tcBorders>
            <w:tcMar>
              <w:top w:w="0" w:type="dxa"/>
              <w:left w:w="62" w:type="dxa"/>
              <w:bottom w:w="0" w:type="dxa"/>
              <w:right w:w="62" w:type="dxa"/>
            </w:tcMar>
          </w:tcPr>
          <w:p w:rsidR="00000000" w:rsidRPr="00AA717D" w:rsidP="00AA717D">
            <w:pPr>
              <w:pStyle w:val="BodyText"/>
            </w:pPr>
            <w:r w:rsidRPr="00AA717D">
              <w:t>All operations must be performed in accordance with relevant procedures.</w:t>
            </w:r>
          </w:p>
          <w:p w:rsidR="00000000" w:rsidRPr="00AA717D" w:rsidP="00AA717D">
            <w:pPr>
              <w:pStyle w:val="BodyText"/>
            </w:pPr>
          </w:p>
          <w:p w:rsidR="00000000" w:rsidRPr="00AA717D" w:rsidP="00AA717D">
            <w:pPr>
              <w:pStyle w:val="BodyText"/>
            </w:pPr>
            <w:r w:rsidRPr="00AA717D">
              <w:t>Procedures are written, verbal, visual, computer-based or in some other form, include one or more of the following:</w:t>
            </w:r>
          </w:p>
          <w:p w:rsidR="00000000" w:rsidRPr="00AA717D" w:rsidP="00AA717D">
            <w:pPr>
              <w:pStyle w:val="ListBullet"/>
            </w:pPr>
            <w:r w:rsidRPr="00AA717D">
              <w:t>work instructions</w:t>
            </w:r>
          </w:p>
          <w:p w:rsidR="00000000" w:rsidRPr="00AA717D" w:rsidP="00AA717D">
            <w:pPr>
              <w:pStyle w:val="ListBullet"/>
            </w:pPr>
            <w:r w:rsidRPr="00AA717D">
              <w:t>standard operating procedures (SOPs)</w:t>
            </w:r>
          </w:p>
          <w:p w:rsidR="00000000" w:rsidRPr="00AA717D" w:rsidP="00AA717D">
            <w:pPr>
              <w:pStyle w:val="ListBullet"/>
            </w:pPr>
            <w:r w:rsidRPr="00AA717D">
              <w:t xml:space="preserve">formulas/recipes </w:t>
            </w:r>
          </w:p>
          <w:p w:rsidR="00000000" w:rsidRPr="00AA717D" w:rsidP="00AA717D">
            <w:pPr>
              <w:pStyle w:val="ListBullet"/>
            </w:pPr>
            <w:r w:rsidRPr="00AA717D">
              <w:t>batch sheets</w:t>
            </w:r>
          </w:p>
          <w:p w:rsidR="00000000" w:rsidRPr="00AA717D" w:rsidP="00AA717D">
            <w:pPr>
              <w:pStyle w:val="ListBullet"/>
            </w:pPr>
            <w:r w:rsidRPr="00AA717D">
              <w:t>temporary instructions</w:t>
            </w:r>
          </w:p>
          <w:p w:rsidR="00000000" w:rsidRPr="00AA717D" w:rsidP="00AA717D">
            <w:pPr>
              <w:pStyle w:val="ListBullet"/>
            </w:pPr>
            <w:r w:rsidRPr="00AA717D">
              <w:t>any similar instructions provided for the smooth running of the plant</w:t>
            </w:r>
          </w:p>
        </w:tc>
      </w:tr>
    </w:tbl>
    <w:p w:rsidR="00000000" w:rsidRPr="00AA717D" w:rsidP="00AA717D">
      <w:pPr>
        <w:pStyle w:val="BodyText"/>
      </w:pPr>
    </w:p>
    <w:p w:rsidR="00000000" w:rsidRPr="00AA717D" w:rsidP="00AA717D">
      <w:pPr>
        <w:pStyle w:val="AllowPageBreak"/>
      </w:pPr>
    </w:p>
    <w:p w:rsidR="00000000" w:rsidRPr="00AA717D" w:rsidP="00AA717D">
      <w:pPr>
        <w:pStyle w:val="Heading1"/>
      </w:pPr>
      <w:bookmarkStart w:id="9" w:name="O_908621"/>
      <w:bookmarkEnd w:id="9"/>
      <w:r w:rsidRPr="00AA717D">
        <w:t>Unit Mapping Information</w:t>
      </w:r>
    </w:p>
    <w:p w:rsidR="00000000" w:rsidRPr="00AA717D" w:rsidP="00776C9E">
      <w:pPr>
        <w:pStyle w:val="BodyText"/>
      </w:pPr>
      <w:r w:rsidRPr="00AA717D">
        <w:t xml:space="preserve">Release 1. Supersedes and is equivalent to PMAOPS751A Apply physiochemical knowledge to select raw materials for surface coatings  </w:t>
      </w:r>
    </w:p>
    <w:p w:rsidR="00000000" w:rsidRPr="00AA717D" w:rsidP="00AA717D">
      <w:pPr>
        <w:pStyle w:val="Heading1"/>
      </w:pPr>
      <w:bookmarkStart w:id="10" w:name="O_908614"/>
      <w:bookmarkEnd w:id="10"/>
      <w:r w:rsidRPr="00AA717D">
        <w:t>Links</w:t>
      </w:r>
    </w:p>
    <w:p w:rsidR="00000000" w:rsidRPr="00AA717D" w:rsidP="00776C9E">
      <w:pPr>
        <w:pStyle w:val="BodyText"/>
      </w:pPr>
      <w:r w:rsidRPr="00AA717D">
        <w:t xml:space="preserve">Companion Volume implementation guides are found in VETNet - </w:t>
      </w:r>
      <w:r>
        <w:fldChar w:fldCharType="begin"/>
      </w:r>
      <w:r>
        <w:instrText xml:space="preserve"> HYPERLINK "https://vetnet.gov.au/Pages/TrainingDocs.aspx?q=9fc2cf53-e570-4e9f-ad6a-b228ffdb6875" </w:instrText>
      </w:r>
      <w:r>
        <w:fldChar w:fldCharType="separate"/>
      </w:r>
      <w:r w:rsidRPr="00CE7EF5">
        <w:rPr>
          <w:rStyle w:val="Hyperlink"/>
        </w:rPr>
        <w:t>https://vetnet.gov.au/Pages/TrainingDocs.aspx?q=9fc2cf53-e570-4e9f-ad6a-b228ffdb6875</w:t>
      </w:r>
      <w:r>
        <w:fldChar w:fldCharType="end"/>
      </w:r>
    </w:p>
    <w:p w:rsidR="00000000" w:rsidRPr="00AA717D" w:rsidP="00776C9E">
      <w:pPr>
        <w:pStyle w:val="BodyText"/>
        <w:sectPr w:rsidSect="00AA717D">
          <w:headerReference w:type="default" r:id="rId10"/>
          <w:footerReference w:type="default" r:id="rId11"/>
          <w:pgSz w:w="11908" w:h="16833"/>
          <w:pgMar w:top="1702" w:right="1418" w:bottom="1702" w:left="1418" w:header="992" w:footer="992" w:gutter="0"/>
          <w:cols w:space="720"/>
          <w:noEndnote/>
          <w:docGrid w:linePitch="299"/>
        </w:sectPr>
      </w:pPr>
    </w:p>
    <w:p w:rsidR="00000000" w:rsidRPr="00AA717D" w:rsidP="00AA717D">
      <w:pPr>
        <w:pStyle w:val="SuperHeading"/>
      </w:pPr>
      <w:r w:rsidRPr="00AA717D">
        <w:t>Assessment Requirements for PMAOPS751 Apply physiochemical knowledge to select raw materials for surface coatings</w:t>
      </w:r>
    </w:p>
    <w:p w:rsidR="00000000" w:rsidRPr="00AA717D" w:rsidP="00AA717D">
      <w:pPr>
        <w:pStyle w:val="Heading1"/>
      </w:pPr>
      <w:bookmarkStart w:id="11" w:name="O_908616"/>
      <w:bookmarkEnd w:id="11"/>
      <w:r w:rsidRPr="00AA717D">
        <w:t>Modification History</w:t>
      </w:r>
    </w:p>
    <w:p w:rsidR="00000000" w:rsidRPr="00AA717D" w:rsidP="00776C9E">
      <w:pPr>
        <w:pStyle w:val="BodyText"/>
      </w:pPr>
      <w:r w:rsidRPr="00AA717D">
        <w:t>Release 1. Su</w:t>
      </w:r>
      <w:r w:rsidRPr="00AA717D">
        <w:t xml:space="preserve">persedes and is equivalent to PMAOPS751A Apply physiochemical knowledge to select raw materials for surface coatings  </w:t>
      </w:r>
    </w:p>
    <w:p w:rsidR="00000000" w:rsidRPr="00AA717D" w:rsidP="00AA717D">
      <w:pPr>
        <w:pStyle w:val="Heading1"/>
      </w:pPr>
      <w:bookmarkStart w:id="12" w:name="O_908619"/>
      <w:bookmarkEnd w:id="12"/>
      <w:r w:rsidRPr="00AA717D">
        <w:t>Performance Evidence</w:t>
      </w:r>
    </w:p>
    <w:p w:rsidR="00000000" w:rsidRPr="00AA717D" w:rsidP="00776C9E">
      <w:pPr>
        <w:pStyle w:val="BodyText"/>
      </w:pPr>
      <w:r w:rsidRPr="00AA717D">
        <w:t>Evidence required to demonstrate competence in this unit must be relevant to and satisfy the requirements of the elements and performance criteria ,and include the ability to:</w:t>
      </w:r>
    </w:p>
    <w:p w:rsidR="00000000" w:rsidRPr="00AA717D" w:rsidP="00AA717D">
      <w:pPr>
        <w:pStyle w:val="ListBullet"/>
      </w:pPr>
      <w:r w:rsidRPr="00AA717D">
        <w:t>evaluate resins, pigments and additives against specifications, including:</w:t>
      </w:r>
    </w:p>
    <w:p w:rsidR="00000000" w:rsidRPr="00AA717D" w:rsidP="00AA717D">
      <w:pPr>
        <w:pStyle w:val="ListBullet2"/>
      </w:pPr>
      <w:r w:rsidRPr="00AA717D">
        <w:t>che</w:t>
      </w:r>
      <w:r w:rsidRPr="00AA717D">
        <w:t>mistry</w:t>
      </w:r>
    </w:p>
    <w:p w:rsidR="00000000" w:rsidRPr="00AA717D" w:rsidP="00AA717D">
      <w:pPr>
        <w:pStyle w:val="ListBullet2"/>
      </w:pPr>
      <w:r w:rsidRPr="00AA717D">
        <w:t>structure</w:t>
      </w:r>
    </w:p>
    <w:p w:rsidR="00000000" w:rsidRPr="00AA717D" w:rsidP="00AA717D">
      <w:pPr>
        <w:pStyle w:val="ListBullet2"/>
      </w:pPr>
      <w:r w:rsidRPr="00AA717D">
        <w:t>physical and chemical properties relevant to surface coating</w:t>
      </w:r>
    </w:p>
    <w:p w:rsidR="00000000" w:rsidRPr="00AA717D" w:rsidP="00AA717D">
      <w:pPr>
        <w:pStyle w:val="ListBullet2"/>
      </w:pPr>
      <w:r w:rsidRPr="00AA717D">
        <w:t>modification reactions as relevant (e.g. alkyds)</w:t>
      </w:r>
    </w:p>
    <w:p w:rsidR="00000000" w:rsidRPr="00AA717D" w:rsidP="00AA717D">
      <w:pPr>
        <w:pStyle w:val="ListBullet2"/>
      </w:pPr>
      <w:r w:rsidRPr="00AA717D">
        <w:t>impact on environment</w:t>
      </w:r>
    </w:p>
    <w:p w:rsidR="00000000" w:rsidRPr="00AA717D" w:rsidP="00AA717D">
      <w:pPr>
        <w:pStyle w:val="ListBullet2"/>
      </w:pPr>
      <w:r w:rsidRPr="00AA717D">
        <w:t>benefits/costs</w:t>
      </w:r>
    </w:p>
    <w:p w:rsidR="00000000" w:rsidRPr="00AA717D" w:rsidP="00AA717D">
      <w:pPr>
        <w:pStyle w:val="ListBullet"/>
      </w:pPr>
      <w:r w:rsidRPr="00AA717D">
        <w:t>select materials for purpose</w:t>
      </w:r>
    </w:p>
    <w:p w:rsidR="00000000" w:rsidRPr="00AA717D" w:rsidP="00AA717D">
      <w:pPr>
        <w:pStyle w:val="ListBullet"/>
      </w:pPr>
      <w:r w:rsidRPr="00AA717D">
        <w:t>calculate the molecular weight of a polymer to determine the effects on the end product.</w:t>
      </w:r>
    </w:p>
    <w:p w:rsidR="00000000" w:rsidRPr="00AA717D" w:rsidP="00AA717D">
      <w:pPr>
        <w:pStyle w:val="AllowPageBreak"/>
      </w:pPr>
    </w:p>
    <w:p w:rsidR="00000000" w:rsidRPr="00AA717D" w:rsidP="00AA717D">
      <w:pPr>
        <w:pStyle w:val="Heading1"/>
      </w:pPr>
      <w:bookmarkStart w:id="13" w:name="O_908618"/>
      <w:bookmarkEnd w:id="13"/>
      <w:r w:rsidRPr="00AA717D">
        <w:t>Knowledge Evidence</w:t>
      </w:r>
    </w:p>
    <w:p w:rsidR="00000000" w:rsidRPr="00AA717D" w:rsidP="00776C9E">
      <w:pPr>
        <w:pStyle w:val="BodyText"/>
      </w:pPr>
      <w:r w:rsidRPr="00AA717D">
        <w:t>Evidence must be provided that demonstrates knowledge of:</w:t>
      </w:r>
    </w:p>
    <w:p w:rsidR="00000000" w:rsidRPr="00AA717D" w:rsidP="00AA717D">
      <w:pPr>
        <w:pStyle w:val="ListBullet"/>
      </w:pPr>
      <w:r w:rsidRPr="00AA717D">
        <w:t>characteristics and application of surface coating resins, including:</w:t>
      </w:r>
    </w:p>
    <w:p w:rsidR="00000000" w:rsidRPr="00AA717D" w:rsidP="00AA717D">
      <w:pPr>
        <w:pStyle w:val="ListBullet2"/>
      </w:pPr>
      <w:r w:rsidRPr="00AA717D">
        <w:t>s</w:t>
      </w:r>
      <w:r w:rsidRPr="00AA717D">
        <w:t>ynthetic resins with drying oils</w:t>
      </w:r>
    </w:p>
    <w:p w:rsidR="00000000" w:rsidRPr="00AA717D" w:rsidP="00AA717D">
      <w:pPr>
        <w:pStyle w:val="ListBullet2"/>
      </w:pPr>
      <w:r w:rsidRPr="00AA717D">
        <w:t>alkyd resins</w:t>
      </w:r>
    </w:p>
    <w:p w:rsidR="00000000" w:rsidRPr="00AA717D" w:rsidP="00AA717D">
      <w:pPr>
        <w:pStyle w:val="ListBullet2"/>
      </w:pPr>
      <w:r w:rsidRPr="00AA717D">
        <w:t>modified alkyd resin</w:t>
      </w:r>
    </w:p>
    <w:p w:rsidR="00000000" w:rsidRPr="00AA717D" w:rsidP="00AA717D">
      <w:pPr>
        <w:pStyle w:val="ListBullet2"/>
      </w:pPr>
      <w:r w:rsidRPr="00AA717D">
        <w:t>epoxy resins</w:t>
      </w:r>
    </w:p>
    <w:p w:rsidR="00000000" w:rsidRPr="00AA717D" w:rsidP="00AA717D">
      <w:pPr>
        <w:pStyle w:val="ListBullet2"/>
      </w:pPr>
      <w:r w:rsidRPr="00AA717D">
        <w:t>saturated and unsaturated polyester resins</w:t>
      </w:r>
    </w:p>
    <w:p w:rsidR="00000000" w:rsidRPr="00AA717D" w:rsidP="00AA717D">
      <w:pPr>
        <w:pStyle w:val="ListBullet2"/>
      </w:pPr>
      <w:r w:rsidRPr="00AA717D">
        <w:t>vinyl resin solutions</w:t>
      </w:r>
    </w:p>
    <w:p w:rsidR="00000000" w:rsidRPr="00AA717D" w:rsidP="00AA717D">
      <w:pPr>
        <w:pStyle w:val="ListBullet2"/>
      </w:pPr>
      <w:r w:rsidRPr="00AA717D">
        <w:t>thermosetting acrylic resins</w:t>
      </w:r>
    </w:p>
    <w:p w:rsidR="00000000" w:rsidRPr="00AA717D" w:rsidP="00AA717D">
      <w:pPr>
        <w:pStyle w:val="ListBullet2"/>
      </w:pPr>
      <w:r w:rsidRPr="00AA717D">
        <w:t>phenolic resins</w:t>
      </w:r>
    </w:p>
    <w:p w:rsidR="00000000" w:rsidRPr="00AA717D" w:rsidP="00AA717D">
      <w:pPr>
        <w:pStyle w:val="ListBullet"/>
      </w:pPr>
      <w:r w:rsidRPr="00AA717D">
        <w:t>characteristics and application of additives, including:</w:t>
      </w:r>
    </w:p>
    <w:p w:rsidR="00000000" w:rsidRPr="00AA717D" w:rsidP="00AA717D">
      <w:pPr>
        <w:pStyle w:val="ListBullet2"/>
      </w:pPr>
      <w:r w:rsidRPr="00AA717D">
        <w:t>cellulose</w:t>
      </w:r>
    </w:p>
    <w:p w:rsidR="00000000" w:rsidRPr="00AA717D" w:rsidP="00AA717D">
      <w:pPr>
        <w:pStyle w:val="ListBullet2"/>
      </w:pPr>
      <w:r w:rsidRPr="00AA717D">
        <w:t>nitrocellulose</w:t>
      </w:r>
    </w:p>
    <w:p w:rsidR="00000000" w:rsidRPr="00AA717D" w:rsidP="00AA717D">
      <w:pPr>
        <w:pStyle w:val="ListBullet2"/>
      </w:pPr>
      <w:r w:rsidRPr="00AA717D">
        <w:t>cellulose esters</w:t>
      </w:r>
    </w:p>
    <w:p w:rsidR="00000000" w:rsidRPr="00AA717D" w:rsidP="00AA717D">
      <w:pPr>
        <w:pStyle w:val="ListBullet2"/>
      </w:pPr>
      <w:r w:rsidRPr="00AA717D">
        <w:t>cellulose ethers</w:t>
      </w:r>
    </w:p>
    <w:p w:rsidR="00000000" w:rsidRPr="00AA717D" w:rsidP="00AA717D">
      <w:pPr>
        <w:pStyle w:val="ListBullet"/>
      </w:pPr>
      <w:r w:rsidRPr="00AA717D">
        <w:t>chemistry of raw materials</w:t>
      </w:r>
    </w:p>
    <w:p w:rsidR="00000000" w:rsidRPr="00AA717D" w:rsidP="00AA717D">
      <w:pPr>
        <w:pStyle w:val="ListBullet"/>
      </w:pPr>
      <w:r w:rsidRPr="00AA717D">
        <w:t>safety data sheets (SDS)</w:t>
      </w:r>
    </w:p>
    <w:p w:rsidR="00000000" w:rsidRPr="00AA717D" w:rsidP="00AA717D">
      <w:pPr>
        <w:pStyle w:val="ListBullet"/>
      </w:pPr>
      <w:r w:rsidRPr="00AA717D">
        <w:t>polymers used in surface coatings and their impact of the surface coating properties and applications</w:t>
      </w:r>
    </w:p>
    <w:p w:rsidR="00000000" w:rsidRPr="00AA717D" w:rsidP="00AA717D">
      <w:pPr>
        <w:pStyle w:val="ListBullet"/>
      </w:pPr>
      <w:r w:rsidRPr="00AA717D">
        <w:t>importance and impact of polymer functional groups</w:t>
      </w:r>
    </w:p>
    <w:p w:rsidR="00000000" w:rsidRPr="00AA717D" w:rsidP="00AA717D">
      <w:pPr>
        <w:pStyle w:val="ListBullet"/>
      </w:pPr>
      <w:r w:rsidRPr="00AA717D">
        <w:t>manufacturing techniques of alkyd resins</w:t>
      </w:r>
    </w:p>
    <w:p w:rsidR="00000000" w:rsidRPr="00AA717D" w:rsidP="00AA717D">
      <w:pPr>
        <w:pStyle w:val="ListBullet"/>
      </w:pPr>
      <w:r w:rsidRPr="00AA717D">
        <w:t>the effects of additives on the final properties of surface coatings</w:t>
      </w:r>
    </w:p>
    <w:p w:rsidR="00000000" w:rsidRPr="00AA717D" w:rsidP="00AA717D">
      <w:pPr>
        <w:pStyle w:val="ListBullet"/>
      </w:pPr>
      <w:r w:rsidRPr="00AA717D">
        <w:t>safety and environmental concerns in the use and handling of solvents</w:t>
      </w:r>
    </w:p>
    <w:p w:rsidR="00000000" w:rsidRPr="00AA717D" w:rsidP="00AA717D">
      <w:pPr>
        <w:pStyle w:val="ListBullet"/>
      </w:pPr>
      <w:r w:rsidRPr="00AA717D">
        <w:t>glass transition temperat</w:t>
      </w:r>
      <w:r w:rsidRPr="00AA717D">
        <w:t>ure of polymers and film forming mechanisms</w:t>
      </w:r>
    </w:p>
    <w:p w:rsidR="00000000" w:rsidRPr="00AA717D" w:rsidP="00AA717D">
      <w:pPr>
        <w:pStyle w:val="ListBullet"/>
      </w:pPr>
      <w:r w:rsidRPr="00AA717D">
        <w:t>the principles of emulsion polymerisation</w:t>
      </w:r>
    </w:p>
    <w:p w:rsidR="00000000" w:rsidRPr="00AA717D" w:rsidP="00AA717D">
      <w:pPr>
        <w:pStyle w:val="ListBullet"/>
      </w:pPr>
      <w:r w:rsidRPr="00AA717D">
        <w:t>the role and behaviour of solvents</w:t>
      </w:r>
    </w:p>
    <w:p w:rsidR="00000000" w:rsidRPr="00AA717D" w:rsidP="00AA717D">
      <w:pPr>
        <w:pStyle w:val="ListBullet"/>
      </w:pPr>
      <w:r w:rsidRPr="00AA717D">
        <w:t>the process of solvent evaporation used in formulating</w:t>
      </w:r>
    </w:p>
    <w:p w:rsidR="00000000" w:rsidRPr="00AA717D" w:rsidP="00AA717D">
      <w:pPr>
        <w:pStyle w:val="ListBullet"/>
      </w:pPr>
      <w:r w:rsidRPr="00AA717D">
        <w:t>the functions of pigments</w:t>
      </w:r>
    </w:p>
    <w:p w:rsidR="00000000" w:rsidRPr="00AA717D" w:rsidP="00AA717D">
      <w:pPr>
        <w:pStyle w:val="ListBullet"/>
      </w:pPr>
      <w:r w:rsidRPr="00AA717D">
        <w:t>reasons for the use of inorganic and organic pigments</w:t>
      </w:r>
    </w:p>
    <w:p w:rsidR="00000000" w:rsidRPr="00AA717D" w:rsidP="00AA717D">
      <w:pPr>
        <w:pStyle w:val="ListBullet"/>
      </w:pPr>
      <w:r w:rsidRPr="00AA717D">
        <w:t>key differences between organic and inorganic pigments</w:t>
      </w:r>
    </w:p>
    <w:p w:rsidR="00000000" w:rsidRPr="00AA717D" w:rsidP="00AA717D">
      <w:pPr>
        <w:pStyle w:val="ListBullet"/>
      </w:pPr>
      <w:r w:rsidRPr="00AA717D">
        <w:t>the performance properties of titanium dioxide (TiO</w:t>
      </w:r>
      <w:r w:rsidRPr="00AA717D">
        <w:rPr>
          <w:rStyle w:val="Subscript"/>
        </w:rPr>
        <w:t>2</w:t>
      </w:r>
      <w:r w:rsidRPr="00AA717D">
        <w:t>) pigments</w:t>
      </w:r>
    </w:p>
    <w:p w:rsidR="00000000" w:rsidRPr="00AA717D" w:rsidP="00AA717D">
      <w:pPr>
        <w:pStyle w:val="ListBullet"/>
      </w:pPr>
      <w:r w:rsidRPr="00AA717D">
        <w:t>the use of anti-corrosive pigments</w:t>
      </w:r>
    </w:p>
    <w:p w:rsidR="00000000" w:rsidRPr="00AA717D" w:rsidP="00AA717D">
      <w:pPr>
        <w:pStyle w:val="ListBullet"/>
      </w:pPr>
      <w:r w:rsidRPr="00AA717D">
        <w:t>the role and properties of extenders</w:t>
      </w:r>
    </w:p>
    <w:p w:rsidR="00000000" w:rsidRPr="00AA717D" w:rsidP="00AA717D">
      <w:pPr>
        <w:pStyle w:val="ListBullet"/>
      </w:pPr>
      <w:r w:rsidRPr="00AA717D">
        <w:t xml:space="preserve">overall, the reasons for the selection of raw materials when used </w:t>
      </w:r>
      <w:r w:rsidRPr="00AA717D">
        <w:t>in surface coatings</w:t>
      </w:r>
    </w:p>
    <w:p w:rsidR="00000000" w:rsidRPr="00AA717D" w:rsidP="00AA717D">
      <w:pPr>
        <w:pStyle w:val="ListBullet"/>
      </w:pPr>
      <w:r w:rsidRPr="00AA717D">
        <w:t>hierarchy of control</w:t>
      </w:r>
    </w:p>
    <w:p w:rsidR="00000000" w:rsidRPr="00AA717D" w:rsidP="00AA717D">
      <w:pPr>
        <w:pStyle w:val="ListBullet"/>
      </w:pPr>
      <w:r w:rsidRPr="00AA717D">
        <w:t>hazards that may arise in the job/work environment, and:</w:t>
      </w:r>
    </w:p>
    <w:p w:rsidR="00000000" w:rsidRPr="00AA717D" w:rsidP="00AA717D">
      <w:pPr>
        <w:pStyle w:val="ListBullet2"/>
      </w:pPr>
      <w:r w:rsidRPr="00AA717D">
        <w:t xml:space="preserve">their possible causes </w:t>
      </w:r>
    </w:p>
    <w:p w:rsidR="00000000" w:rsidRPr="00AA717D" w:rsidP="00AA717D">
      <w:pPr>
        <w:pStyle w:val="ListBullet2"/>
      </w:pPr>
      <w:r w:rsidRPr="00AA717D">
        <w:t>potential consequences</w:t>
      </w:r>
    </w:p>
    <w:p w:rsidR="00000000" w:rsidRPr="00AA717D" w:rsidP="00AA717D">
      <w:pPr>
        <w:pStyle w:val="ListBullet2"/>
      </w:pPr>
      <w:r w:rsidRPr="00AA717D">
        <w:t>appropriate risk controls.</w:t>
      </w:r>
    </w:p>
    <w:p w:rsidR="00000000" w:rsidRPr="00AA717D" w:rsidP="00AA717D">
      <w:pPr>
        <w:pStyle w:val="AllowPageBreak"/>
      </w:pPr>
    </w:p>
    <w:p w:rsidR="00000000" w:rsidRPr="00AA717D" w:rsidP="00AA717D">
      <w:pPr>
        <w:pStyle w:val="Heading1"/>
      </w:pPr>
      <w:bookmarkStart w:id="14" w:name="O_908617"/>
      <w:bookmarkEnd w:id="14"/>
      <w:r w:rsidRPr="00AA717D">
        <w:t>Assessment Conditions</w:t>
      </w:r>
    </w:p>
    <w:p w:rsidR="00000000" w:rsidRPr="00AA717D" w:rsidP="00AA717D">
      <w:pPr>
        <w:pStyle w:val="ListBullet"/>
      </w:pPr>
      <w:r w:rsidRPr="00AA717D">
        <w:t xml:space="preserve">The unit should be assessed holistically and the judgement of competence based on a holistic assessment of the evidence. </w:t>
      </w:r>
    </w:p>
    <w:p w:rsidR="00000000" w:rsidRPr="00AA717D" w:rsidP="00AA717D">
      <w:pPr>
        <w:pStyle w:val="ListBullet"/>
      </w:pPr>
      <w:r w:rsidRPr="00AA717D">
        <w:t>The collection of performance evidence is best done from a report and/or folio of evidence drawn from:</w:t>
      </w:r>
    </w:p>
    <w:p w:rsidR="00000000" w:rsidRPr="00AA717D" w:rsidP="00AA717D">
      <w:pPr>
        <w:pStyle w:val="ListBullet2"/>
      </w:pPr>
      <w:r w:rsidRPr="00AA717D">
        <w:t>a single project which provide</w:t>
      </w:r>
      <w:r w:rsidRPr="00AA717D">
        <w:t>s sufficient evidence of the requirements of all the elements and performance criteria</w:t>
      </w:r>
    </w:p>
    <w:p w:rsidR="00000000" w:rsidRPr="00AA717D" w:rsidP="00AA717D">
      <w:pPr>
        <w:pStyle w:val="ListBullet2"/>
      </w:pPr>
      <w:r w:rsidRPr="00AA717D">
        <w:t>multiple smaller projects which together provide sufficient evidence of the requirements of all the elements and performance criteria.</w:t>
      </w:r>
    </w:p>
    <w:p w:rsidR="00000000" w:rsidRPr="00AA717D" w:rsidP="00AA717D">
      <w:pPr>
        <w:pStyle w:val="ListBullet"/>
      </w:pPr>
      <w:r w:rsidRPr="00AA717D">
        <w:t>A third-party report, or similar,</w:t>
      </w:r>
      <w:r w:rsidRPr="00AA717D">
        <w:t xml:space="preserve"> may be needed to testify to the work done by the individual, particularly when the project has been done as part of a project team.</w:t>
      </w:r>
    </w:p>
    <w:p w:rsidR="00000000" w:rsidRPr="00AA717D" w:rsidP="00AA717D">
      <w:pPr>
        <w:pStyle w:val="ListBullet"/>
      </w:pPr>
      <w:r w:rsidRPr="00AA717D">
        <w:t>Assessment should use a real project in an operational workplace. Where this is not possible or practical assessment must o</w:t>
      </w:r>
      <w:r w:rsidRPr="00AA717D">
        <w:t xml:space="preserve">ccur using a sufficiently rigorous simulated environment reflecting realistic operational workplace conditions. This must cover all aspects of workplace performance, including environment, task skills, task management skills, contingency management skills </w:t>
      </w:r>
      <w:r w:rsidRPr="00AA717D">
        <w:t>and job role environment skills.</w:t>
      </w:r>
    </w:p>
    <w:p w:rsidR="00000000" w:rsidRPr="00AA717D" w:rsidP="00AA717D">
      <w:pPr>
        <w:pStyle w:val="ListBullet"/>
      </w:pPr>
      <w:r w:rsidRPr="00AA717D">
        <w:t>Knowledge evidence may be collected concurrently with performance evidence or through an independent process, such as workbooks, written assessments or interviews (provided a record is kept).</w:t>
      </w:r>
    </w:p>
    <w:p w:rsidR="00000000" w:rsidRPr="00AA717D" w:rsidP="00AA717D">
      <w:pPr>
        <w:pStyle w:val="ListBullet"/>
      </w:pPr>
      <w:r w:rsidRPr="00AA717D">
        <w:t>Assessment processes and techni</w:t>
      </w:r>
      <w:r w:rsidRPr="00AA717D">
        <w:t>ques must be appropriate to the language, literacy and numeracy requirements of the work being performed and the needs of the candidate.</w:t>
      </w:r>
    </w:p>
    <w:p w:rsidR="00000000" w:rsidRPr="00AA717D" w:rsidP="00AA717D">
      <w:pPr>
        <w:pStyle w:val="ListBullet"/>
      </w:pPr>
      <w:r w:rsidRPr="00AA717D">
        <w:t xml:space="preserve">Conditions for assessment must include access to all tools, equipment, materials and documentation required, including </w:t>
      </w:r>
      <w:r w:rsidRPr="00AA717D">
        <w:t>relevant workplace procedures, product and manufacturing specifications associated with this unit.</w:t>
      </w:r>
    </w:p>
    <w:p w:rsidR="00000000" w:rsidRPr="00AA717D" w:rsidP="00AA717D">
      <w:pPr>
        <w:pStyle w:val="ListBullet"/>
      </w:pPr>
      <w:r w:rsidRPr="00AA717D">
        <w:t>The regulatory framework will be reflected in workplace policies and procedures and is not required to be independently assessed.</w:t>
      </w:r>
    </w:p>
    <w:p w:rsidR="00000000" w:rsidRPr="00AA717D" w:rsidP="00AA717D">
      <w:pPr>
        <w:pStyle w:val="ListBullet"/>
      </w:pPr>
      <w:r w:rsidRPr="00AA717D">
        <w:t>Foundation skills are integral to competent performance of the unit and should not be assessed separately.</w:t>
      </w:r>
    </w:p>
    <w:p w:rsidR="00000000" w:rsidRPr="00AA717D" w:rsidP="00AA717D">
      <w:pPr>
        <w:pStyle w:val="ListBullet"/>
      </w:pPr>
      <w:r w:rsidRPr="00AA717D">
        <w:t>Assessors must satisfy the assessor competency requirements that are in place at the time of the assessment as set by the VET regulator.</w:t>
      </w:r>
    </w:p>
    <w:p w:rsidR="00000000" w:rsidRPr="00AA717D" w:rsidP="00AA717D">
      <w:pPr>
        <w:pStyle w:val="ListBullet"/>
      </w:pPr>
      <w:r w:rsidRPr="00AA717D">
        <w:t>In addition,</w:t>
      </w:r>
      <w:r w:rsidRPr="00AA717D">
        <w:t xml:space="preserve"> the assessor or anyone acting in subject matter expert role in assessment must demonstrate both technical competency and currency. If the assessor cannot demonstrate technical competency and currency they must assess with a subject matter expert who does </w:t>
      </w:r>
      <w:r w:rsidRPr="00AA717D">
        <w:t xml:space="preserve">meet these requirements. </w:t>
      </w:r>
    </w:p>
    <w:p w:rsidR="00000000" w:rsidRPr="00AA717D" w:rsidP="00AA717D">
      <w:pPr>
        <w:pStyle w:val="ListBullet"/>
      </w:pPr>
      <w:r w:rsidRPr="00AA717D">
        <w:t>Technical competence can be demonstrated through one or more of:</w:t>
      </w:r>
    </w:p>
    <w:p w:rsidR="00000000" w:rsidRPr="00AA717D" w:rsidP="00AA717D">
      <w:pPr>
        <w:pStyle w:val="ListBullet2"/>
      </w:pPr>
      <w:r w:rsidRPr="00AA717D">
        <w:t xml:space="preserve">relevant VET or other qualification/Statement of Attainment </w:t>
      </w:r>
    </w:p>
    <w:p w:rsidR="00000000" w:rsidRPr="00AA717D" w:rsidP="00AA717D">
      <w:pPr>
        <w:pStyle w:val="ListBullet2"/>
      </w:pPr>
      <w:r w:rsidRPr="00AA717D">
        <w:t>appropriate workplace experience undertaking the type of work being assessed under routine and non-rout</w:t>
      </w:r>
      <w:r w:rsidRPr="00AA717D">
        <w:t xml:space="preserve">ine conditions </w:t>
      </w:r>
    </w:p>
    <w:p w:rsidR="00000000" w:rsidRPr="00AA717D" w:rsidP="00AA717D">
      <w:pPr>
        <w:pStyle w:val="ListBullet2"/>
      </w:pPr>
      <w:r w:rsidRPr="00AA717D">
        <w:t>appropriate workplace experience supervising/evaluating the type of work being assessed under routine and non-routine conditions</w:t>
      </w:r>
    </w:p>
    <w:p w:rsidR="00000000" w:rsidRPr="00AA717D" w:rsidP="00AA717D">
      <w:pPr>
        <w:pStyle w:val="ListBullet"/>
      </w:pPr>
      <w:r w:rsidRPr="00AA717D">
        <w:t>Currency can be demonstrated through one or more of:</w:t>
      </w:r>
    </w:p>
    <w:p w:rsidR="00000000" w:rsidRPr="00AA717D" w:rsidP="00AA717D">
      <w:pPr>
        <w:pStyle w:val="ListBullet2"/>
      </w:pPr>
      <w:r w:rsidRPr="00AA717D">
        <w:t>being currently employed undertaking the type of work be</w:t>
      </w:r>
      <w:r w:rsidRPr="00AA717D">
        <w:t xml:space="preserve">ing assessed </w:t>
      </w:r>
    </w:p>
    <w:p w:rsidR="00000000" w:rsidRPr="00AA717D" w:rsidP="00AA717D">
      <w:pPr>
        <w:pStyle w:val="ListBullet2"/>
      </w:pPr>
      <w:r w:rsidRPr="00AA717D">
        <w:t xml:space="preserve">being employed by the organisation undertaking the type of work being assessed and having maintained currency in accordance with that organisation’s policies and procedures </w:t>
      </w:r>
    </w:p>
    <w:p w:rsidR="00000000" w:rsidRPr="00AA717D" w:rsidP="00AA717D">
      <w:pPr>
        <w:pStyle w:val="ListBullet2"/>
      </w:pPr>
      <w:r w:rsidRPr="00AA717D">
        <w:t>having consulted/had contact with an organisation undertaking the ty</w:t>
      </w:r>
      <w:r w:rsidRPr="00AA717D">
        <w:t xml:space="preserve">pe of work being assessed within the last twelve months, the consultation/contact being related to assessment </w:t>
      </w:r>
    </w:p>
    <w:p w:rsidR="00000000" w:rsidRPr="00AA717D" w:rsidP="00AA717D">
      <w:pPr>
        <w:pStyle w:val="ListBullet2"/>
      </w:pPr>
      <w:r w:rsidRPr="00AA717D">
        <w:t xml:space="preserve">conducting on-the-job training/assessments of the type of work being assessed </w:t>
      </w:r>
    </w:p>
    <w:p w:rsidR="00000000" w:rsidRPr="00AA717D" w:rsidP="00AA717D">
      <w:pPr>
        <w:pStyle w:val="ListBullet2"/>
      </w:pPr>
      <w:r w:rsidRPr="00AA717D">
        <w:t>being an active member of a relevant professional body and participating in activities relevant to the assessment of this type of work</w:t>
      </w:r>
    </w:p>
    <w:p w:rsidR="00000000" w:rsidRPr="00AA717D" w:rsidP="00AA717D">
      <w:pPr>
        <w:pStyle w:val="AllowPageBreak"/>
      </w:pPr>
    </w:p>
    <w:p w:rsidR="00000000" w:rsidRPr="00AA717D" w:rsidP="00AA717D">
      <w:pPr>
        <w:pStyle w:val="Heading1"/>
      </w:pPr>
      <w:bookmarkStart w:id="15" w:name="O_908615"/>
      <w:bookmarkEnd w:id="15"/>
      <w:r w:rsidRPr="00AA717D">
        <w:t>Links</w:t>
      </w:r>
    </w:p>
    <w:p w:rsidR="00000000" w:rsidRPr="00AA717D" w:rsidP="00776C9E">
      <w:pPr>
        <w:pStyle w:val="BodyText"/>
      </w:pPr>
      <w:r w:rsidRPr="00AA717D">
        <w:t xml:space="preserve">Companion Volume implementation guides are found in VETNet - </w:t>
      </w:r>
      <w:r>
        <w:fldChar w:fldCharType="begin"/>
      </w:r>
      <w:r>
        <w:instrText xml:space="preserve"> HYPERLINK "https://vetnet.gov.au/Pages/TrainingDocs.aspx?q=9fc2cf53-e570-4e9f-ad6a-b228ffdb6875" </w:instrText>
      </w:r>
      <w:r>
        <w:fldChar w:fldCharType="separate"/>
      </w:r>
      <w:r w:rsidRPr="00CE7EF5">
        <w:rPr>
          <w:rStyle w:val="Hyperlink"/>
        </w:rPr>
        <w:t>https://vetnet.gov.au/Pages/TrainingDocs.aspx?q=9fc2cf53-e570-4e9f-ad6a-b228ffdb6875</w:t>
      </w:r>
      <w:r>
        <w:fldChar w:fldCharType="end"/>
      </w:r>
    </w:p>
    <w:p w:rsidR="00000000" w:rsidRPr="00AA717D" w:rsidP="00AA717D"/>
    <w:sectPr w:rsidSect="00AA717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717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717D" w:rsidRPr="00776C9E" w:rsidP="00776C9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717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6C9E" w:rsidP="00AA717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776C9E" w:rsidP="00AA717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776C9E" w:rsidP="00AA717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717D" w:rsidP="00AA717D">
    <w:pPr>
      <w:pStyle w:val="Footer"/>
      <w:framePr w:wrap="around"/>
    </w:pPr>
    <w:r>
      <w:fldChar w:fldCharType="begin"/>
    </w:r>
    <w:r>
      <w:instrText xml:space="preserve"> DOCPROPERTY  Subject  \* MERGEFORMAT </w:instrText>
    </w:r>
    <w:r>
      <w:fldChar w:fldCharType="separate"/>
    </w:r>
    <w:r w:rsidR="00776C9E">
      <w:t>Approved</w:t>
    </w:r>
    <w:r w:rsidR="00776C9E">
      <w:fldChar w:fldCharType="end"/>
    </w:r>
    <w:r>
      <w:tab/>
      <w:t xml:space="preserve">Page </w:t>
    </w:r>
    <w:r>
      <w:fldChar w:fldCharType="begin"/>
    </w:r>
    <w:r>
      <w:instrText xml:space="preserve"> PAGE  \* Arabic  \* MERGEFORMAT </w:instrText>
    </w:r>
    <w:r>
      <w:fldChar w:fldCharType="separate"/>
    </w:r>
    <w:r w:rsidR="00776C9E">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76C9E">
      <w:rPr>
        <w:noProof/>
      </w:rPr>
      <w:t>6</w:t>
    </w:r>
    <w:r>
      <w:rPr>
        <w:noProof/>
      </w:rPr>
      <w:fldChar w:fldCharType="end"/>
    </w:r>
  </w:p>
  <w:p w:rsidR="00AA717D" w:rsidP="00AA717D">
    <w:pPr>
      <w:pStyle w:val="Footer"/>
      <w:framePr w:wrap="around"/>
    </w:pPr>
    <w:r>
      <w:t xml:space="preserve">© Commonwealth of Australia, </w:t>
    </w:r>
    <w:r>
      <w:fldChar w:fldCharType="begin"/>
    </w:r>
    <w:r>
      <w:instrText xml:space="preserve"> DATE  \@ "yyyy"  \* MERGEFORMAT </w:instrText>
    </w:r>
    <w:r>
      <w:fldChar w:fldCharType="separate"/>
    </w:r>
    <w:r w:rsidR="00776C9E">
      <w:rPr>
        <w:noProof/>
      </w:rPr>
      <w:t>2025</w:t>
    </w:r>
    <w:r>
      <w:fldChar w:fldCharType="end"/>
    </w:r>
    <w:r>
      <w:tab/>
    </w:r>
    <w:r>
      <w:fldChar w:fldCharType="begin"/>
    </w:r>
    <w:r>
      <w:instrText xml:space="preserve"> DOCPROPERTY  Author  \* MERGEFORMAT </w:instrText>
    </w:r>
    <w:r>
      <w:fldChar w:fldCharType="separate"/>
    </w:r>
    <w:r w:rsidR="00776C9E">
      <w:t>Manufacturing Industry Skills Alliance</w:t>
    </w:r>
    <w:r w:rsidR="00776C9E">
      <w:fldChar w:fldCharType="end"/>
    </w:r>
  </w:p>
  <w:p w:rsidR="00AA717D" w:rsidP="00AA717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717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6C9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A717D" w:rsidRPr="00776C9E" w:rsidP="00776C9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717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6C9E" w:rsidRPr="002D2AF8" w:rsidP="00AA717D">
    <w:pPr>
      <w:pStyle w:val="Header"/>
      <w:framePr w:wrap="around"/>
    </w:pPr>
    <w:r>
      <w:fldChar w:fldCharType="begin"/>
    </w:r>
    <w:r>
      <w:instrText xml:space="preserve"> TITLE   \* MERGEFORMAT </w:instrText>
    </w:r>
    <w:r>
      <w:fldChar w:fldCharType="separate"/>
    </w:r>
    <w:r>
      <w:t>PMAOPS751 Apply physiochemical knowledge to select raw materials for surface coatings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776C9E" w:rsidP="00AA717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717D" w:rsidRPr="002D2AF8" w:rsidP="00AA717D">
    <w:pPr>
      <w:pStyle w:val="Header"/>
      <w:framePr w:wrap="around"/>
    </w:pPr>
    <w:r>
      <w:fldChar w:fldCharType="begin"/>
    </w:r>
    <w:r>
      <w:instrText xml:space="preserve"> TITLE   \* MERGEFORMAT </w:instrText>
    </w:r>
    <w:r>
      <w:fldChar w:fldCharType="separate"/>
    </w:r>
    <w:r w:rsidR="00776C9E">
      <w:t>PMAOPS751 Apply physiochemical knowledge to select raw materials for surface coatings</w:t>
    </w:r>
    <w:r w:rsidR="00776C9E">
      <w:fldChar w:fldCharType="end"/>
    </w:r>
    <w:r>
      <w:tab/>
      <w:t xml:space="preserve">Date this document was generated: </w:t>
    </w:r>
    <w:r>
      <w:fldChar w:fldCharType="begin"/>
    </w:r>
    <w:r>
      <w:instrText xml:space="preserve"> CREATEDATE  \@ "d MMMM yyyy"  \* MERGEFORMAT </w:instrText>
    </w:r>
    <w:r>
      <w:fldChar w:fldCharType="separate"/>
    </w:r>
    <w:r w:rsidR="00776C9E">
      <w:rPr>
        <w:noProof/>
      </w:rPr>
      <w:t>2 March 2025</w:t>
    </w:r>
    <w:r>
      <w:fldChar w:fldCharType="end"/>
    </w:r>
  </w:p>
  <w:p w:rsidR="00AA717D" w:rsidP="00AA717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570DDB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1CE3D1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2FA962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A717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A717D"/>
    <w:pPr>
      <w:spacing w:before="360" w:after="60"/>
      <w:outlineLvl w:val="0"/>
    </w:pPr>
    <w:rPr>
      <w:sz w:val="32"/>
    </w:rPr>
  </w:style>
  <w:style w:type="paragraph" w:styleId="Heading2">
    <w:name w:val="heading 2"/>
    <w:basedOn w:val="HeadingBase"/>
    <w:next w:val="BodyText"/>
    <w:link w:val="Heading2Char"/>
    <w:qFormat/>
    <w:rsid w:val="00AA717D"/>
    <w:pPr>
      <w:keepLines/>
      <w:spacing w:before="240" w:after="120"/>
      <w:outlineLvl w:val="1"/>
    </w:pPr>
    <w:rPr>
      <w:sz w:val="28"/>
      <w:szCs w:val="40"/>
    </w:rPr>
  </w:style>
  <w:style w:type="paragraph" w:styleId="Heading3">
    <w:name w:val="heading 3"/>
    <w:basedOn w:val="HeadingBase"/>
    <w:next w:val="BodyText"/>
    <w:link w:val="Heading3Char"/>
    <w:qFormat/>
    <w:rsid w:val="00AA717D"/>
    <w:pPr>
      <w:spacing w:before="180" w:after="120"/>
      <w:outlineLvl w:val="2"/>
    </w:pPr>
    <w:rPr>
      <w:spacing w:val="-10"/>
      <w:kern w:val="32"/>
    </w:rPr>
  </w:style>
  <w:style w:type="paragraph" w:styleId="Heading4">
    <w:name w:val="heading 4"/>
    <w:basedOn w:val="HeadingBase"/>
    <w:next w:val="BodyText"/>
    <w:link w:val="Heading4Char"/>
    <w:qFormat/>
    <w:rsid w:val="00AA717D"/>
    <w:pPr>
      <w:spacing w:before="160" w:after="120"/>
      <w:outlineLvl w:val="3"/>
    </w:pPr>
    <w:rPr>
      <w:sz w:val="22"/>
    </w:rPr>
  </w:style>
  <w:style w:type="paragraph" w:styleId="Heading5">
    <w:name w:val="heading 5"/>
    <w:basedOn w:val="HeadingBase"/>
    <w:next w:val="Normal"/>
    <w:link w:val="Heading5Char"/>
    <w:qFormat/>
    <w:rsid w:val="00AA717D"/>
    <w:pPr>
      <w:spacing w:before="80"/>
      <w:outlineLvl w:val="4"/>
    </w:pPr>
    <w:rPr>
      <w:color w:val="918585"/>
      <w:sz w:val="20"/>
    </w:rPr>
  </w:style>
  <w:style w:type="paragraph" w:styleId="Heading6">
    <w:name w:val="heading 6"/>
    <w:basedOn w:val="HeadingBase"/>
    <w:next w:val="Normal"/>
    <w:link w:val="Heading6Char"/>
    <w:qFormat/>
    <w:rsid w:val="00AA717D"/>
    <w:pPr>
      <w:spacing w:before="60"/>
      <w:outlineLvl w:val="5"/>
    </w:pPr>
    <w:rPr>
      <w:color w:val="918585"/>
      <w:sz w:val="20"/>
    </w:rPr>
  </w:style>
  <w:style w:type="paragraph" w:styleId="Heading7">
    <w:name w:val="heading 7"/>
    <w:basedOn w:val="Normal"/>
    <w:next w:val="Normal"/>
    <w:link w:val="Heading7Char"/>
    <w:qFormat/>
    <w:rsid w:val="00AA717D"/>
    <w:pPr>
      <w:ind w:left="720"/>
      <w:outlineLvl w:val="6"/>
    </w:pPr>
    <w:rPr>
      <w:i/>
    </w:rPr>
  </w:style>
  <w:style w:type="paragraph" w:styleId="Heading8">
    <w:name w:val="heading 8"/>
    <w:basedOn w:val="Normal"/>
    <w:next w:val="Normal"/>
    <w:link w:val="Heading8Char"/>
    <w:qFormat/>
    <w:rsid w:val="00AA717D"/>
    <w:pPr>
      <w:ind w:left="720"/>
      <w:outlineLvl w:val="7"/>
    </w:pPr>
    <w:rPr>
      <w:i/>
    </w:rPr>
  </w:style>
  <w:style w:type="paragraph" w:styleId="Heading9">
    <w:name w:val="heading 9"/>
    <w:basedOn w:val="Normal"/>
    <w:next w:val="Normal"/>
    <w:link w:val="Heading9Char"/>
    <w:qFormat/>
    <w:rsid w:val="00AA717D"/>
    <w:pPr>
      <w:ind w:left="720"/>
      <w:outlineLvl w:val="8"/>
    </w:pPr>
    <w:rPr>
      <w:i/>
    </w:rPr>
  </w:style>
  <w:style w:type="character" w:default="1" w:styleId="DefaultParagraphFont">
    <w:name w:val="Default Paragraph Font"/>
    <w:uiPriority w:val="1"/>
    <w:unhideWhenUsed/>
    <w:rsid w:val="00AA717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A717D"/>
  </w:style>
  <w:style w:type="character" w:customStyle="1" w:styleId="Heading1Char">
    <w:name w:val="Heading 1 Char"/>
    <w:basedOn w:val="DefaultParagraphFont"/>
    <w:link w:val="Heading1"/>
    <w:rsid w:val="00AA717D"/>
    <w:rPr>
      <w:rFonts w:ascii="Times New Roman" w:eastAsia="Times New Roman" w:hAnsi="Times New Roman" w:cs="Times New Roman"/>
      <w:b/>
      <w:sz w:val="32"/>
      <w:szCs w:val="20"/>
      <w:lang w:eastAsia="en-US"/>
    </w:rPr>
  </w:style>
  <w:style w:type="paragraph" w:styleId="BodyText">
    <w:name w:val="Body Text"/>
    <w:basedOn w:val="Normal"/>
    <w:link w:val="BodyTextChar"/>
    <w:rsid w:val="00AA717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A717D"/>
    <w:rPr>
      <w:rFonts w:ascii="Times New Roman" w:eastAsia="Times New Roman" w:hAnsi="Times New Roman" w:cs="Times New Roman"/>
      <w:sz w:val="24"/>
      <w:lang w:eastAsia="en-US"/>
    </w:rPr>
  </w:style>
  <w:style w:type="paragraph" w:styleId="ListBullet">
    <w:name w:val="List Bullet"/>
    <w:basedOn w:val="List"/>
    <w:rsid w:val="00AA717D"/>
    <w:pPr>
      <w:numPr>
        <w:numId w:val="12"/>
      </w:numPr>
      <w:tabs>
        <w:tab w:val="clear" w:pos="340"/>
      </w:tabs>
      <w:spacing w:before="40" w:after="40"/>
    </w:pPr>
  </w:style>
  <w:style w:type="character" w:customStyle="1" w:styleId="SpecialBold">
    <w:name w:val="Special Bold"/>
    <w:basedOn w:val="DefaultParagraphFont"/>
    <w:rsid w:val="00AA717D"/>
    <w:rPr>
      <w:b/>
      <w:spacing w:val="0"/>
    </w:rPr>
  </w:style>
  <w:style w:type="paragraph" w:styleId="ListBullet2">
    <w:name w:val="List Bullet 2"/>
    <w:basedOn w:val="List2"/>
    <w:rsid w:val="00AA717D"/>
    <w:pPr>
      <w:numPr>
        <w:numId w:val="13"/>
      </w:numPr>
      <w:tabs>
        <w:tab w:val="clear" w:pos="680"/>
      </w:tabs>
    </w:pPr>
  </w:style>
  <w:style w:type="paragraph" w:customStyle="1" w:styleId="SuperHeading">
    <w:name w:val="SuperHeading"/>
    <w:basedOn w:val="Normal"/>
    <w:rsid w:val="00AA717D"/>
    <w:pPr>
      <w:spacing w:before="240" w:after="120"/>
      <w:outlineLvl w:val="0"/>
    </w:pPr>
    <w:rPr>
      <w:rFonts w:ascii="Times New Roman" w:hAnsi="Times New Roman"/>
      <w:b/>
      <w:sz w:val="32"/>
    </w:rPr>
  </w:style>
  <w:style w:type="paragraph" w:customStyle="1" w:styleId="AllowPageBreak">
    <w:name w:val="AllowPageBreak"/>
    <w:rsid w:val="00AA717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Subscript">
    <w:name w:val="Subscript"/>
    <w:basedOn w:val="DefaultParagraphFont"/>
    <w:rsid w:val="00AA717D"/>
    <w:rPr>
      <w:sz w:val="16"/>
      <w:vertAlign w:val="subscript"/>
    </w:rPr>
  </w:style>
  <w:style w:type="character" w:customStyle="1" w:styleId="Heading2Char">
    <w:name w:val="Heading 2 Char"/>
    <w:basedOn w:val="DefaultParagraphFont"/>
    <w:link w:val="Heading2"/>
    <w:rsid w:val="00AA717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A717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A717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A717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A717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A717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A717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A717D"/>
    <w:rPr>
      <w:rFonts w:ascii="Courier New" w:eastAsia="Times New Roman" w:hAnsi="Courier New" w:cs="Times New Roman"/>
      <w:i/>
      <w:szCs w:val="20"/>
      <w:lang w:eastAsia="en-US"/>
    </w:rPr>
  </w:style>
  <w:style w:type="paragraph" w:customStyle="1" w:styleId="HeadingBase">
    <w:name w:val="Heading Base"/>
    <w:rsid w:val="00AA717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A717D"/>
    <w:pPr>
      <w:tabs>
        <w:tab w:val="right" w:leader="dot" w:pos="9072"/>
      </w:tabs>
      <w:ind w:left="567"/>
    </w:pPr>
    <w:rPr>
      <w:szCs w:val="22"/>
    </w:rPr>
  </w:style>
  <w:style w:type="paragraph" w:customStyle="1" w:styleId="TOCBase">
    <w:name w:val="TOC Base"/>
    <w:rsid w:val="00AA717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A717D"/>
    <w:pPr>
      <w:tabs>
        <w:tab w:val="right" w:leader="dot" w:pos="9072"/>
      </w:tabs>
      <w:spacing w:before="40" w:after="40"/>
      <w:ind w:left="284"/>
    </w:pPr>
    <w:rPr>
      <w:rFonts w:ascii="Times New Roman" w:hAnsi="Times New Roman"/>
    </w:rPr>
  </w:style>
  <w:style w:type="paragraph" w:styleId="TOC1">
    <w:name w:val="toc 1"/>
    <w:basedOn w:val="TOCBase"/>
    <w:next w:val="Normal"/>
    <w:rsid w:val="00AA717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A717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A717D"/>
    <w:rPr>
      <w:rFonts w:ascii="Times New Roman" w:eastAsia="Times New Roman" w:hAnsi="Times New Roman" w:cs="Times New Roman"/>
      <w:sz w:val="16"/>
      <w:lang w:eastAsia="en-US"/>
    </w:rPr>
  </w:style>
  <w:style w:type="paragraph" w:styleId="Title">
    <w:name w:val="Title"/>
    <w:basedOn w:val="HeadingBase"/>
    <w:link w:val="TitleChar"/>
    <w:qFormat/>
    <w:rsid w:val="00AA717D"/>
    <w:pPr>
      <w:spacing w:before="5040"/>
      <w:jc w:val="center"/>
    </w:pPr>
    <w:rPr>
      <w:sz w:val="48"/>
      <w:szCs w:val="72"/>
      <w:lang w:val="en-US"/>
    </w:rPr>
  </w:style>
  <w:style w:type="character" w:customStyle="1" w:styleId="TitleChar">
    <w:name w:val="Title Char"/>
    <w:basedOn w:val="DefaultParagraphFont"/>
    <w:link w:val="Title"/>
    <w:rsid w:val="00AA717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A717D"/>
    <w:pPr>
      <w:tabs>
        <w:tab w:val="left" w:pos="3600"/>
        <w:tab w:val="left" w:pos="3958"/>
      </w:tabs>
    </w:pPr>
  </w:style>
  <w:style w:type="paragraph" w:styleId="List">
    <w:name w:val="List"/>
    <w:basedOn w:val="BodyText"/>
    <w:next w:val="BodyText"/>
    <w:rsid w:val="00AA717D"/>
    <w:pPr>
      <w:tabs>
        <w:tab w:val="left" w:pos="340"/>
      </w:tabs>
      <w:spacing w:before="60" w:after="60"/>
      <w:ind w:left="340" w:hanging="340"/>
    </w:pPr>
  </w:style>
  <w:style w:type="paragraph" w:customStyle="1" w:styleId="Note">
    <w:name w:val="Note"/>
    <w:basedOn w:val="BodyText"/>
    <w:rsid w:val="00AA717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A717D"/>
    <w:pPr>
      <w:framePr w:wrap="auto" w:hAnchor="text" w:y="6049"/>
    </w:pPr>
    <w:rPr>
      <w:color w:val="000000"/>
      <w:sz w:val="40"/>
    </w:rPr>
  </w:style>
  <w:style w:type="paragraph" w:customStyle="1" w:styleId="TOCTitle">
    <w:name w:val="TOCTitle"/>
    <w:basedOn w:val="Heading1"/>
    <w:rsid w:val="00AA717D"/>
    <w:pPr>
      <w:spacing w:after="240"/>
      <w:jc w:val="center"/>
      <w:outlineLvl w:val="9"/>
    </w:pPr>
    <w:rPr>
      <w:caps/>
    </w:rPr>
  </w:style>
  <w:style w:type="paragraph" w:customStyle="1" w:styleId="Version">
    <w:name w:val="Version"/>
    <w:rsid w:val="00AA717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A717D"/>
    <w:pPr>
      <w:keepNext w:val="0"/>
      <w:tabs>
        <w:tab w:val="right" w:pos="4176"/>
      </w:tabs>
      <w:ind w:left="198" w:hanging="198"/>
    </w:pPr>
    <w:rPr>
      <w:rFonts w:ascii="Garamond" w:hAnsi="Garamond"/>
    </w:rPr>
  </w:style>
  <w:style w:type="paragraph" w:styleId="IndexHeading">
    <w:name w:val="index heading"/>
    <w:basedOn w:val="Normal"/>
    <w:next w:val="Index1"/>
    <w:semiHidden/>
    <w:rsid w:val="00AA717D"/>
    <w:pPr>
      <w:spacing w:before="120" w:after="120"/>
    </w:pPr>
    <w:rPr>
      <w:rFonts w:ascii="Arial" w:hAnsi="Arial"/>
      <w:b/>
      <w:color w:val="918585"/>
      <w:sz w:val="24"/>
    </w:rPr>
  </w:style>
  <w:style w:type="paragraph" w:styleId="Header">
    <w:name w:val="header"/>
    <w:basedOn w:val="Normal"/>
    <w:link w:val="HeaderChar"/>
    <w:rsid w:val="00AA717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A717D"/>
    <w:rPr>
      <w:rFonts w:ascii="Times New Roman" w:eastAsia="Times New Roman" w:hAnsi="Times New Roman" w:cs="Times New Roman"/>
      <w:sz w:val="16"/>
      <w:szCs w:val="20"/>
      <w:lang w:val="en-GB" w:eastAsia="en-US"/>
    </w:rPr>
  </w:style>
  <w:style w:type="paragraph" w:customStyle="1" w:styleId="Chapter">
    <w:name w:val="Chapter"/>
    <w:basedOn w:val="Normal"/>
    <w:rsid w:val="00AA717D"/>
    <w:pPr>
      <w:spacing w:before="240"/>
    </w:pPr>
    <w:rPr>
      <w:rFonts w:ascii="Times New Roman" w:hAnsi="Times New Roman"/>
      <w:smallCaps/>
      <w:spacing w:val="80"/>
      <w:sz w:val="28"/>
    </w:rPr>
  </w:style>
  <w:style w:type="paragraph" w:customStyle="1" w:styleId="InChapter">
    <w:name w:val="InChapter"/>
    <w:basedOn w:val="Heading3"/>
    <w:rsid w:val="00AA717D"/>
    <w:pPr>
      <w:spacing w:after="240"/>
      <w:outlineLvl w:val="9"/>
    </w:pPr>
    <w:rPr>
      <w:noProof/>
    </w:rPr>
  </w:style>
  <w:style w:type="paragraph" w:styleId="Index2">
    <w:name w:val="index 2"/>
    <w:basedOn w:val="Normal"/>
    <w:next w:val="Normal"/>
    <w:semiHidden/>
    <w:rsid w:val="00AA717D"/>
    <w:pPr>
      <w:tabs>
        <w:tab w:val="right" w:pos="4176"/>
      </w:tabs>
      <w:ind w:left="568" w:hanging="284"/>
    </w:pPr>
    <w:rPr>
      <w:rFonts w:ascii="Garamond" w:hAnsi="Garamond"/>
    </w:rPr>
  </w:style>
  <w:style w:type="paragraph" w:customStyle="1" w:styleId="Byline">
    <w:name w:val="Byline"/>
    <w:rsid w:val="00AA717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A717D"/>
    <w:pPr>
      <w:tabs>
        <w:tab w:val="clear" w:pos="3600"/>
        <w:tab w:val="clear" w:pos="3958"/>
      </w:tabs>
      <w:jc w:val="right"/>
    </w:pPr>
  </w:style>
  <w:style w:type="character" w:styleId="Emphasis">
    <w:name w:val="Emphasis"/>
    <w:basedOn w:val="DefaultParagraphFont"/>
    <w:qFormat/>
    <w:rsid w:val="00AA717D"/>
    <w:rPr>
      <w:i/>
    </w:rPr>
  </w:style>
  <w:style w:type="paragraph" w:styleId="Caption">
    <w:name w:val="caption"/>
    <w:basedOn w:val="BodyText"/>
    <w:next w:val="Normal"/>
    <w:qFormat/>
    <w:rsid w:val="00AA717D"/>
    <w:pPr>
      <w:framePr w:w="2268" w:hSpace="181" w:vSpace="181" w:wrap="around" w:vAnchor="text" w:hAnchor="page" w:x="1135" w:y="285" w:anchorLock="1"/>
    </w:pPr>
    <w:rPr>
      <w:i/>
    </w:rPr>
  </w:style>
  <w:style w:type="paragraph" w:customStyle="1" w:styleId="MiniTOCTitle">
    <w:name w:val="MiniTOCTitle"/>
    <w:basedOn w:val="Heading4"/>
    <w:rsid w:val="00AA717D"/>
    <w:pPr>
      <w:spacing w:before="240"/>
      <w:outlineLvl w:val="9"/>
    </w:pPr>
    <w:rPr>
      <w:noProof/>
      <w:sz w:val="24"/>
    </w:rPr>
  </w:style>
  <w:style w:type="paragraph" w:customStyle="1" w:styleId="MiniTOCItem">
    <w:name w:val="MiniTOCItem"/>
    <w:basedOn w:val="ListBullet"/>
    <w:rsid w:val="00AA717D"/>
    <w:pPr>
      <w:numPr>
        <w:numId w:val="0"/>
      </w:numPr>
      <w:tabs>
        <w:tab w:val="right" w:leader="dot" w:pos="6521"/>
      </w:tabs>
      <w:spacing w:before="0" w:after="0"/>
    </w:pPr>
  </w:style>
  <w:style w:type="paragraph" w:customStyle="1" w:styleId="TOFTitle">
    <w:name w:val="TOFTitle"/>
    <w:basedOn w:val="TOCTitle"/>
    <w:rsid w:val="00AA717D"/>
  </w:style>
  <w:style w:type="paragraph" w:styleId="TableofFigures">
    <w:name w:val="table of figures"/>
    <w:basedOn w:val="Normal"/>
    <w:next w:val="Normal"/>
    <w:semiHidden/>
    <w:rsid w:val="00AA717D"/>
    <w:pPr>
      <w:tabs>
        <w:tab w:val="right" w:leader="dot" w:pos="9072"/>
      </w:tabs>
      <w:ind w:left="970" w:hanging="403"/>
    </w:pPr>
    <w:rPr>
      <w:rFonts w:ascii="Times New Roman" w:hAnsi="Times New Roman"/>
      <w:b/>
    </w:rPr>
  </w:style>
  <w:style w:type="paragraph" w:styleId="ListNumber">
    <w:name w:val="List Number"/>
    <w:basedOn w:val="List"/>
    <w:rsid w:val="00AA717D"/>
    <w:pPr>
      <w:numPr>
        <w:numId w:val="15"/>
      </w:numPr>
      <w:tabs>
        <w:tab w:val="clear" w:pos="340"/>
      </w:tabs>
    </w:pPr>
  </w:style>
  <w:style w:type="character" w:customStyle="1" w:styleId="WingdingSymbols">
    <w:name w:val="Wingding Symbols"/>
    <w:rsid w:val="00AA717D"/>
    <w:rPr>
      <w:rFonts w:ascii="Wingdings" w:hAnsi="Wingdings"/>
    </w:rPr>
  </w:style>
  <w:style w:type="paragraph" w:customStyle="1" w:styleId="TableHeading">
    <w:name w:val="Table Heading"/>
    <w:basedOn w:val="HeadingBase"/>
    <w:rsid w:val="00AA717D"/>
    <w:pPr>
      <w:keepLines/>
      <w:pBdr>
        <w:bottom w:val="single" w:sz="6" w:space="1" w:color="918585"/>
      </w:pBdr>
      <w:spacing w:before="240"/>
    </w:pPr>
  </w:style>
  <w:style w:type="character" w:customStyle="1" w:styleId="HotSpot">
    <w:name w:val="HotSpot"/>
    <w:rsid w:val="00AA717D"/>
    <w:rPr>
      <w:color w:val="0033CC"/>
      <w:u w:val="none"/>
    </w:rPr>
  </w:style>
  <w:style w:type="paragraph" w:customStyle="1" w:styleId="BodyTextRight">
    <w:name w:val="Body Text Right"/>
    <w:basedOn w:val="BodyText"/>
    <w:rsid w:val="00AA717D"/>
    <w:pPr>
      <w:spacing w:before="0" w:after="0"/>
      <w:jc w:val="right"/>
    </w:pPr>
  </w:style>
  <w:style w:type="paragraph" w:styleId="Index3">
    <w:name w:val="index 3"/>
    <w:basedOn w:val="ListNumber2"/>
    <w:next w:val="Normal"/>
    <w:semiHidden/>
    <w:rsid w:val="00AA717D"/>
    <w:pPr>
      <w:numPr>
        <w:numId w:val="0"/>
      </w:numPr>
      <w:tabs>
        <w:tab w:val="right" w:leader="dot" w:pos="4176"/>
      </w:tabs>
    </w:pPr>
  </w:style>
  <w:style w:type="paragraph" w:styleId="ListNumber2">
    <w:name w:val="List Number 2"/>
    <w:basedOn w:val="List2"/>
    <w:rsid w:val="00AA717D"/>
    <w:pPr>
      <w:numPr>
        <w:numId w:val="10"/>
      </w:numPr>
      <w:tabs>
        <w:tab w:val="clear" w:pos="1060"/>
      </w:tabs>
    </w:pPr>
  </w:style>
  <w:style w:type="paragraph" w:customStyle="1" w:styleId="MarginNote">
    <w:name w:val="Margin Note"/>
    <w:basedOn w:val="BodyText"/>
    <w:rsid w:val="00AA717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A717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A717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A717D"/>
    <w:rPr>
      <w:sz w:val="32"/>
    </w:rPr>
  </w:style>
  <w:style w:type="paragraph" w:customStyle="1" w:styleId="HeadingProcedure">
    <w:name w:val="Heading Procedure"/>
    <w:basedOn w:val="HeadingBase"/>
    <w:next w:val="Normal"/>
    <w:rsid w:val="00AA717D"/>
    <w:pPr>
      <w:tabs>
        <w:tab w:val="left" w:pos="0"/>
      </w:tabs>
      <w:spacing w:before="120" w:after="60"/>
    </w:pPr>
    <w:rPr>
      <w:i/>
      <w:color w:val="918585"/>
      <w:sz w:val="22"/>
    </w:rPr>
  </w:style>
  <w:style w:type="paragraph" w:customStyle="1" w:styleId="TableBodyText">
    <w:name w:val="Table Body Text"/>
    <w:basedOn w:val="BodyText"/>
    <w:rsid w:val="00AA717D"/>
    <w:pPr>
      <w:spacing w:before="60" w:after="60"/>
    </w:pPr>
  </w:style>
  <w:style w:type="paragraph" w:styleId="ListContinue">
    <w:name w:val="List Continue"/>
    <w:basedOn w:val="List"/>
    <w:rsid w:val="00AA717D"/>
    <w:pPr>
      <w:ind w:firstLine="0"/>
    </w:pPr>
  </w:style>
  <w:style w:type="paragraph" w:customStyle="1" w:styleId="ListNote">
    <w:name w:val="List Note"/>
    <w:basedOn w:val="List"/>
    <w:rsid w:val="00AA717D"/>
    <w:pPr>
      <w:pBdr>
        <w:top w:val="single" w:sz="6" w:space="2" w:color="918585"/>
        <w:bottom w:val="single" w:sz="6" w:space="2" w:color="918585"/>
      </w:pBdr>
      <w:tabs>
        <w:tab w:val="left" w:pos="1021"/>
      </w:tabs>
      <w:ind w:firstLine="0"/>
    </w:pPr>
  </w:style>
  <w:style w:type="paragraph" w:customStyle="1" w:styleId="Warning">
    <w:name w:val="Warning"/>
    <w:basedOn w:val="BodyText"/>
    <w:rsid w:val="00AA717D"/>
    <w:pPr>
      <w:shd w:val="clear" w:color="auto" w:fill="D9D9D9"/>
      <w:tabs>
        <w:tab w:val="left" w:pos="992"/>
      </w:tabs>
      <w:ind w:left="119" w:right="119"/>
    </w:pPr>
    <w:rPr>
      <w:sz w:val="20"/>
    </w:rPr>
  </w:style>
  <w:style w:type="paragraph" w:customStyle="1" w:styleId="MarginIcons">
    <w:name w:val="Margin Icons"/>
    <w:basedOn w:val="BodyText"/>
    <w:rsid w:val="00AA717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A717D"/>
    <w:rPr>
      <w:rFonts w:ascii="Courier New" w:hAnsi="Courier New"/>
    </w:rPr>
  </w:style>
  <w:style w:type="paragraph" w:customStyle="1" w:styleId="NoteBullet">
    <w:name w:val="Note Bullet"/>
    <w:basedOn w:val="Note"/>
    <w:rsid w:val="00AA717D"/>
    <w:pPr>
      <w:tabs>
        <w:tab w:val="clear" w:pos="680"/>
      </w:tabs>
      <w:spacing w:before="60" w:after="60"/>
    </w:pPr>
  </w:style>
  <w:style w:type="paragraph" w:customStyle="1" w:styleId="SubHeading2">
    <w:name w:val="SubHeading2"/>
    <w:basedOn w:val="HeadingBase"/>
    <w:rsid w:val="00AA717D"/>
    <w:pPr>
      <w:spacing w:before="240" w:after="60"/>
    </w:pPr>
    <w:rPr>
      <w:sz w:val="20"/>
    </w:rPr>
  </w:style>
  <w:style w:type="paragraph" w:customStyle="1" w:styleId="SubHeading1">
    <w:name w:val="SubHeading1"/>
    <w:basedOn w:val="HeadingBase"/>
    <w:rsid w:val="00AA717D"/>
    <w:pPr>
      <w:spacing w:before="240" w:after="60"/>
    </w:pPr>
    <w:rPr>
      <w:color w:val="918585"/>
      <w:sz w:val="22"/>
    </w:rPr>
  </w:style>
  <w:style w:type="paragraph" w:customStyle="1" w:styleId="SideHeading">
    <w:name w:val="Side Heading"/>
    <w:basedOn w:val="HeadingBase"/>
    <w:rsid w:val="00AA717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A717D"/>
    <w:pPr>
      <w:tabs>
        <w:tab w:val="num" w:pos="360"/>
      </w:tabs>
    </w:pPr>
  </w:style>
  <w:style w:type="paragraph" w:styleId="PlainText">
    <w:name w:val="Plain Text"/>
    <w:basedOn w:val="Normal"/>
    <w:link w:val="PlainTextChar"/>
    <w:rsid w:val="00AA717D"/>
    <w:rPr>
      <w:sz w:val="20"/>
    </w:rPr>
  </w:style>
  <w:style w:type="character" w:customStyle="1" w:styleId="PlainTextChar">
    <w:name w:val="Plain Text Char"/>
    <w:basedOn w:val="DefaultParagraphFont"/>
    <w:link w:val="PlainText"/>
    <w:rsid w:val="00AA717D"/>
    <w:rPr>
      <w:rFonts w:ascii="Courier New" w:eastAsia="Times New Roman" w:hAnsi="Courier New" w:cs="Times New Roman"/>
      <w:sz w:val="20"/>
      <w:szCs w:val="20"/>
      <w:lang w:eastAsia="en-US"/>
    </w:rPr>
  </w:style>
  <w:style w:type="character" w:customStyle="1" w:styleId="MenuOption">
    <w:name w:val="Menu Option"/>
    <w:basedOn w:val="DefaultParagraphFont"/>
    <w:rsid w:val="00AA717D"/>
    <w:rPr>
      <w:b/>
      <w:smallCaps/>
    </w:rPr>
  </w:style>
  <w:style w:type="paragraph" w:customStyle="1" w:styleId="TableListNumber">
    <w:name w:val="Table List Number"/>
    <w:basedOn w:val="ListNumber"/>
    <w:rsid w:val="00AA717D"/>
    <w:pPr>
      <w:numPr>
        <w:numId w:val="0"/>
      </w:numPr>
    </w:pPr>
  </w:style>
  <w:style w:type="paragraph" w:styleId="TOC4">
    <w:name w:val="toc 4"/>
    <w:basedOn w:val="TOCBase"/>
    <w:next w:val="Normal"/>
    <w:semiHidden/>
    <w:rsid w:val="00AA717D"/>
    <w:pPr>
      <w:tabs>
        <w:tab w:val="right" w:leader="dot" w:pos="9071"/>
      </w:tabs>
      <w:ind w:left="1701"/>
    </w:pPr>
  </w:style>
  <w:style w:type="paragraph" w:customStyle="1" w:styleId="ListAlpha">
    <w:name w:val="List Alpha"/>
    <w:basedOn w:val="List"/>
    <w:rsid w:val="00AA717D"/>
    <w:pPr>
      <w:numPr>
        <w:numId w:val="9"/>
      </w:numPr>
    </w:pPr>
  </w:style>
  <w:style w:type="paragraph" w:customStyle="1" w:styleId="ListAlpha2">
    <w:name w:val="List Alpha 2"/>
    <w:basedOn w:val="List2"/>
    <w:rsid w:val="00AA717D"/>
    <w:pPr>
      <w:numPr>
        <w:numId w:val="8"/>
      </w:numPr>
    </w:pPr>
  </w:style>
  <w:style w:type="paragraph" w:styleId="List2">
    <w:name w:val="List 2"/>
    <w:basedOn w:val="BodyText"/>
    <w:rsid w:val="00AA717D"/>
    <w:pPr>
      <w:tabs>
        <w:tab w:val="left" w:pos="680"/>
      </w:tabs>
      <w:spacing w:before="60" w:after="60"/>
      <w:ind w:left="680" w:hanging="340"/>
    </w:pPr>
  </w:style>
  <w:style w:type="paragraph" w:styleId="List3">
    <w:name w:val="List 3"/>
    <w:basedOn w:val="BodyText"/>
    <w:rsid w:val="00AA717D"/>
    <w:pPr>
      <w:tabs>
        <w:tab w:val="left" w:pos="1021"/>
      </w:tabs>
      <w:spacing w:before="60" w:after="60"/>
      <w:ind w:left="1020" w:hanging="340"/>
    </w:pPr>
  </w:style>
  <w:style w:type="paragraph" w:styleId="List4">
    <w:name w:val="List 4"/>
    <w:basedOn w:val="BodyText"/>
    <w:rsid w:val="00AA717D"/>
    <w:pPr>
      <w:tabs>
        <w:tab w:val="left" w:pos="1361"/>
      </w:tabs>
      <w:spacing w:before="60" w:after="60"/>
      <w:ind w:left="1361" w:hanging="340"/>
    </w:pPr>
  </w:style>
  <w:style w:type="paragraph" w:styleId="List5">
    <w:name w:val="List 5"/>
    <w:basedOn w:val="BodyText"/>
    <w:rsid w:val="00AA717D"/>
    <w:pPr>
      <w:tabs>
        <w:tab w:val="left" w:pos="1701"/>
      </w:tabs>
      <w:spacing w:before="60" w:after="60"/>
      <w:ind w:left="1701" w:hanging="340"/>
    </w:pPr>
  </w:style>
  <w:style w:type="paragraph" w:styleId="ListBullet3">
    <w:name w:val="List Bullet 3"/>
    <w:basedOn w:val="List3"/>
    <w:rsid w:val="00AA717D"/>
    <w:pPr>
      <w:numPr>
        <w:numId w:val="14"/>
      </w:numPr>
      <w:tabs>
        <w:tab w:val="clear" w:pos="1021"/>
      </w:tabs>
      <w:ind w:left="1037" w:hanging="357"/>
    </w:pPr>
  </w:style>
  <w:style w:type="paragraph" w:styleId="ListBullet4">
    <w:name w:val="List Bullet 4"/>
    <w:basedOn w:val="List4"/>
    <w:rsid w:val="00AA717D"/>
    <w:pPr>
      <w:numPr>
        <w:numId w:val="3"/>
      </w:numPr>
      <w:tabs>
        <w:tab w:val="clear" w:pos="1361"/>
      </w:tabs>
    </w:pPr>
  </w:style>
  <w:style w:type="paragraph" w:styleId="ListBullet5">
    <w:name w:val="List Bullet 5"/>
    <w:basedOn w:val="List5"/>
    <w:rsid w:val="00AA717D"/>
    <w:pPr>
      <w:numPr>
        <w:numId w:val="4"/>
      </w:numPr>
    </w:pPr>
  </w:style>
  <w:style w:type="paragraph" w:styleId="ListContinue2">
    <w:name w:val="List Continue 2"/>
    <w:basedOn w:val="List2"/>
    <w:rsid w:val="00AA717D"/>
    <w:pPr>
      <w:ind w:firstLine="0"/>
    </w:pPr>
  </w:style>
  <w:style w:type="paragraph" w:styleId="ListContinue3">
    <w:name w:val="List Continue 3"/>
    <w:basedOn w:val="List3"/>
    <w:rsid w:val="00AA717D"/>
    <w:pPr>
      <w:ind w:left="1021" w:firstLine="0"/>
    </w:pPr>
  </w:style>
  <w:style w:type="paragraph" w:styleId="ListContinue4">
    <w:name w:val="List Continue 4"/>
    <w:basedOn w:val="List4"/>
    <w:rsid w:val="00AA717D"/>
    <w:pPr>
      <w:ind w:firstLine="0"/>
    </w:pPr>
  </w:style>
  <w:style w:type="paragraph" w:styleId="ListContinue5">
    <w:name w:val="List Continue 5"/>
    <w:basedOn w:val="List5"/>
    <w:rsid w:val="00AA717D"/>
    <w:pPr>
      <w:ind w:firstLine="0"/>
    </w:pPr>
  </w:style>
  <w:style w:type="paragraph" w:styleId="ListNumber3">
    <w:name w:val="List Number 3"/>
    <w:basedOn w:val="List3"/>
    <w:rsid w:val="00AA717D"/>
    <w:pPr>
      <w:numPr>
        <w:numId w:val="5"/>
      </w:numPr>
    </w:pPr>
  </w:style>
  <w:style w:type="paragraph" w:styleId="ListNumber4">
    <w:name w:val="List Number 4"/>
    <w:basedOn w:val="List4"/>
    <w:rsid w:val="00AA717D"/>
    <w:pPr>
      <w:numPr>
        <w:numId w:val="6"/>
      </w:numPr>
    </w:pPr>
  </w:style>
  <w:style w:type="paragraph" w:styleId="ListNumber5">
    <w:name w:val="List Number 5"/>
    <w:basedOn w:val="List5"/>
    <w:rsid w:val="00AA717D"/>
    <w:pPr>
      <w:numPr>
        <w:numId w:val="7"/>
      </w:numPr>
    </w:pPr>
  </w:style>
  <w:style w:type="paragraph" w:styleId="BlockText">
    <w:name w:val="Block Text"/>
    <w:basedOn w:val="Normal"/>
    <w:rsid w:val="00AA717D"/>
    <w:pPr>
      <w:spacing w:after="120"/>
      <w:ind w:left="1440" w:right="1440"/>
    </w:pPr>
  </w:style>
  <w:style w:type="character" w:customStyle="1" w:styleId="Superscript">
    <w:name w:val="Superscript"/>
    <w:basedOn w:val="DefaultParagraphFont"/>
    <w:rsid w:val="00AA717D"/>
    <w:rPr>
      <w:sz w:val="16"/>
      <w:vertAlign w:val="superscript"/>
    </w:rPr>
  </w:style>
  <w:style w:type="character" w:customStyle="1" w:styleId="Symbols">
    <w:name w:val="Symbols"/>
    <w:basedOn w:val="DefaultParagraphFont"/>
    <w:rsid w:val="00AA717D"/>
    <w:rPr>
      <w:rFonts w:ascii="Symbol" w:hAnsi="Symbol"/>
    </w:rPr>
  </w:style>
  <w:style w:type="character" w:customStyle="1" w:styleId="MenuOptions">
    <w:name w:val="Menu Options"/>
    <w:basedOn w:val="DefaultParagraphFont"/>
    <w:rsid w:val="00AA717D"/>
    <w:rPr>
      <w:rFonts w:ascii="Arial Narrow" w:hAnsi="Arial Narrow"/>
      <w:smallCaps/>
    </w:rPr>
  </w:style>
  <w:style w:type="character" w:customStyle="1" w:styleId="Buttons">
    <w:name w:val="Buttons"/>
    <w:basedOn w:val="DefaultParagraphFont"/>
    <w:rsid w:val="00AA717D"/>
    <w:rPr>
      <w:b/>
    </w:rPr>
  </w:style>
  <w:style w:type="character" w:customStyle="1" w:styleId="Underlined">
    <w:name w:val="Underlined"/>
    <w:basedOn w:val="DefaultParagraphFont"/>
    <w:rsid w:val="00AA717D"/>
    <w:rPr>
      <w:u w:val="single"/>
    </w:rPr>
  </w:style>
  <w:style w:type="paragraph" w:customStyle="1" w:styleId="TableBodyTextRight">
    <w:name w:val="Table Body Text Right"/>
    <w:basedOn w:val="TableBodyText"/>
    <w:rsid w:val="00AA717D"/>
    <w:pPr>
      <w:widowControl w:val="0"/>
      <w:autoSpaceDE w:val="0"/>
      <w:autoSpaceDN w:val="0"/>
      <w:adjustRightInd w:val="0"/>
      <w:jc w:val="right"/>
    </w:pPr>
    <w:rPr>
      <w:rFonts w:cs="Arial"/>
      <w:szCs w:val="18"/>
    </w:rPr>
  </w:style>
  <w:style w:type="paragraph" w:customStyle="1" w:styleId="CopyrightText">
    <w:name w:val="Copyright Text"/>
    <w:basedOn w:val="BodyText"/>
    <w:rsid w:val="00AA717D"/>
    <w:rPr>
      <w:sz w:val="18"/>
    </w:rPr>
  </w:style>
  <w:style w:type="paragraph" w:customStyle="1" w:styleId="BodySmallRight">
    <w:name w:val="Body Small Right"/>
    <w:basedOn w:val="BodyTextRight"/>
    <w:rsid w:val="00AA717D"/>
    <w:rPr>
      <w:sz w:val="18"/>
      <w:szCs w:val="18"/>
    </w:rPr>
  </w:style>
  <w:style w:type="paragraph" w:customStyle="1" w:styleId="MarginEdition">
    <w:name w:val="Margin Edition"/>
    <w:basedOn w:val="MarginNote"/>
    <w:rsid w:val="00AA717D"/>
    <w:pPr>
      <w:spacing w:before="0" w:after="0"/>
    </w:pPr>
    <w:rPr>
      <w:rFonts w:ascii="Times New Roman" w:hAnsi="Times New Roman"/>
      <w:color w:val="999999"/>
    </w:rPr>
  </w:style>
  <w:style w:type="paragraph" w:customStyle="1" w:styleId="Spacer">
    <w:name w:val="Spacer"/>
    <w:basedOn w:val="Normal"/>
    <w:rsid w:val="00AA717D"/>
    <w:rPr>
      <w:sz w:val="2"/>
      <w:szCs w:val="2"/>
    </w:rPr>
  </w:style>
  <w:style w:type="character" w:customStyle="1" w:styleId="Small">
    <w:name w:val="Small"/>
    <w:basedOn w:val="DefaultParagraphFont"/>
    <w:rsid w:val="00AA717D"/>
    <w:rPr>
      <w:sz w:val="16"/>
    </w:rPr>
  </w:style>
  <w:style w:type="paragraph" w:customStyle="1" w:styleId="WideTable">
    <w:name w:val="Wide Table"/>
    <w:basedOn w:val="Normal"/>
    <w:rsid w:val="00AA717D"/>
    <w:pPr>
      <w:ind w:left="-1418"/>
    </w:pPr>
    <w:rPr>
      <w:sz w:val="2"/>
      <w:szCs w:val="2"/>
    </w:rPr>
  </w:style>
  <w:style w:type="character" w:styleId="PageNumber">
    <w:name w:val="page number"/>
    <w:basedOn w:val="DefaultParagraphFont"/>
    <w:rsid w:val="00AA717D"/>
  </w:style>
  <w:style w:type="paragraph" w:styleId="Quote">
    <w:name w:val="Quote"/>
    <w:basedOn w:val="Heading1"/>
    <w:link w:val="QuoteChar"/>
    <w:qFormat/>
    <w:rsid w:val="00AA717D"/>
    <w:rPr>
      <w:b w:val="0"/>
      <w:sz w:val="72"/>
      <w:szCs w:val="72"/>
      <w:lang w:val="en-NZ"/>
    </w:rPr>
  </w:style>
  <w:style w:type="character" w:customStyle="1" w:styleId="QuoteChar">
    <w:name w:val="Quote Char"/>
    <w:basedOn w:val="DefaultParagraphFont"/>
    <w:link w:val="Quote"/>
    <w:rsid w:val="00AA717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A717D"/>
    <w:pPr>
      <w:pageBreakBefore/>
    </w:pPr>
  </w:style>
  <w:style w:type="paragraph" w:customStyle="1" w:styleId="Border">
    <w:name w:val="Border"/>
    <w:basedOn w:val="Normal"/>
    <w:qFormat/>
    <w:rsid w:val="00AA717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A717D"/>
    <w:rPr>
      <w:b/>
      <w:bCs/>
      <w:i/>
      <w:iCs/>
      <w:color w:val="auto"/>
    </w:rPr>
  </w:style>
  <w:style w:type="paragraph" w:styleId="IntenseQuote">
    <w:name w:val="Intense Quote"/>
    <w:basedOn w:val="Normal"/>
    <w:next w:val="Normal"/>
    <w:link w:val="IntenseQuoteChar"/>
    <w:uiPriority w:val="30"/>
    <w:qFormat/>
    <w:rsid w:val="00AA717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A717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A717D"/>
    <w:rPr>
      <w:smallCaps/>
      <w:color w:val="auto"/>
      <w:u w:val="single"/>
    </w:rPr>
  </w:style>
  <w:style w:type="character" w:styleId="IntenseReference">
    <w:name w:val="Intense Reference"/>
    <w:basedOn w:val="DefaultParagraphFont"/>
    <w:uiPriority w:val="32"/>
    <w:qFormat/>
    <w:rsid w:val="00AA717D"/>
    <w:rPr>
      <w:b/>
      <w:bCs/>
      <w:smallCaps/>
      <w:color w:val="auto"/>
      <w:spacing w:val="5"/>
      <w:u w:val="single"/>
    </w:rPr>
  </w:style>
  <w:style w:type="paragraph" w:customStyle="1" w:styleId="2ColumnHeading">
    <w:name w:val="2Column Heading"/>
    <w:basedOn w:val="BodyText"/>
    <w:qFormat/>
    <w:rsid w:val="00AA717D"/>
    <w:pPr>
      <w:spacing w:after="60"/>
      <w:ind w:left="-2268"/>
    </w:pPr>
    <w:rPr>
      <w:b/>
    </w:rPr>
  </w:style>
  <w:style w:type="paragraph" w:customStyle="1" w:styleId="Heading1TOC">
    <w:name w:val="Heading1 TOC"/>
    <w:basedOn w:val="Normal"/>
    <w:qFormat/>
    <w:rsid w:val="00AA717D"/>
    <w:pPr>
      <w:spacing w:before="240" w:after="120"/>
    </w:pPr>
    <w:rPr>
      <w:rFonts w:ascii="Times New Roman" w:hAnsi="Times New Roman"/>
      <w:b/>
      <w:sz w:val="32"/>
    </w:rPr>
  </w:style>
  <w:style w:type="paragraph" w:customStyle="1" w:styleId="Heading2TOC">
    <w:name w:val="Heading2 TOC"/>
    <w:basedOn w:val="Normal"/>
    <w:qFormat/>
    <w:rsid w:val="00AA717D"/>
    <w:pPr>
      <w:spacing w:before="240" w:after="60"/>
    </w:pPr>
    <w:rPr>
      <w:rFonts w:ascii="Times New Roman" w:hAnsi="Times New Roman"/>
      <w:b/>
      <w:sz w:val="28"/>
    </w:rPr>
  </w:style>
  <w:style w:type="character" w:customStyle="1" w:styleId="Underline">
    <w:name w:val="Underline"/>
    <w:basedOn w:val="DefaultParagraphFont"/>
    <w:qFormat/>
    <w:rsid w:val="00AA717D"/>
    <w:rPr>
      <w:u w:val="single"/>
    </w:rPr>
  </w:style>
  <w:style w:type="character" w:customStyle="1" w:styleId="BoldandItalics">
    <w:name w:val="Bold and Italics"/>
    <w:qFormat/>
    <w:rsid w:val="00AA717D"/>
    <w:rPr>
      <w:b/>
      <w:i/>
      <w:u w:val="none"/>
    </w:rPr>
  </w:style>
  <w:style w:type="paragraph" w:styleId="BalloonText">
    <w:name w:val="Balloon Text"/>
    <w:basedOn w:val="Normal"/>
    <w:link w:val="BalloonTextChar"/>
    <w:rsid w:val="00AA717D"/>
    <w:rPr>
      <w:rFonts w:ascii="Tahoma" w:hAnsi="Tahoma" w:cs="Tahoma"/>
      <w:sz w:val="16"/>
      <w:szCs w:val="16"/>
    </w:rPr>
  </w:style>
  <w:style w:type="character" w:customStyle="1" w:styleId="BalloonTextChar">
    <w:name w:val="Balloon Text Char"/>
    <w:basedOn w:val="DefaultParagraphFont"/>
    <w:link w:val="BalloonText"/>
    <w:rsid w:val="00AA717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A717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A717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A717D"/>
    <w:rPr>
      <w:b/>
      <w:color w:val="660033"/>
      <w:spacing w:val="0"/>
    </w:rPr>
  </w:style>
  <w:style w:type="paragraph" w:customStyle="1" w:styleId="Nameditemlist">
    <w:name w:val="Named item list"/>
    <w:basedOn w:val="BodyText"/>
    <w:qFormat/>
    <w:rsid w:val="00AA717D"/>
    <w:pPr>
      <w:tabs>
        <w:tab w:val="left" w:pos="2835"/>
      </w:tabs>
      <w:ind w:left="2835" w:hanging="2835"/>
    </w:pPr>
  </w:style>
  <w:style w:type="paragraph" w:customStyle="1" w:styleId="BodyTextnopadding">
    <w:name w:val="Body Text no padding"/>
    <w:basedOn w:val="BodyText"/>
    <w:qFormat/>
    <w:rsid w:val="00AA717D"/>
    <w:pPr>
      <w:spacing w:before="0" w:after="0"/>
    </w:pPr>
  </w:style>
  <w:style w:type="paragraph" w:customStyle="1" w:styleId="BodyTextBold">
    <w:name w:val="Body Text Bold"/>
    <w:basedOn w:val="BodyText"/>
    <w:qFormat/>
    <w:rsid w:val="00AA717D"/>
    <w:rPr>
      <w:b/>
    </w:rPr>
  </w:style>
  <w:style w:type="character" w:styleId="Hyperlink">
    <w:name w:val="Hyperlink"/>
    <w:basedOn w:val="DefaultParagraphFont"/>
    <w:uiPriority w:val="99"/>
    <w:unhideWhenUsed/>
    <w:rsid w:val="00776C9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1609</Words>
  <Characters>10141</Characters>
  <Application>Microsoft Office Word</Application>
  <DocSecurity>0</DocSecurity>
  <Lines>349</Lines>
  <Paragraphs>217</Paragraphs>
  <ScaleCrop>false</ScaleCrop>
  <Company>Author-it Software Corporation Ltd.</Company>
  <LinksUpToDate>false</LinksUpToDate>
  <CharactersWithSpaces>11533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PMAOPS751 Apply physiochemical knowledge to select raw materials for surface coatings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2025-03-01T14:15:00Z</dcterms:created>
  <dcterms:modified xsi:type="dcterms:W3CDTF">2025-03-01T14:15:00Z</dcterms:modified>
</cp:coreProperties>
</file>