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4D5" w:rsidP="009D7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PMAOPS751 Apply physiochemical knowledge to select raw materials for surface coatings</w:t>
      </w:r>
      <w:r>
        <w:fldChar w:fldCharType="end"/>
      </w:r>
    </w:p>
    <w:p w:rsidR="009D74D5" w:rsidP="009D74D5">
      <w:pPr>
        <w:pStyle w:val="Version"/>
        <w:sectPr w:rsidSect="00865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D7B" w:rsidP="00865D7B">
      <w:pPr>
        <w:pStyle w:val="SuperHeading"/>
      </w:pPr>
      <w:r w:rsidRPr="00865D7B">
        <w:t>Assessment Requirements for PMAOPS751 Apply physiochemical knowledge to select raw materials for surface coatings</w:t>
      </w:r>
    </w:p>
    <w:p w:rsidR="00000000" w:rsidRPr="00865D7B" w:rsidP="00865D7B">
      <w:pPr>
        <w:pStyle w:val="Heading1"/>
      </w:pPr>
      <w:bookmarkStart w:id="1" w:name="O_908616"/>
      <w:bookmarkEnd w:id="1"/>
      <w:r w:rsidRPr="00865D7B">
        <w:t>Modification History</w:t>
      </w:r>
    </w:p>
    <w:p w:rsidR="00000000" w:rsidRPr="00865D7B" w:rsidP="009D74D5">
      <w:pPr>
        <w:pStyle w:val="BodyText"/>
      </w:pPr>
      <w:r w:rsidRPr="00865D7B">
        <w:t xml:space="preserve">Release 1. Supersedes and is equivalent to PMAOPS751A Apply physiochemical knowledge to select raw materials for surface coatings  </w:t>
      </w:r>
    </w:p>
    <w:p w:rsidR="00000000" w:rsidRPr="00865D7B" w:rsidP="00865D7B">
      <w:pPr>
        <w:pStyle w:val="Heading1"/>
      </w:pPr>
      <w:bookmarkStart w:id="2" w:name="O_908619"/>
      <w:bookmarkEnd w:id="2"/>
      <w:r w:rsidRPr="00865D7B">
        <w:t>Performance Evidence</w:t>
      </w:r>
    </w:p>
    <w:p w:rsidR="00000000" w:rsidRPr="00865D7B" w:rsidP="009D74D5">
      <w:pPr>
        <w:pStyle w:val="BodyText"/>
      </w:pPr>
      <w:r w:rsidRPr="00865D7B">
        <w:t>Evidence required to demonstrate competence in this unit must be relevant to and satis</w:t>
      </w:r>
      <w:r w:rsidRPr="00865D7B">
        <w:t>fy the requirements of the elements and performance criteria ,and include the ability to:</w:t>
      </w:r>
    </w:p>
    <w:p w:rsidR="00000000" w:rsidRPr="00865D7B" w:rsidP="00865D7B">
      <w:pPr>
        <w:pStyle w:val="ListBullet"/>
      </w:pPr>
      <w:r w:rsidRPr="00865D7B">
        <w:t>evaluate resins, pigments and additives against specifications, including:</w:t>
      </w:r>
    </w:p>
    <w:p w:rsidR="00000000" w:rsidRPr="00865D7B" w:rsidP="00865D7B">
      <w:pPr>
        <w:pStyle w:val="ListBullet2"/>
      </w:pPr>
      <w:r w:rsidRPr="00865D7B">
        <w:t>chemistry</w:t>
      </w:r>
    </w:p>
    <w:p w:rsidR="00000000" w:rsidRPr="00865D7B" w:rsidP="00865D7B">
      <w:pPr>
        <w:pStyle w:val="ListBullet2"/>
      </w:pPr>
      <w:r w:rsidRPr="00865D7B">
        <w:t>structure</w:t>
      </w:r>
    </w:p>
    <w:p w:rsidR="00000000" w:rsidRPr="00865D7B" w:rsidP="00865D7B">
      <w:pPr>
        <w:pStyle w:val="ListBullet2"/>
      </w:pPr>
      <w:r w:rsidRPr="00865D7B">
        <w:t>physical and chemical properties relevant to surface coating</w:t>
      </w:r>
    </w:p>
    <w:p w:rsidR="00000000" w:rsidRPr="00865D7B" w:rsidP="00865D7B">
      <w:pPr>
        <w:pStyle w:val="ListBullet2"/>
      </w:pPr>
      <w:r w:rsidRPr="00865D7B">
        <w:t>modifica</w:t>
      </w:r>
      <w:r w:rsidRPr="00865D7B">
        <w:t>tion reactions as relevant (e.g. alkyds)</w:t>
      </w:r>
    </w:p>
    <w:p w:rsidR="00000000" w:rsidRPr="00865D7B" w:rsidP="00865D7B">
      <w:pPr>
        <w:pStyle w:val="ListBullet2"/>
      </w:pPr>
      <w:r w:rsidRPr="00865D7B">
        <w:t>impact on environment</w:t>
      </w:r>
    </w:p>
    <w:p w:rsidR="00000000" w:rsidRPr="00865D7B" w:rsidP="00865D7B">
      <w:pPr>
        <w:pStyle w:val="ListBullet2"/>
      </w:pPr>
      <w:r w:rsidRPr="00865D7B">
        <w:t>benefits/costs</w:t>
      </w:r>
    </w:p>
    <w:p w:rsidR="00000000" w:rsidRPr="00865D7B" w:rsidP="00865D7B">
      <w:pPr>
        <w:pStyle w:val="ListBullet"/>
      </w:pPr>
      <w:r w:rsidRPr="00865D7B">
        <w:t>select materials for purpose</w:t>
      </w:r>
    </w:p>
    <w:p w:rsidR="00000000" w:rsidRPr="00865D7B" w:rsidP="00865D7B">
      <w:pPr>
        <w:pStyle w:val="ListBullet"/>
      </w:pPr>
      <w:r w:rsidRPr="00865D7B">
        <w:t>calculate the molecular weight of a polymer to determine the effects on the end product.</w:t>
      </w:r>
    </w:p>
    <w:p w:rsidR="00000000" w:rsidRPr="00865D7B" w:rsidP="00865D7B">
      <w:pPr>
        <w:pStyle w:val="AllowPageBreak"/>
      </w:pPr>
    </w:p>
    <w:p w:rsidR="00000000" w:rsidRPr="00865D7B" w:rsidP="00865D7B">
      <w:pPr>
        <w:pStyle w:val="Heading1"/>
      </w:pPr>
      <w:bookmarkStart w:id="3" w:name="O_908618"/>
      <w:bookmarkEnd w:id="3"/>
      <w:r w:rsidRPr="00865D7B">
        <w:t>Knowledge Evidence</w:t>
      </w:r>
    </w:p>
    <w:p w:rsidR="00000000" w:rsidRPr="00865D7B" w:rsidP="009D74D5">
      <w:pPr>
        <w:pStyle w:val="BodyText"/>
      </w:pPr>
      <w:r w:rsidRPr="00865D7B">
        <w:t>Evidence must be provided that demonstrates knowledge of:</w:t>
      </w:r>
    </w:p>
    <w:p w:rsidR="00000000" w:rsidRPr="00865D7B" w:rsidP="00865D7B">
      <w:pPr>
        <w:pStyle w:val="ListBullet"/>
      </w:pPr>
      <w:r w:rsidRPr="00865D7B">
        <w:t>characteristics and application of surface coating resins, including:</w:t>
      </w:r>
    </w:p>
    <w:p w:rsidR="00000000" w:rsidRPr="00865D7B" w:rsidP="00865D7B">
      <w:pPr>
        <w:pStyle w:val="ListBullet2"/>
      </w:pPr>
      <w:r w:rsidRPr="00865D7B">
        <w:t>synthetic resins with drying oils</w:t>
      </w:r>
    </w:p>
    <w:p w:rsidR="00000000" w:rsidRPr="00865D7B" w:rsidP="00865D7B">
      <w:pPr>
        <w:pStyle w:val="ListBullet2"/>
      </w:pPr>
      <w:r w:rsidRPr="00865D7B">
        <w:t>alkyd resins</w:t>
      </w:r>
    </w:p>
    <w:p w:rsidR="00000000" w:rsidRPr="00865D7B" w:rsidP="00865D7B">
      <w:pPr>
        <w:pStyle w:val="ListBullet2"/>
      </w:pPr>
      <w:r w:rsidRPr="00865D7B">
        <w:t>modified alkyd resin</w:t>
      </w:r>
    </w:p>
    <w:p w:rsidR="00000000" w:rsidRPr="00865D7B" w:rsidP="00865D7B">
      <w:pPr>
        <w:pStyle w:val="ListBullet2"/>
      </w:pPr>
      <w:r w:rsidRPr="00865D7B">
        <w:t>epoxy resins</w:t>
      </w:r>
    </w:p>
    <w:p w:rsidR="00000000" w:rsidRPr="00865D7B" w:rsidP="00865D7B">
      <w:pPr>
        <w:pStyle w:val="ListBullet2"/>
      </w:pPr>
      <w:r w:rsidRPr="00865D7B">
        <w:t>saturated and unsaturated polyester resins</w:t>
      </w:r>
    </w:p>
    <w:p w:rsidR="00000000" w:rsidRPr="00865D7B" w:rsidP="00865D7B">
      <w:pPr>
        <w:pStyle w:val="ListBullet2"/>
      </w:pPr>
      <w:r w:rsidRPr="00865D7B">
        <w:t>vi</w:t>
      </w:r>
      <w:r w:rsidRPr="00865D7B">
        <w:t>nyl resin solutions</w:t>
      </w:r>
    </w:p>
    <w:p w:rsidR="00000000" w:rsidRPr="00865D7B" w:rsidP="00865D7B">
      <w:pPr>
        <w:pStyle w:val="ListBullet2"/>
      </w:pPr>
      <w:r w:rsidRPr="00865D7B">
        <w:t>thermosetting acrylic resins</w:t>
      </w:r>
    </w:p>
    <w:p w:rsidR="00000000" w:rsidRPr="00865D7B" w:rsidP="00865D7B">
      <w:pPr>
        <w:pStyle w:val="ListBullet2"/>
      </w:pPr>
      <w:r w:rsidRPr="00865D7B">
        <w:t>phenolic resins</w:t>
      </w:r>
    </w:p>
    <w:p w:rsidR="00000000" w:rsidRPr="00865D7B" w:rsidP="00865D7B">
      <w:pPr>
        <w:pStyle w:val="ListBullet"/>
      </w:pPr>
      <w:r w:rsidRPr="00865D7B">
        <w:t>characteristics and application of additives, including:</w:t>
      </w:r>
    </w:p>
    <w:p w:rsidR="00000000" w:rsidRPr="00865D7B" w:rsidP="00865D7B">
      <w:pPr>
        <w:pStyle w:val="ListBullet2"/>
      </w:pPr>
      <w:r w:rsidRPr="00865D7B">
        <w:t>cellulose</w:t>
      </w:r>
    </w:p>
    <w:p w:rsidR="00000000" w:rsidRPr="00865D7B" w:rsidP="00865D7B">
      <w:pPr>
        <w:pStyle w:val="ListBullet2"/>
      </w:pPr>
      <w:r w:rsidRPr="00865D7B">
        <w:t>nitrocellulose</w:t>
      </w:r>
    </w:p>
    <w:p w:rsidR="00000000" w:rsidRPr="00865D7B" w:rsidP="00865D7B">
      <w:pPr>
        <w:pStyle w:val="ListBullet2"/>
      </w:pPr>
      <w:r w:rsidRPr="00865D7B">
        <w:t>cellulose esters</w:t>
      </w:r>
    </w:p>
    <w:p w:rsidR="00000000" w:rsidRPr="00865D7B" w:rsidP="00865D7B">
      <w:pPr>
        <w:pStyle w:val="ListBullet2"/>
      </w:pPr>
      <w:r w:rsidRPr="00865D7B">
        <w:t>cellulose ethers</w:t>
      </w:r>
    </w:p>
    <w:p w:rsidR="00000000" w:rsidRPr="00865D7B" w:rsidP="00865D7B">
      <w:pPr>
        <w:pStyle w:val="ListBullet"/>
      </w:pPr>
      <w:r w:rsidRPr="00865D7B">
        <w:t>chemistry of raw materials</w:t>
      </w:r>
    </w:p>
    <w:p w:rsidR="00000000" w:rsidRPr="00865D7B" w:rsidP="00865D7B">
      <w:pPr>
        <w:pStyle w:val="ListBullet"/>
      </w:pPr>
      <w:r w:rsidRPr="00865D7B">
        <w:t>safety data sheets (SDS)</w:t>
      </w:r>
    </w:p>
    <w:p w:rsidR="00000000" w:rsidRPr="00865D7B" w:rsidP="00865D7B">
      <w:pPr>
        <w:pStyle w:val="ListBullet"/>
      </w:pPr>
      <w:r w:rsidRPr="00865D7B">
        <w:t>polymers used in surface coatings and their impact of the surface coating properties and applications</w:t>
      </w:r>
    </w:p>
    <w:p w:rsidR="00000000" w:rsidRPr="00865D7B" w:rsidP="00865D7B">
      <w:pPr>
        <w:pStyle w:val="ListBullet"/>
      </w:pPr>
      <w:r w:rsidRPr="00865D7B">
        <w:t>importance and impact of polymer functional groups</w:t>
      </w:r>
    </w:p>
    <w:p w:rsidR="00000000" w:rsidRPr="00865D7B" w:rsidP="00865D7B">
      <w:pPr>
        <w:pStyle w:val="ListBullet"/>
      </w:pPr>
      <w:r w:rsidRPr="00865D7B">
        <w:t>manufacturing techniques of alkyd resins</w:t>
      </w:r>
    </w:p>
    <w:p w:rsidR="00000000" w:rsidRPr="00865D7B" w:rsidP="00865D7B">
      <w:pPr>
        <w:pStyle w:val="ListBullet"/>
      </w:pPr>
      <w:r w:rsidRPr="00865D7B">
        <w:t>the effects of additives on the final properties of surface co</w:t>
      </w:r>
      <w:r w:rsidRPr="00865D7B">
        <w:t>atings</w:t>
      </w:r>
    </w:p>
    <w:p w:rsidR="00000000" w:rsidRPr="00865D7B" w:rsidP="00865D7B">
      <w:pPr>
        <w:pStyle w:val="ListBullet"/>
      </w:pPr>
      <w:r w:rsidRPr="00865D7B">
        <w:t>safety and environmental concerns in the use and handling of solvents</w:t>
      </w:r>
    </w:p>
    <w:p w:rsidR="00000000" w:rsidRPr="00865D7B" w:rsidP="00865D7B">
      <w:pPr>
        <w:pStyle w:val="ListBullet"/>
      </w:pPr>
      <w:r w:rsidRPr="00865D7B">
        <w:t>glass transition temperature of polymers and film forming mechanisms</w:t>
      </w:r>
    </w:p>
    <w:p w:rsidR="00000000" w:rsidRPr="00865D7B" w:rsidP="00865D7B">
      <w:pPr>
        <w:pStyle w:val="ListBullet"/>
      </w:pPr>
      <w:r w:rsidRPr="00865D7B">
        <w:t>the principles of emulsion polymerisation</w:t>
      </w:r>
    </w:p>
    <w:p w:rsidR="00000000" w:rsidRPr="00865D7B" w:rsidP="00865D7B">
      <w:pPr>
        <w:pStyle w:val="ListBullet"/>
      </w:pPr>
      <w:r w:rsidRPr="00865D7B">
        <w:t>the role and behaviour of solvents</w:t>
      </w:r>
    </w:p>
    <w:p w:rsidR="00000000" w:rsidRPr="00865D7B" w:rsidP="00865D7B">
      <w:pPr>
        <w:pStyle w:val="ListBullet"/>
      </w:pPr>
      <w:r w:rsidRPr="00865D7B">
        <w:t>the process of solvent evaporatio</w:t>
      </w:r>
      <w:r w:rsidRPr="00865D7B">
        <w:t>n used in formulating</w:t>
      </w:r>
    </w:p>
    <w:p w:rsidR="00000000" w:rsidRPr="00865D7B" w:rsidP="00865D7B">
      <w:pPr>
        <w:pStyle w:val="ListBullet"/>
      </w:pPr>
      <w:r w:rsidRPr="00865D7B">
        <w:t>the functions of pigments</w:t>
      </w:r>
    </w:p>
    <w:p w:rsidR="00000000" w:rsidRPr="00865D7B" w:rsidP="00865D7B">
      <w:pPr>
        <w:pStyle w:val="ListBullet"/>
      </w:pPr>
      <w:r w:rsidRPr="00865D7B">
        <w:t>reasons for the use of inorganic and organic pigments</w:t>
      </w:r>
    </w:p>
    <w:p w:rsidR="00000000" w:rsidRPr="00865D7B" w:rsidP="00865D7B">
      <w:pPr>
        <w:pStyle w:val="ListBullet"/>
      </w:pPr>
      <w:r w:rsidRPr="00865D7B">
        <w:t>key differences between organic and inorganic pigments</w:t>
      </w:r>
    </w:p>
    <w:p w:rsidR="00000000" w:rsidRPr="00865D7B" w:rsidP="00865D7B">
      <w:pPr>
        <w:pStyle w:val="ListBullet"/>
      </w:pPr>
      <w:r w:rsidRPr="00865D7B">
        <w:t>the performance properties of titanium dioxide (TiO</w:t>
      </w:r>
      <w:r w:rsidRPr="00865D7B">
        <w:rPr>
          <w:rStyle w:val="Subscript"/>
        </w:rPr>
        <w:t>2</w:t>
      </w:r>
      <w:r w:rsidRPr="00865D7B">
        <w:t>) pigments</w:t>
      </w:r>
    </w:p>
    <w:p w:rsidR="00000000" w:rsidRPr="00865D7B" w:rsidP="00865D7B">
      <w:pPr>
        <w:pStyle w:val="ListBullet"/>
      </w:pPr>
      <w:r w:rsidRPr="00865D7B">
        <w:t>the use of anti-corrosive pigments</w:t>
      </w:r>
    </w:p>
    <w:p w:rsidR="00000000" w:rsidRPr="00865D7B" w:rsidP="00865D7B">
      <w:pPr>
        <w:pStyle w:val="ListBullet"/>
      </w:pPr>
      <w:r w:rsidRPr="00865D7B">
        <w:t>the role and properties of extenders</w:t>
      </w:r>
    </w:p>
    <w:p w:rsidR="00000000" w:rsidRPr="00865D7B" w:rsidP="00865D7B">
      <w:pPr>
        <w:pStyle w:val="ListBullet"/>
      </w:pPr>
      <w:r w:rsidRPr="00865D7B">
        <w:t>overall, the reasons for the selection of raw materials when used in surface coatings</w:t>
      </w:r>
    </w:p>
    <w:p w:rsidR="00000000" w:rsidRPr="00865D7B" w:rsidP="00865D7B">
      <w:pPr>
        <w:pStyle w:val="ListBullet"/>
      </w:pPr>
      <w:r w:rsidRPr="00865D7B">
        <w:t>hierarchy of control</w:t>
      </w:r>
    </w:p>
    <w:p w:rsidR="00000000" w:rsidRPr="00865D7B" w:rsidP="00865D7B">
      <w:pPr>
        <w:pStyle w:val="ListBullet"/>
      </w:pPr>
      <w:r w:rsidRPr="00865D7B">
        <w:t>hazards that may arise in the job/work environment, and:</w:t>
      </w:r>
    </w:p>
    <w:p w:rsidR="00000000" w:rsidRPr="00865D7B" w:rsidP="00865D7B">
      <w:pPr>
        <w:pStyle w:val="ListBullet2"/>
      </w:pPr>
      <w:r w:rsidRPr="00865D7B">
        <w:t xml:space="preserve">their possible causes </w:t>
      </w:r>
    </w:p>
    <w:p w:rsidR="00000000" w:rsidRPr="00865D7B" w:rsidP="00865D7B">
      <w:pPr>
        <w:pStyle w:val="ListBullet2"/>
      </w:pPr>
      <w:r w:rsidRPr="00865D7B">
        <w:t>potential consequences</w:t>
      </w:r>
    </w:p>
    <w:p w:rsidR="00000000" w:rsidRPr="00865D7B" w:rsidP="00865D7B">
      <w:pPr>
        <w:pStyle w:val="ListBullet2"/>
      </w:pPr>
      <w:r w:rsidRPr="00865D7B">
        <w:t>appropri</w:t>
      </w:r>
      <w:r w:rsidRPr="00865D7B">
        <w:t>ate risk controls.</w:t>
      </w:r>
    </w:p>
    <w:p w:rsidR="00000000" w:rsidRPr="00865D7B" w:rsidP="00865D7B">
      <w:pPr>
        <w:pStyle w:val="AllowPageBreak"/>
      </w:pPr>
    </w:p>
    <w:p w:rsidR="00000000" w:rsidRPr="00865D7B" w:rsidP="00865D7B">
      <w:pPr>
        <w:pStyle w:val="Heading1"/>
      </w:pPr>
      <w:bookmarkStart w:id="4" w:name="O_908617"/>
      <w:bookmarkEnd w:id="4"/>
      <w:r w:rsidRPr="00865D7B">
        <w:t>Assessment Conditions</w:t>
      </w:r>
    </w:p>
    <w:p w:rsidR="00000000" w:rsidRPr="00865D7B" w:rsidP="00865D7B">
      <w:pPr>
        <w:pStyle w:val="ListBullet"/>
      </w:pPr>
      <w:r w:rsidRPr="00865D7B">
        <w:t xml:space="preserve">The unit should be assessed holistically and the judgement of competence based on a holistic assessment of the evidence. </w:t>
      </w:r>
    </w:p>
    <w:p w:rsidR="00000000" w:rsidRPr="00865D7B" w:rsidP="00865D7B">
      <w:pPr>
        <w:pStyle w:val="ListBullet"/>
      </w:pPr>
      <w:r w:rsidRPr="00865D7B">
        <w:t>The collection of performance evidence is best done from a report and/or folio of evidence drawn from:</w:t>
      </w:r>
    </w:p>
    <w:p w:rsidR="00000000" w:rsidRPr="00865D7B" w:rsidP="00865D7B">
      <w:pPr>
        <w:pStyle w:val="ListBullet2"/>
      </w:pPr>
      <w:r w:rsidRPr="00865D7B">
        <w:t>a single project which provides sufficient evidence of the requirements of all the elements and performance criteria</w:t>
      </w:r>
    </w:p>
    <w:p w:rsidR="00000000" w:rsidRPr="00865D7B" w:rsidP="00865D7B">
      <w:pPr>
        <w:pStyle w:val="ListBullet2"/>
      </w:pPr>
      <w:r w:rsidRPr="00865D7B">
        <w:t>multiple smaller projects which tog</w:t>
      </w:r>
      <w:r w:rsidRPr="00865D7B">
        <w:t>ether provide sufficient evidence of the requirements of all the elements and performance criteria.</w:t>
      </w:r>
    </w:p>
    <w:p w:rsidR="00000000" w:rsidRPr="00865D7B" w:rsidP="00865D7B">
      <w:pPr>
        <w:pStyle w:val="ListBullet"/>
      </w:pPr>
      <w:r w:rsidRPr="00865D7B">
        <w:t>A third-party report, or similar, may be needed to testify to the work done by the individual, particularly when the project has been done as part of a pro</w:t>
      </w:r>
      <w:r w:rsidRPr="00865D7B">
        <w:t>ject team.</w:t>
      </w:r>
    </w:p>
    <w:p w:rsidR="00000000" w:rsidRPr="00865D7B" w:rsidP="00865D7B">
      <w:pPr>
        <w:pStyle w:val="ListBullet"/>
      </w:pPr>
      <w:r w:rsidRPr="00865D7B">
        <w:t xml:space="preserve">Assessment should use a real project in an operational workplace. Where this is not possible or practical assessment must occur using a sufficiently rigorous simulated environment reflecting realistic operational workplace conditions. This must </w:t>
      </w:r>
      <w:r w:rsidRPr="00865D7B">
        <w:t>cover all aspects of workplace performance, including environment, task skills, task management skills, contingency management skills and job role environment skills.</w:t>
      </w:r>
    </w:p>
    <w:p w:rsidR="00000000" w:rsidRPr="00865D7B" w:rsidP="00865D7B">
      <w:pPr>
        <w:pStyle w:val="ListBullet"/>
      </w:pPr>
      <w:r w:rsidRPr="00865D7B">
        <w:t xml:space="preserve">Knowledge evidence may be collected concurrently with performance evidence or through an </w:t>
      </w:r>
      <w:r w:rsidRPr="00865D7B">
        <w:t>independent process, such as workbooks, written assessments or interviews (provided a record is kept).</w:t>
      </w:r>
    </w:p>
    <w:p w:rsidR="00000000" w:rsidRPr="00865D7B" w:rsidP="00865D7B">
      <w:pPr>
        <w:pStyle w:val="ListBullet"/>
      </w:pPr>
      <w:r w:rsidRPr="00865D7B">
        <w:t xml:space="preserve">Assessment processes and techniques must be appropriate to the language, literacy and numeracy requirements of the work being performed and the needs of </w:t>
      </w:r>
      <w:r w:rsidRPr="00865D7B">
        <w:t>the candidate.</w:t>
      </w:r>
    </w:p>
    <w:p w:rsidR="00000000" w:rsidRPr="00865D7B" w:rsidP="00865D7B">
      <w:pPr>
        <w:pStyle w:val="ListBullet"/>
      </w:pPr>
      <w:r w:rsidRPr="00865D7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65D7B" w:rsidP="00865D7B">
      <w:pPr>
        <w:pStyle w:val="ListBullet"/>
      </w:pPr>
      <w:r w:rsidRPr="00865D7B">
        <w:t>The regulatory framewor</w:t>
      </w:r>
      <w:r w:rsidRPr="00865D7B">
        <w:t>k will be reflected in workplace policies and procedures and is not required to be independently assessed.</w:t>
      </w:r>
    </w:p>
    <w:p w:rsidR="00000000" w:rsidRPr="00865D7B" w:rsidP="00865D7B">
      <w:pPr>
        <w:pStyle w:val="ListBullet"/>
      </w:pPr>
      <w:r w:rsidRPr="00865D7B">
        <w:t>Foundation skills are integral to competent performance of the unit and should not be assessed separately.</w:t>
      </w:r>
    </w:p>
    <w:p w:rsidR="00000000" w:rsidRPr="00865D7B" w:rsidP="00865D7B">
      <w:pPr>
        <w:pStyle w:val="ListBullet"/>
      </w:pPr>
      <w:r w:rsidRPr="00865D7B">
        <w:t>Assessors must satisfy the assessor compet</w:t>
      </w:r>
      <w:r w:rsidRPr="00865D7B">
        <w:t>ency requirements that are in place at the time of the assessment as set by the VET regulator.</w:t>
      </w:r>
    </w:p>
    <w:p w:rsidR="00000000" w:rsidRPr="00865D7B" w:rsidP="00865D7B">
      <w:pPr>
        <w:pStyle w:val="ListBullet"/>
      </w:pPr>
      <w:r w:rsidRPr="00865D7B">
        <w:t>In addition, the assessor or anyone acting in subject matter expert role in assessment must demonstrate both technical competency and currency. If the assessor c</w:t>
      </w:r>
      <w:r w:rsidRPr="00865D7B">
        <w:t xml:space="preserve">annot demonstrate technical competency and currency they must assess with a subject matter expert who does meet these requirements. </w:t>
      </w:r>
    </w:p>
    <w:p w:rsidR="00000000" w:rsidRPr="00865D7B" w:rsidP="00865D7B">
      <w:pPr>
        <w:pStyle w:val="ListBullet"/>
      </w:pPr>
      <w:r w:rsidRPr="00865D7B">
        <w:t>Technical competence can be demonstrated through one or more of:</w:t>
      </w:r>
    </w:p>
    <w:p w:rsidR="00000000" w:rsidRPr="00865D7B" w:rsidP="00865D7B">
      <w:pPr>
        <w:pStyle w:val="ListBullet2"/>
      </w:pPr>
      <w:r w:rsidRPr="00865D7B">
        <w:t xml:space="preserve">relevant VET or other qualification/Statement of Attainment </w:t>
      </w:r>
    </w:p>
    <w:p w:rsidR="00000000" w:rsidRPr="00865D7B" w:rsidP="00865D7B">
      <w:pPr>
        <w:pStyle w:val="ListBullet2"/>
      </w:pPr>
      <w:r w:rsidRPr="00865D7B">
        <w:t xml:space="preserve">appropriate workplace experience undertaking the type of work being assessed under routine and non-routine conditions </w:t>
      </w:r>
    </w:p>
    <w:p w:rsidR="00000000" w:rsidRPr="00865D7B" w:rsidP="00865D7B">
      <w:pPr>
        <w:pStyle w:val="ListBullet2"/>
      </w:pPr>
      <w:r w:rsidRPr="00865D7B">
        <w:t>appropriate workplace experience supervising/evaluating the type of work bei</w:t>
      </w:r>
      <w:r w:rsidRPr="00865D7B">
        <w:t>ng assessed under routine and non-routine conditions</w:t>
      </w:r>
    </w:p>
    <w:p w:rsidR="00000000" w:rsidRPr="00865D7B" w:rsidP="00865D7B">
      <w:pPr>
        <w:pStyle w:val="ListBullet"/>
      </w:pPr>
      <w:r w:rsidRPr="00865D7B">
        <w:t>Currency can be demonstrated through one or more of:</w:t>
      </w:r>
    </w:p>
    <w:p w:rsidR="00000000" w:rsidRPr="00865D7B" w:rsidP="00865D7B">
      <w:pPr>
        <w:pStyle w:val="ListBullet2"/>
      </w:pPr>
      <w:r w:rsidRPr="00865D7B">
        <w:t xml:space="preserve">being currently employed undertaking the type of work being assessed </w:t>
      </w:r>
    </w:p>
    <w:p w:rsidR="00000000" w:rsidRPr="00865D7B" w:rsidP="00865D7B">
      <w:pPr>
        <w:pStyle w:val="ListBullet2"/>
      </w:pPr>
      <w:r w:rsidRPr="00865D7B">
        <w:t>being employed by the organisation undertaking the type of work being assessed</w:t>
      </w:r>
      <w:r w:rsidRPr="00865D7B">
        <w:t xml:space="preserve"> and having maintained currency in accordance with that organisation’s policies and procedures </w:t>
      </w:r>
    </w:p>
    <w:p w:rsidR="00000000" w:rsidRPr="00865D7B" w:rsidP="00865D7B">
      <w:pPr>
        <w:pStyle w:val="ListBullet2"/>
      </w:pPr>
      <w:r w:rsidRPr="00865D7B">
        <w:t>having consulted/had contact with an organisation undertaking the type of work being assessed within the last twelve months, the consultation/contact being rela</w:t>
      </w:r>
      <w:r w:rsidRPr="00865D7B">
        <w:t xml:space="preserve">ted to assessment </w:t>
      </w:r>
    </w:p>
    <w:p w:rsidR="00000000" w:rsidRPr="00865D7B" w:rsidP="00865D7B">
      <w:pPr>
        <w:pStyle w:val="ListBullet2"/>
      </w:pPr>
      <w:r w:rsidRPr="00865D7B">
        <w:t xml:space="preserve">conducting on-the-job training/assessments of the type of work being assessed </w:t>
      </w:r>
    </w:p>
    <w:p w:rsidR="00000000" w:rsidRPr="00865D7B" w:rsidP="00865D7B">
      <w:pPr>
        <w:pStyle w:val="ListBullet2"/>
      </w:pPr>
      <w:r w:rsidRPr="00865D7B">
        <w:t>being an active member of a relevant professional body and participating in activities relevant to the assessment of this type of work</w:t>
      </w:r>
    </w:p>
    <w:p w:rsidR="00000000" w:rsidRPr="00865D7B" w:rsidP="00865D7B">
      <w:pPr>
        <w:pStyle w:val="AllowPageBreak"/>
      </w:pPr>
    </w:p>
    <w:p w:rsidR="00000000" w:rsidRPr="00865D7B" w:rsidP="00865D7B">
      <w:pPr>
        <w:pStyle w:val="Heading1"/>
      </w:pPr>
      <w:bookmarkStart w:id="5" w:name="O_908615"/>
      <w:bookmarkEnd w:id="5"/>
      <w:r w:rsidRPr="00865D7B">
        <w:t>Links</w:t>
      </w:r>
    </w:p>
    <w:p w:rsidR="00000000" w:rsidRPr="00865D7B" w:rsidP="009D74D5">
      <w:pPr>
        <w:pStyle w:val="BodyText"/>
      </w:pPr>
      <w:r w:rsidRPr="00865D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5366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65D7B" w:rsidP="00865D7B"/>
    <w:sectPr w:rsidSect="00865D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7B" w:rsidRPr="009D74D5" w:rsidP="009D7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5" w:rsidP="00865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4D5" w:rsidP="00865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74D5" w:rsidP="00865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D7B" w:rsidRPr="009D74D5" w:rsidP="009D7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5" w:rsidRPr="002D2AF8" w:rsidP="00865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PMAOPS751 Apply physiochemical knowledge to select raw materials for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9D74D5" w:rsidP="00865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20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0C1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48E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D7B"/>
  </w:style>
  <w:style w:type="character" w:customStyle="1" w:styleId="Heading1Char">
    <w:name w:val="Heading 1 Char"/>
    <w:basedOn w:val="DefaultParagraphFont"/>
    <w:link w:val="Heading1"/>
    <w:rsid w:val="00865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D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D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865D7B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5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D7B"/>
    <w:rPr>
      <w:b/>
      <w:spacing w:val="0"/>
    </w:rPr>
  </w:style>
  <w:style w:type="paragraph" w:customStyle="1" w:styleId="SuperTitle">
    <w:name w:val="SuperTitle"/>
    <w:basedOn w:val="Title"/>
    <w:rsid w:val="00865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D7B"/>
    <w:rPr>
      <w:i/>
    </w:rPr>
  </w:style>
  <w:style w:type="paragraph" w:styleId="Caption">
    <w:name w:val="caption"/>
    <w:basedOn w:val="BodyText"/>
    <w:next w:val="Normal"/>
    <w:qFormat/>
    <w:rsid w:val="00865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D7B"/>
  </w:style>
  <w:style w:type="paragraph" w:styleId="TableofFigures">
    <w:name w:val="table of figures"/>
    <w:basedOn w:val="Normal"/>
    <w:next w:val="Normal"/>
    <w:semiHidden/>
    <w:rsid w:val="00865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D7B"/>
    <w:rPr>
      <w:rFonts w:ascii="Wingdings" w:hAnsi="Wingdings"/>
    </w:rPr>
  </w:style>
  <w:style w:type="paragraph" w:customStyle="1" w:styleId="TableHeading">
    <w:name w:val="Table Heading"/>
    <w:basedOn w:val="HeadingBase"/>
    <w:rsid w:val="00865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D7B"/>
    <w:rPr>
      <w:color w:val="0033CC"/>
      <w:u w:val="none"/>
    </w:rPr>
  </w:style>
  <w:style w:type="paragraph" w:customStyle="1" w:styleId="BodyTextRight">
    <w:name w:val="Body Text Right"/>
    <w:basedOn w:val="BodyText"/>
    <w:rsid w:val="00865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D7B"/>
    <w:rPr>
      <w:sz w:val="32"/>
    </w:rPr>
  </w:style>
  <w:style w:type="paragraph" w:customStyle="1" w:styleId="HeadingProcedure">
    <w:name w:val="Heading Procedure"/>
    <w:basedOn w:val="HeadingBase"/>
    <w:next w:val="Normal"/>
    <w:rsid w:val="00865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D7B"/>
    <w:pPr>
      <w:spacing w:before="60" w:after="60"/>
    </w:pPr>
  </w:style>
  <w:style w:type="paragraph" w:styleId="ListContinue">
    <w:name w:val="List Continue"/>
    <w:basedOn w:val="List"/>
    <w:rsid w:val="00865D7B"/>
    <w:pPr>
      <w:ind w:firstLine="0"/>
    </w:pPr>
  </w:style>
  <w:style w:type="paragraph" w:customStyle="1" w:styleId="ListNote">
    <w:name w:val="List Note"/>
    <w:basedOn w:val="List"/>
    <w:rsid w:val="00865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D7B"/>
    <w:rPr>
      <w:rFonts w:ascii="Courier New" w:hAnsi="Courier New"/>
    </w:rPr>
  </w:style>
  <w:style w:type="paragraph" w:customStyle="1" w:styleId="NoteBullet">
    <w:name w:val="Note Bullet"/>
    <w:basedOn w:val="Note"/>
    <w:rsid w:val="00865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D7B"/>
    <w:rPr>
      <w:b/>
      <w:smallCaps/>
    </w:rPr>
  </w:style>
  <w:style w:type="paragraph" w:customStyle="1" w:styleId="TableListNumber">
    <w:name w:val="Table List Number"/>
    <w:basedOn w:val="ListNumber"/>
    <w:rsid w:val="00865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D7B"/>
    <w:pPr>
      <w:numPr>
        <w:numId w:val="9"/>
      </w:numPr>
    </w:pPr>
  </w:style>
  <w:style w:type="paragraph" w:customStyle="1" w:styleId="ListAlpha2">
    <w:name w:val="List Alpha 2"/>
    <w:basedOn w:val="List2"/>
    <w:rsid w:val="00865D7B"/>
    <w:pPr>
      <w:numPr>
        <w:numId w:val="8"/>
      </w:numPr>
    </w:pPr>
  </w:style>
  <w:style w:type="paragraph" w:styleId="List2">
    <w:name w:val="List 2"/>
    <w:basedOn w:val="BodyText"/>
    <w:rsid w:val="00865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D7B"/>
    <w:pPr>
      <w:numPr>
        <w:numId w:val="4"/>
      </w:numPr>
    </w:pPr>
  </w:style>
  <w:style w:type="paragraph" w:styleId="ListContinue2">
    <w:name w:val="List Continue 2"/>
    <w:basedOn w:val="List2"/>
    <w:rsid w:val="00865D7B"/>
    <w:pPr>
      <w:ind w:firstLine="0"/>
    </w:pPr>
  </w:style>
  <w:style w:type="paragraph" w:styleId="ListContinue3">
    <w:name w:val="List Continue 3"/>
    <w:basedOn w:val="List3"/>
    <w:rsid w:val="00865D7B"/>
    <w:pPr>
      <w:ind w:left="1021" w:firstLine="0"/>
    </w:pPr>
  </w:style>
  <w:style w:type="paragraph" w:styleId="ListContinue4">
    <w:name w:val="List Continue 4"/>
    <w:basedOn w:val="List4"/>
    <w:rsid w:val="00865D7B"/>
    <w:pPr>
      <w:ind w:firstLine="0"/>
    </w:pPr>
  </w:style>
  <w:style w:type="paragraph" w:styleId="ListContinue5">
    <w:name w:val="List Continue 5"/>
    <w:basedOn w:val="List5"/>
    <w:rsid w:val="00865D7B"/>
    <w:pPr>
      <w:ind w:firstLine="0"/>
    </w:pPr>
  </w:style>
  <w:style w:type="paragraph" w:styleId="ListNumber3">
    <w:name w:val="List Number 3"/>
    <w:basedOn w:val="List3"/>
    <w:rsid w:val="00865D7B"/>
    <w:pPr>
      <w:numPr>
        <w:numId w:val="5"/>
      </w:numPr>
    </w:pPr>
  </w:style>
  <w:style w:type="paragraph" w:styleId="ListNumber4">
    <w:name w:val="List Number 4"/>
    <w:basedOn w:val="List4"/>
    <w:rsid w:val="00865D7B"/>
    <w:pPr>
      <w:numPr>
        <w:numId w:val="6"/>
      </w:numPr>
    </w:pPr>
  </w:style>
  <w:style w:type="paragraph" w:styleId="ListNumber5">
    <w:name w:val="List Number 5"/>
    <w:basedOn w:val="List5"/>
    <w:rsid w:val="00865D7B"/>
    <w:pPr>
      <w:numPr>
        <w:numId w:val="7"/>
      </w:numPr>
    </w:pPr>
  </w:style>
  <w:style w:type="paragraph" w:styleId="BlockText">
    <w:name w:val="Block Text"/>
    <w:basedOn w:val="Normal"/>
    <w:rsid w:val="00865D7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865D7B"/>
    <w:rPr>
      <w:sz w:val="16"/>
      <w:vertAlign w:val="superscript"/>
    </w:rPr>
  </w:style>
  <w:style w:type="character" w:customStyle="1" w:styleId="Symbols">
    <w:name w:val="Symbols"/>
    <w:basedOn w:val="DefaultParagraphFont"/>
    <w:rsid w:val="00865D7B"/>
    <w:rPr>
      <w:rFonts w:ascii="Symbol" w:hAnsi="Symbol"/>
    </w:rPr>
  </w:style>
  <w:style w:type="character" w:customStyle="1" w:styleId="MenuOptions">
    <w:name w:val="Menu Options"/>
    <w:basedOn w:val="DefaultParagraphFont"/>
    <w:rsid w:val="00865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D7B"/>
    <w:rPr>
      <w:b/>
    </w:rPr>
  </w:style>
  <w:style w:type="character" w:customStyle="1" w:styleId="Underlined">
    <w:name w:val="Underlined"/>
    <w:basedOn w:val="DefaultParagraphFont"/>
    <w:rsid w:val="00865D7B"/>
    <w:rPr>
      <w:u w:val="single"/>
    </w:rPr>
  </w:style>
  <w:style w:type="paragraph" w:customStyle="1" w:styleId="TableBodyTextRight">
    <w:name w:val="Table Body Text Right"/>
    <w:basedOn w:val="TableBodyText"/>
    <w:rsid w:val="00865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D7B"/>
    <w:rPr>
      <w:sz w:val="18"/>
    </w:rPr>
  </w:style>
  <w:style w:type="paragraph" w:customStyle="1" w:styleId="BodySmallRight">
    <w:name w:val="Body Small Right"/>
    <w:basedOn w:val="BodyTextRight"/>
    <w:rsid w:val="00865D7B"/>
    <w:rPr>
      <w:sz w:val="18"/>
      <w:szCs w:val="18"/>
    </w:rPr>
  </w:style>
  <w:style w:type="paragraph" w:customStyle="1" w:styleId="MarginEdition">
    <w:name w:val="Margin Edition"/>
    <w:basedOn w:val="MarginNote"/>
    <w:rsid w:val="00865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D7B"/>
    <w:rPr>
      <w:sz w:val="2"/>
      <w:szCs w:val="2"/>
    </w:rPr>
  </w:style>
  <w:style w:type="character" w:customStyle="1" w:styleId="Small">
    <w:name w:val="Small"/>
    <w:basedOn w:val="DefaultParagraphFont"/>
    <w:rsid w:val="00865D7B"/>
    <w:rPr>
      <w:sz w:val="16"/>
    </w:rPr>
  </w:style>
  <w:style w:type="paragraph" w:customStyle="1" w:styleId="WideTable">
    <w:name w:val="Wide Table"/>
    <w:basedOn w:val="Normal"/>
    <w:rsid w:val="00865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D7B"/>
  </w:style>
  <w:style w:type="paragraph" w:styleId="Quote">
    <w:name w:val="Quote"/>
    <w:basedOn w:val="Heading1"/>
    <w:link w:val="QuoteChar"/>
    <w:qFormat/>
    <w:rsid w:val="00865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D7B"/>
    <w:pPr>
      <w:pageBreakBefore/>
    </w:pPr>
  </w:style>
  <w:style w:type="paragraph" w:customStyle="1" w:styleId="Border">
    <w:name w:val="Border"/>
    <w:basedOn w:val="Normal"/>
    <w:qFormat/>
    <w:rsid w:val="00865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D7B"/>
    <w:rPr>
      <w:u w:val="single"/>
    </w:rPr>
  </w:style>
  <w:style w:type="character" w:customStyle="1" w:styleId="BoldandItalics">
    <w:name w:val="Bold and Italics"/>
    <w:qFormat/>
    <w:rsid w:val="00865D7B"/>
    <w:rPr>
      <w:b/>
      <w:i/>
      <w:u w:val="none"/>
    </w:rPr>
  </w:style>
  <w:style w:type="paragraph" w:styleId="BalloonText">
    <w:name w:val="Balloon Text"/>
    <w:basedOn w:val="Normal"/>
    <w:link w:val="BalloonTextChar"/>
    <w:rsid w:val="00865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D7B"/>
    <w:pPr>
      <w:spacing w:before="0" w:after="0"/>
    </w:pPr>
  </w:style>
  <w:style w:type="paragraph" w:customStyle="1" w:styleId="BodyTextBold">
    <w:name w:val="Body Text Bold"/>
    <w:basedOn w:val="BodyText"/>
    <w:qFormat/>
    <w:rsid w:val="00865D7B"/>
    <w:rPr>
      <w:b/>
    </w:rPr>
  </w:style>
  <w:style w:type="character" w:styleId="Hyperlink">
    <w:name w:val="Hyperlink"/>
    <w:basedOn w:val="DefaultParagraphFont"/>
    <w:uiPriority w:val="99"/>
    <w:unhideWhenUsed/>
    <w:rsid w:val="009D7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5362</Characters>
  <Application>Microsoft Office Word</Application>
  <DocSecurity>0</DocSecurity>
  <Lines>124</Lines>
  <Paragraphs>95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PMAOPS751 Apply physiochemical knowledge to select raw materials for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2020-11-16T08:25:00Z</dcterms:created>
  <dcterms:modified xsi:type="dcterms:W3CDTF">2020-11-16T08:25:00Z</dcterms:modified>
</cp:coreProperties>
</file>