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AAD" w:rsidP="00367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PMAOPS601 Debottleneck plant</w:t>
      </w:r>
      <w:r>
        <w:fldChar w:fldCharType="end"/>
      </w:r>
    </w:p>
    <w:p w:rsidR="00367AAD" w:rsidP="00367AAD">
      <w:pPr>
        <w:pStyle w:val="Version"/>
        <w:sectPr w:rsidSect="005F6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1DF" w:rsidP="005F61DF">
      <w:pPr>
        <w:pStyle w:val="SuperHeading"/>
      </w:pPr>
      <w:r w:rsidRPr="005F61DF">
        <w:t>PMAOPS601 Debottleneck plant</w:t>
      </w:r>
    </w:p>
    <w:p w:rsidR="00000000" w:rsidRPr="005F61DF" w:rsidP="005F61DF">
      <w:pPr>
        <w:pStyle w:val="Heading1"/>
      </w:pPr>
      <w:bookmarkStart w:id="1" w:name="O_908601"/>
      <w:bookmarkEnd w:id="1"/>
      <w:r w:rsidRPr="005F61DF">
        <w:t>Modification History</w:t>
      </w:r>
    </w:p>
    <w:p w:rsidR="00000000" w:rsidRPr="005F61DF" w:rsidP="00367AAD">
      <w:pPr>
        <w:pStyle w:val="BodyText"/>
      </w:pPr>
      <w:r w:rsidRPr="005F61DF">
        <w:t>Release 1. Supersedes and is equivalent to PMAOPS601A Debottleneck plant</w:t>
      </w:r>
    </w:p>
    <w:p w:rsidR="00000000" w:rsidRPr="005F61DF" w:rsidP="005F61DF">
      <w:pPr>
        <w:pStyle w:val="Heading1"/>
      </w:pPr>
      <w:bookmarkStart w:id="2" w:name="O_908609"/>
      <w:bookmarkEnd w:id="2"/>
      <w:r w:rsidRPr="005F61DF">
        <w:t>Application</w:t>
      </w:r>
    </w:p>
    <w:p w:rsidR="00000000" w:rsidRPr="005F61DF" w:rsidP="00367AAD">
      <w:pPr>
        <w:pStyle w:val="BodyText"/>
      </w:pPr>
      <w:r w:rsidRPr="005F61DF">
        <w:t xml:space="preserve">This unit of competency covers the skills and knowledge required to make changes to plant or process that increase the throughput of </w:t>
      </w:r>
      <w:r w:rsidRPr="005F61DF">
        <w:t>a plant. It applies to a small plant or a section/area of a larger plant.</w:t>
      </w:r>
    </w:p>
    <w:p w:rsidR="00000000" w:rsidRPr="005F61DF" w:rsidP="00367AAD">
      <w:pPr>
        <w:pStyle w:val="BodyText"/>
      </w:pPr>
      <w:r w:rsidRPr="005F61DF">
        <w:t>This unit of competency applies to senior technicians or those in similar roles who are required to apply in-depth technical knowledge of process and plant operation and problem sol</w:t>
      </w:r>
      <w:r w:rsidRPr="005F61DF">
        <w:t>ving in order to identify the rate limiting step/process/plant unit (bottleneck), evaluate possible solutions, select the most appropriate option, and coordinate and supervise the plant and/or process modifications.</w:t>
      </w:r>
    </w:p>
    <w:p w:rsidR="00000000" w:rsidRPr="005F61DF" w:rsidP="00367AAD">
      <w:pPr>
        <w:pStyle w:val="BodyText"/>
      </w:pPr>
      <w:r w:rsidRPr="005F61DF">
        <w:t xml:space="preserve">This unit of competency does not apply </w:t>
      </w:r>
      <w:r w:rsidRPr="005F61DF">
        <w:t xml:space="preserve">to: </w:t>
      </w:r>
    </w:p>
    <w:p w:rsidR="00000000" w:rsidRPr="005F61DF" w:rsidP="005F61DF">
      <w:pPr>
        <w:pStyle w:val="ListBullet"/>
      </w:pPr>
      <w:r w:rsidRPr="005F61DF">
        <w:t>identification of the need for debottlenecking; the need for the debottlenecking may arise from a continuous improvement project, as a result of an analysis of plant performance or from any other source</w:t>
      </w:r>
    </w:p>
    <w:p w:rsidR="00000000" w:rsidRPr="005F61DF" w:rsidP="005F61DF">
      <w:pPr>
        <w:pStyle w:val="ListBullet"/>
      </w:pPr>
      <w:r w:rsidRPr="005F61DF">
        <w:t>design of equipment; this would typically be an</w:t>
      </w:r>
      <w:r w:rsidRPr="005F61DF">
        <w:t xml:space="preserve"> engineering role </w:t>
      </w:r>
    </w:p>
    <w:p w:rsidR="00000000" w:rsidRPr="005F61DF" w:rsidP="005F61DF">
      <w:pPr>
        <w:pStyle w:val="ListBullet"/>
      </w:pPr>
      <w:r w:rsidRPr="005F61DF">
        <w:t>work requiring special certification (e.g. registered structural engineer).</w:t>
      </w:r>
    </w:p>
    <w:p w:rsidR="00000000" w:rsidRPr="005F61DF" w:rsidP="005F61DF">
      <w:pPr>
        <w:pStyle w:val="BodyText"/>
      </w:pPr>
    </w:p>
    <w:p w:rsidR="00000000" w:rsidRPr="005F61DF" w:rsidP="00367AAD">
      <w:pPr>
        <w:pStyle w:val="BodyText"/>
      </w:pPr>
      <w:r w:rsidRPr="005F61DF">
        <w:t>No licensing, legislative or certification requirements apply to this unit at the time of publication.</w:t>
      </w:r>
    </w:p>
    <w:p w:rsidR="00000000" w:rsidRPr="005F61DF" w:rsidP="005F61DF">
      <w:pPr>
        <w:pStyle w:val="Heading1"/>
      </w:pPr>
      <w:bookmarkStart w:id="3" w:name="O_908608"/>
      <w:bookmarkEnd w:id="3"/>
      <w:r w:rsidRPr="005F61DF">
        <w:t>Pre-requisite Unit</w:t>
      </w:r>
    </w:p>
    <w:p w:rsidR="00000000" w:rsidRPr="005F61DF" w:rsidP="00367AAD">
      <w:pPr>
        <w:pStyle w:val="BodyText"/>
      </w:pPr>
      <w:r w:rsidRPr="005F61DF">
        <w:t>Nil</w:t>
      </w:r>
    </w:p>
    <w:p w:rsidR="00000000" w:rsidRPr="005F61DF" w:rsidP="005F61DF">
      <w:pPr>
        <w:pStyle w:val="Heading1"/>
      </w:pPr>
      <w:bookmarkStart w:id="4" w:name="O_908607"/>
      <w:bookmarkEnd w:id="4"/>
      <w:r w:rsidRPr="005F61DF">
        <w:t>Competency Field</w:t>
      </w:r>
    </w:p>
    <w:p w:rsidR="00000000" w:rsidRPr="005F61DF" w:rsidP="00367AAD">
      <w:pPr>
        <w:pStyle w:val="BodyText"/>
      </w:pPr>
      <w:r w:rsidRPr="005F61DF">
        <w:t>Operations</w:t>
      </w:r>
    </w:p>
    <w:p w:rsidR="00000000" w:rsidRPr="005F61DF" w:rsidP="005F61DF">
      <w:pPr>
        <w:pStyle w:val="Heading1"/>
      </w:pPr>
      <w:bookmarkStart w:id="5" w:name="O_908606"/>
      <w:bookmarkEnd w:id="5"/>
      <w:r w:rsidRPr="005F61DF">
        <w:t>Unit Sector</w:t>
      </w:r>
    </w:p>
    <w:p w:rsidR="00000000" w:rsidRPr="005F61DF" w:rsidP="005F61DF">
      <w:pPr>
        <w:pStyle w:val="Heading1"/>
      </w:pPr>
      <w:bookmarkStart w:id="6" w:name="O_908605"/>
      <w:bookmarkEnd w:id="6"/>
      <w:r w:rsidRPr="005F61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Performance criteria describe the performance needed to demonstrate achievement of the element.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rPr>
                <w:rStyle w:val="SpecialBold"/>
              </w:rPr>
              <w:t>Identify rate limiting step/process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Determine throughput of plant/area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Determine capacity of units within plant/area based on design and/or performance data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Identify which units is operating at capacity/is the bottleneck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rPr>
                <w:rStyle w:val="SpecialBold"/>
              </w:rPr>
              <w:t>Investigate bottleneck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Analyse the science of what is occurring in the bottleneck unit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Analyse the engineering/design specification of the bottleneck unit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Determine the root cause of the capacity limitation of the bottleneck unit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Investigate methods of increasing the capacity of the bottleneck unit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List solutions to the bottleneck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rPr>
                <w:rStyle w:val="SpecialBold"/>
              </w:rPr>
              <w:t>Select technically best solution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Investigate impact of solutions on the other units of the plant/area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 xml:space="preserve">Identify any </w:t>
            </w:r>
            <w:r>
              <w:t>‘</w:t>
            </w:r>
            <w:r w:rsidRPr="005F61DF">
              <w:t>knock on</w:t>
            </w:r>
            <w:r>
              <w:t>’</w:t>
            </w:r>
            <w:r w:rsidRPr="005F61DF">
              <w:t xml:space="preserve"> effects of solution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Determine process/quality benefits and costs of solutions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Determine economic benefits and costs of solutions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Short list and rank the best solutions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rPr>
                <w:rStyle w:val="SpecialBold"/>
              </w:rPr>
              <w:t>Compare hazard profile of possible 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Organise a hazard analysis (e.g. hazard and operability study (HAZOP)) for the solutions according to company procedures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Ensure that all stakeholders are represented on the hazard analysis team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Brief the hazard analysis team on the problem and solution alternatives under evaluation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Eliminate alternatives which do not meet hazard requirements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Rank remaining competing items by safety performance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rPr>
                <w:rStyle w:val="SpecialBold"/>
              </w:rPr>
              <w:t>Make final choice of solution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Seek further information, where necessary, to allow a rational selection to be made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Choose the modification which meets all required minimum standards and will provide the best solution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Verify choice in discussion with production and engineering managers and other key stakeholders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rPr>
                <w:rStyle w:val="SpecialBold"/>
              </w:rPr>
              <w:t>Check solution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Initiate and monitor the implementation of the solution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Ensure all checks and acceptances are done to procedures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Conduct trials/test runs as required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Collect and analyse data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rPr>
                <w:rStyle w:val="SpecialBold"/>
              </w:rPr>
              <w:t>Complete modification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Evaluate performance of solution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Make adjustments as required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Ensure plant procedures and training material updated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Ensure plant drawings and engineering specifications are updated</w:t>
            </w:r>
          </w:p>
        </w:tc>
      </w:tr>
      <w:tr w:rsidTr="005F61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7.5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t>Complete all other required paperwork</w:t>
            </w:r>
          </w:p>
        </w:tc>
      </w:tr>
    </w:tbl>
    <w:p w:rsidR="00000000" w:rsidRPr="005F61DF" w:rsidP="005F61DF">
      <w:pPr>
        <w:pStyle w:val="BodyText"/>
      </w:pPr>
    </w:p>
    <w:p w:rsidR="00000000" w:rsidRPr="005F61DF" w:rsidP="005F61DF">
      <w:pPr>
        <w:pStyle w:val="AllowPageBreak"/>
      </w:pPr>
    </w:p>
    <w:p w:rsidR="00000000" w:rsidRPr="005F61DF" w:rsidP="005F61DF">
      <w:pPr>
        <w:pStyle w:val="Heading1"/>
      </w:pPr>
      <w:bookmarkStart w:id="7" w:name="O_908604"/>
      <w:bookmarkEnd w:id="7"/>
      <w:r w:rsidRPr="005F61DF">
        <w:t>Foundation Skills</w:t>
      </w:r>
    </w:p>
    <w:p w:rsidR="00000000" w:rsidRPr="005F61DF" w:rsidP="00367AAD">
      <w:pPr>
        <w:pStyle w:val="BodyText"/>
      </w:pPr>
      <w:r w:rsidRPr="005F61DF">
        <w:t>This section describes those language, literacy, numeracy and employment skills that are essential to perform</w:t>
      </w:r>
      <w:r w:rsidRPr="005F61DF">
        <w:t>ance.</w:t>
      </w:r>
    </w:p>
    <w:p w:rsidR="00000000" w:rsidRPr="005F61DF" w:rsidP="00367AAD">
      <w:pPr>
        <w:pStyle w:val="BodyText"/>
      </w:pPr>
      <w:r w:rsidRPr="005F61DF">
        <w:t>Foundation skills essential to performance are explicit in the performance criteria of this unit of competency.</w:t>
      </w:r>
    </w:p>
    <w:p w:rsidR="00000000" w:rsidRPr="005F61DF" w:rsidP="005F61DF">
      <w:pPr>
        <w:pStyle w:val="Heading1"/>
      </w:pPr>
      <w:bookmarkStart w:id="8" w:name="O_908603"/>
      <w:bookmarkEnd w:id="8"/>
      <w:r w:rsidRPr="005F61D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2"/>
        <w:gridCol w:w="6484"/>
      </w:tblGrid>
      <w:tr w:rsidTr="00367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t>This field allows for different work environments and conditions that may affect performance. Essent</w:t>
            </w:r>
            <w:r w:rsidRPr="005F61DF">
              <w:t>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367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5F61DF" w:rsidP="005F61DF">
            <w:pPr>
              <w:pStyle w:val="ListBullet"/>
            </w:pPr>
            <w:r w:rsidRPr="005F61DF">
              <w:t>legislative requirem</w:t>
            </w:r>
            <w:r w:rsidRPr="005F61DF">
              <w:t>ents, including work health and safety (WHS)</w:t>
            </w:r>
          </w:p>
          <w:p w:rsidR="00000000" w:rsidRPr="005F61DF" w:rsidP="005F61DF">
            <w:pPr>
              <w:pStyle w:val="ListBullet"/>
            </w:pPr>
            <w:r w:rsidRPr="005F61DF">
              <w:t>industry codes of practice and guidelines</w:t>
            </w:r>
          </w:p>
          <w:p w:rsidR="00000000" w:rsidRPr="005F61DF" w:rsidP="005F61DF">
            <w:pPr>
              <w:pStyle w:val="ListBullet"/>
            </w:pPr>
            <w:r w:rsidRPr="005F61DF">
              <w:t xml:space="preserve">environmental regulations and guidelines </w:t>
            </w:r>
          </w:p>
          <w:p w:rsidR="00000000" w:rsidRPr="005F61DF" w:rsidP="005F61DF">
            <w:pPr>
              <w:pStyle w:val="ListBullet"/>
            </w:pPr>
            <w:r w:rsidRPr="005F61DF">
              <w:t>Australian and other standards</w:t>
            </w:r>
          </w:p>
          <w:p w:rsidR="00000000" w:rsidRPr="005F61DF" w:rsidP="005F61DF">
            <w:pPr>
              <w:pStyle w:val="ListBullet"/>
            </w:pPr>
            <w:r w:rsidRPr="005F61DF">
              <w:t xml:space="preserve">licence and certification requirements </w:t>
            </w:r>
          </w:p>
          <w:p w:rsidR="00000000" w:rsidRPr="005F61DF" w:rsidP="005F61DF">
            <w:pPr>
              <w:pStyle w:val="BodyText"/>
            </w:pPr>
          </w:p>
          <w:p w:rsidR="00000000" w:rsidRPr="005F61DF" w:rsidP="005F61DF">
            <w:pPr>
              <w:pStyle w:val="BodyText"/>
            </w:pPr>
            <w:r w:rsidRPr="005F61DF">
              <w:t>All operations to which this unit applies are subject t</w:t>
            </w:r>
            <w:r w:rsidRPr="005F61DF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5F61DF">
              <w:t>irements, the HSE requirements take precedence</w:t>
            </w:r>
          </w:p>
          <w:p w:rsidR="00000000" w:rsidP="005F61DF">
            <w:pPr>
              <w:pStyle w:val="BodyText"/>
              <w:rPr>
                <w:lang w:val="en-NZ"/>
              </w:rPr>
            </w:pPr>
          </w:p>
        </w:tc>
      </w:tr>
      <w:tr w:rsidTr="00367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t>Hazards include one or more of the following:</w:t>
            </w:r>
          </w:p>
          <w:p w:rsidR="00000000" w:rsidRPr="005F61DF" w:rsidP="005F61DF">
            <w:pPr>
              <w:pStyle w:val="ListBullet"/>
            </w:pPr>
            <w:r w:rsidRPr="005F61DF">
              <w:t>electricity</w:t>
            </w:r>
          </w:p>
          <w:p w:rsidR="00000000" w:rsidRPr="005F61DF" w:rsidP="005F61DF">
            <w:pPr>
              <w:pStyle w:val="ListBullet"/>
            </w:pPr>
            <w:r w:rsidRPr="005F61DF">
              <w:t>gas</w:t>
            </w:r>
          </w:p>
          <w:p w:rsidR="00000000" w:rsidRPr="005F61DF" w:rsidP="005F61DF">
            <w:pPr>
              <w:pStyle w:val="ListBullet"/>
            </w:pPr>
            <w:r w:rsidRPr="005F61DF">
              <w:t>flow, pressure</w:t>
            </w:r>
          </w:p>
          <w:p w:rsidR="00000000" w:rsidRPr="005F61DF" w:rsidP="005F61DF">
            <w:pPr>
              <w:pStyle w:val="ListBullet"/>
            </w:pPr>
            <w:r w:rsidRPr="005F61DF">
              <w:t>equipment failures</w:t>
            </w:r>
          </w:p>
          <w:p w:rsidR="00000000" w:rsidRPr="005F61DF" w:rsidP="005F61DF">
            <w:pPr>
              <w:pStyle w:val="ListBullet"/>
            </w:pPr>
            <w:r w:rsidRPr="005F61DF">
              <w:t>plant services (steam, condensate and cooling water)</w:t>
            </w:r>
          </w:p>
          <w:p w:rsidR="00000000" w:rsidRPr="005F61DF" w:rsidP="005F61DF">
            <w:pPr>
              <w:pStyle w:val="ListBullet"/>
            </w:pPr>
            <w:r w:rsidRPr="005F61DF">
              <w:t>flammabilityand explosivity</w:t>
            </w:r>
          </w:p>
          <w:p w:rsidR="00000000" w:rsidRPr="005F61DF" w:rsidP="005F61DF">
            <w:pPr>
              <w:pStyle w:val="ListBullet"/>
            </w:pPr>
            <w:r w:rsidRPr="005F61DF">
              <w:t>hazardous products and materials</w:t>
            </w:r>
          </w:p>
          <w:p w:rsidR="00000000" w:rsidRPr="005F61DF" w:rsidP="005F61DF">
            <w:pPr>
              <w:pStyle w:val="ListBullet"/>
            </w:pPr>
            <w:r w:rsidRPr="005F61DF">
              <w:t>other hazards that might arise</w:t>
            </w:r>
          </w:p>
          <w:p w:rsidR="00000000" w:rsidP="005F61DF">
            <w:pPr>
              <w:pStyle w:val="BodyText"/>
              <w:rPr>
                <w:lang w:val="en-NZ"/>
              </w:rPr>
            </w:pPr>
          </w:p>
        </w:tc>
      </w:tr>
      <w:tr w:rsidTr="00367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F">
            <w:pPr>
              <w:pStyle w:val="BodyText"/>
              <w:rPr>
                <w:lang w:val="en-NZ"/>
              </w:rPr>
            </w:pPr>
            <w:r w:rsidRPr="005F61D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F" w:rsidP="005F61DF">
            <w:pPr>
              <w:pStyle w:val="BodyText"/>
            </w:pPr>
            <w:r w:rsidRPr="005F61DF">
              <w:t>All operations must be performed in accordance with relevant procedures.</w:t>
            </w:r>
          </w:p>
          <w:p w:rsidR="00000000" w:rsidRPr="005F61DF" w:rsidP="005F61DF">
            <w:pPr>
              <w:pStyle w:val="BodyText"/>
            </w:pPr>
          </w:p>
          <w:p w:rsidR="00000000" w:rsidRPr="005F61DF" w:rsidP="005F61DF">
            <w:pPr>
              <w:pStyle w:val="BodyText"/>
            </w:pPr>
            <w:r w:rsidRPr="005F61DF">
              <w:t xml:space="preserve">Procedures are written, verbal, visual, computer-based or in some other form, include one or more of the </w:t>
            </w:r>
            <w:r w:rsidRPr="005F61DF">
              <w:t>following:</w:t>
            </w:r>
          </w:p>
          <w:p w:rsidR="00000000" w:rsidRPr="005F61DF" w:rsidP="005F61DF">
            <w:pPr>
              <w:pStyle w:val="ListBullet"/>
            </w:pPr>
            <w:r w:rsidRPr="005F61DF">
              <w:t>emergency procedures</w:t>
            </w:r>
          </w:p>
          <w:p w:rsidR="00000000" w:rsidRPr="005F61DF" w:rsidP="005F61DF">
            <w:pPr>
              <w:pStyle w:val="ListBullet"/>
            </w:pPr>
            <w:r w:rsidRPr="005F61DF">
              <w:t>work instructions</w:t>
            </w:r>
          </w:p>
          <w:p w:rsidR="00000000" w:rsidRPr="005F61DF" w:rsidP="005F61DF">
            <w:pPr>
              <w:pStyle w:val="ListBullet"/>
            </w:pPr>
            <w:r w:rsidRPr="005F61DF">
              <w:t>standard operating procedures (SOPs)</w:t>
            </w:r>
          </w:p>
          <w:p w:rsidR="00000000" w:rsidRPr="005F61DF" w:rsidP="005F61DF">
            <w:pPr>
              <w:pStyle w:val="ListBullet"/>
            </w:pPr>
            <w:r w:rsidRPr="005F61DF">
              <w:t>safe work method statements (SWMS)</w:t>
            </w:r>
          </w:p>
          <w:p w:rsidR="00000000" w:rsidRPr="005F61DF" w:rsidP="005F61DF">
            <w:pPr>
              <w:pStyle w:val="ListBullet"/>
            </w:pPr>
            <w:r w:rsidRPr="005F61DF">
              <w:t>formulas/recipes</w:t>
            </w:r>
          </w:p>
          <w:p w:rsidR="00000000" w:rsidRPr="005F61DF" w:rsidP="005F61DF">
            <w:pPr>
              <w:pStyle w:val="ListBullet"/>
            </w:pPr>
            <w:r w:rsidRPr="005F61DF">
              <w:t>batch sheets</w:t>
            </w:r>
          </w:p>
          <w:p w:rsidR="00000000" w:rsidRPr="005F61DF" w:rsidP="005F61DF">
            <w:pPr>
              <w:pStyle w:val="ListBullet"/>
            </w:pPr>
            <w:r w:rsidRPr="005F61DF">
              <w:t>temporary instructions</w:t>
            </w:r>
          </w:p>
          <w:p w:rsidR="00000000" w:rsidRPr="005F61DF" w:rsidP="005F61DF">
            <w:pPr>
              <w:pStyle w:val="ListBullet"/>
            </w:pPr>
            <w:r w:rsidRPr="005F61DF">
              <w:t>any similar instructions provided for the smooth running of the plant.</w:t>
            </w:r>
          </w:p>
        </w:tc>
      </w:tr>
    </w:tbl>
    <w:p w:rsidR="00000000" w:rsidRPr="005F61DF" w:rsidP="005F61DF">
      <w:pPr>
        <w:pStyle w:val="BodyText"/>
      </w:pPr>
    </w:p>
    <w:p w:rsidR="00000000" w:rsidRPr="005F61DF" w:rsidP="005F61DF">
      <w:pPr>
        <w:pStyle w:val="AllowPageBreak"/>
      </w:pPr>
    </w:p>
    <w:p w:rsidR="00000000" w:rsidRPr="005F61DF" w:rsidP="005F61DF">
      <w:pPr>
        <w:pStyle w:val="Heading1"/>
      </w:pPr>
      <w:bookmarkStart w:id="9" w:name="O_908602"/>
      <w:bookmarkEnd w:id="9"/>
      <w:r w:rsidRPr="005F61DF">
        <w:t>Unit Mapping Information</w:t>
      </w:r>
    </w:p>
    <w:p w:rsidR="00000000" w:rsidRPr="005F61DF" w:rsidP="00367AAD">
      <w:pPr>
        <w:pStyle w:val="BodyText"/>
      </w:pPr>
      <w:r w:rsidRPr="005F61DF">
        <w:t>Release 1. Supersedes and is equivalent to PMAOPS601A Debottleneck plant</w:t>
      </w:r>
    </w:p>
    <w:p w:rsidR="00000000" w:rsidRPr="005F61DF" w:rsidP="005F61DF">
      <w:pPr>
        <w:pStyle w:val="Heading1"/>
      </w:pPr>
      <w:bookmarkStart w:id="10" w:name="O_908595"/>
      <w:bookmarkEnd w:id="10"/>
      <w:r w:rsidRPr="005F61DF">
        <w:t>Links</w:t>
      </w:r>
    </w:p>
    <w:p w:rsidR="00000000" w:rsidRPr="005F61DF" w:rsidP="00367AAD">
      <w:pPr>
        <w:pStyle w:val="BodyText"/>
      </w:pPr>
      <w:r w:rsidRPr="005F61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8114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F61DF" w:rsidP="005F61DF"/>
    <w:sectPr w:rsidSect="005F6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DF" w:rsidRPr="00367AAD" w:rsidP="00367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AD" w:rsidP="005F6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AAD" w:rsidP="005F6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7AAD" w:rsidP="005F6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1DF" w:rsidRPr="00367AAD" w:rsidP="00367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AD" w:rsidRPr="002D2AF8" w:rsidP="005F6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PMAOPS601 Debottleneck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67AAD" w:rsidP="005F6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6EA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B2D7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1DF"/>
  </w:style>
  <w:style w:type="character" w:customStyle="1" w:styleId="Heading1Char">
    <w:name w:val="Heading 1 Char"/>
    <w:basedOn w:val="DefaultParagraphFont"/>
    <w:link w:val="Heading1"/>
    <w:rsid w:val="005F6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1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1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1DF"/>
    <w:rPr>
      <w:b/>
      <w:spacing w:val="0"/>
    </w:rPr>
  </w:style>
  <w:style w:type="paragraph" w:customStyle="1" w:styleId="SuperHeading">
    <w:name w:val="SuperHeading"/>
    <w:basedOn w:val="Normal"/>
    <w:rsid w:val="005F6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1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1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1DF"/>
    <w:rPr>
      <w:i/>
    </w:rPr>
  </w:style>
  <w:style w:type="paragraph" w:styleId="Caption">
    <w:name w:val="caption"/>
    <w:basedOn w:val="BodyText"/>
    <w:next w:val="Normal"/>
    <w:qFormat/>
    <w:rsid w:val="005F6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1DF"/>
  </w:style>
  <w:style w:type="paragraph" w:styleId="TableofFigures">
    <w:name w:val="table of figures"/>
    <w:basedOn w:val="Normal"/>
    <w:next w:val="Normal"/>
    <w:semiHidden/>
    <w:rsid w:val="005F6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1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61DF"/>
    <w:rPr>
      <w:rFonts w:ascii="Wingdings" w:hAnsi="Wingdings"/>
    </w:rPr>
  </w:style>
  <w:style w:type="paragraph" w:customStyle="1" w:styleId="TableHeading">
    <w:name w:val="Table Heading"/>
    <w:basedOn w:val="HeadingBase"/>
    <w:rsid w:val="005F6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1DF"/>
    <w:rPr>
      <w:color w:val="0033CC"/>
      <w:u w:val="none"/>
    </w:rPr>
  </w:style>
  <w:style w:type="paragraph" w:customStyle="1" w:styleId="BodyTextRight">
    <w:name w:val="Body Text Right"/>
    <w:basedOn w:val="BodyText"/>
    <w:rsid w:val="005F6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1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1DF"/>
    <w:rPr>
      <w:sz w:val="32"/>
    </w:rPr>
  </w:style>
  <w:style w:type="paragraph" w:customStyle="1" w:styleId="HeadingProcedure">
    <w:name w:val="Heading Procedure"/>
    <w:basedOn w:val="HeadingBase"/>
    <w:next w:val="Normal"/>
    <w:rsid w:val="005F6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1DF"/>
    <w:pPr>
      <w:spacing w:before="60" w:after="60"/>
    </w:pPr>
  </w:style>
  <w:style w:type="paragraph" w:styleId="ListContinue">
    <w:name w:val="List Continue"/>
    <w:basedOn w:val="List"/>
    <w:rsid w:val="005F61DF"/>
    <w:pPr>
      <w:ind w:firstLine="0"/>
    </w:pPr>
  </w:style>
  <w:style w:type="paragraph" w:customStyle="1" w:styleId="ListNote">
    <w:name w:val="List Note"/>
    <w:basedOn w:val="List"/>
    <w:rsid w:val="005F6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1DF"/>
    <w:rPr>
      <w:rFonts w:ascii="Courier New" w:hAnsi="Courier New"/>
    </w:rPr>
  </w:style>
  <w:style w:type="paragraph" w:customStyle="1" w:styleId="NoteBullet">
    <w:name w:val="Note Bullet"/>
    <w:basedOn w:val="Note"/>
    <w:rsid w:val="005F6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1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1DF"/>
    <w:rPr>
      <w:b/>
      <w:smallCaps/>
    </w:rPr>
  </w:style>
  <w:style w:type="paragraph" w:customStyle="1" w:styleId="TableListNumber">
    <w:name w:val="Table List Number"/>
    <w:basedOn w:val="ListNumber"/>
    <w:rsid w:val="005F6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1DF"/>
    <w:pPr>
      <w:numPr>
        <w:numId w:val="8"/>
      </w:numPr>
    </w:pPr>
  </w:style>
  <w:style w:type="paragraph" w:customStyle="1" w:styleId="ListAlpha2">
    <w:name w:val="List Alpha 2"/>
    <w:basedOn w:val="List2"/>
    <w:rsid w:val="005F61DF"/>
    <w:pPr>
      <w:numPr>
        <w:numId w:val="7"/>
      </w:numPr>
    </w:pPr>
  </w:style>
  <w:style w:type="paragraph" w:styleId="List2">
    <w:name w:val="List 2"/>
    <w:basedOn w:val="BodyText"/>
    <w:rsid w:val="005F6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1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1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61DF"/>
    <w:pPr>
      <w:numPr>
        <w:numId w:val="3"/>
      </w:numPr>
    </w:pPr>
  </w:style>
  <w:style w:type="paragraph" w:styleId="ListContinue2">
    <w:name w:val="List Continue 2"/>
    <w:basedOn w:val="List2"/>
    <w:rsid w:val="005F61DF"/>
    <w:pPr>
      <w:ind w:firstLine="0"/>
    </w:pPr>
  </w:style>
  <w:style w:type="paragraph" w:styleId="ListContinue3">
    <w:name w:val="List Continue 3"/>
    <w:basedOn w:val="List3"/>
    <w:rsid w:val="005F61DF"/>
    <w:pPr>
      <w:ind w:left="1021" w:firstLine="0"/>
    </w:pPr>
  </w:style>
  <w:style w:type="paragraph" w:styleId="ListContinue4">
    <w:name w:val="List Continue 4"/>
    <w:basedOn w:val="List4"/>
    <w:rsid w:val="005F61DF"/>
    <w:pPr>
      <w:ind w:firstLine="0"/>
    </w:pPr>
  </w:style>
  <w:style w:type="paragraph" w:styleId="ListContinue5">
    <w:name w:val="List Continue 5"/>
    <w:basedOn w:val="List5"/>
    <w:rsid w:val="005F61DF"/>
    <w:pPr>
      <w:ind w:firstLine="0"/>
    </w:pPr>
  </w:style>
  <w:style w:type="paragraph" w:styleId="ListNumber3">
    <w:name w:val="List Number 3"/>
    <w:basedOn w:val="List3"/>
    <w:rsid w:val="005F61DF"/>
    <w:pPr>
      <w:numPr>
        <w:numId w:val="4"/>
      </w:numPr>
    </w:pPr>
  </w:style>
  <w:style w:type="paragraph" w:styleId="ListNumber4">
    <w:name w:val="List Number 4"/>
    <w:basedOn w:val="List4"/>
    <w:rsid w:val="005F61DF"/>
    <w:pPr>
      <w:numPr>
        <w:numId w:val="5"/>
      </w:numPr>
    </w:pPr>
  </w:style>
  <w:style w:type="paragraph" w:styleId="ListNumber5">
    <w:name w:val="List Number 5"/>
    <w:basedOn w:val="List5"/>
    <w:rsid w:val="005F61DF"/>
    <w:pPr>
      <w:numPr>
        <w:numId w:val="6"/>
      </w:numPr>
    </w:pPr>
  </w:style>
  <w:style w:type="paragraph" w:styleId="BlockText">
    <w:name w:val="Block Text"/>
    <w:basedOn w:val="Normal"/>
    <w:rsid w:val="005F6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1DF"/>
    <w:rPr>
      <w:sz w:val="16"/>
      <w:vertAlign w:val="superscript"/>
    </w:rPr>
  </w:style>
  <w:style w:type="character" w:customStyle="1" w:styleId="Symbols">
    <w:name w:val="Symbols"/>
    <w:basedOn w:val="DefaultParagraphFont"/>
    <w:rsid w:val="005F61DF"/>
    <w:rPr>
      <w:rFonts w:ascii="Symbol" w:hAnsi="Symbol"/>
    </w:rPr>
  </w:style>
  <w:style w:type="character" w:customStyle="1" w:styleId="MenuOptions">
    <w:name w:val="Menu Options"/>
    <w:basedOn w:val="DefaultParagraphFont"/>
    <w:rsid w:val="005F6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1DF"/>
    <w:rPr>
      <w:b/>
    </w:rPr>
  </w:style>
  <w:style w:type="character" w:customStyle="1" w:styleId="Underlined">
    <w:name w:val="Underlined"/>
    <w:basedOn w:val="DefaultParagraphFont"/>
    <w:rsid w:val="005F61DF"/>
    <w:rPr>
      <w:u w:val="single"/>
    </w:rPr>
  </w:style>
  <w:style w:type="paragraph" w:customStyle="1" w:styleId="TableBodyTextRight">
    <w:name w:val="Table Body Text Right"/>
    <w:basedOn w:val="TableBodyText"/>
    <w:rsid w:val="005F6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1DF"/>
    <w:rPr>
      <w:sz w:val="18"/>
    </w:rPr>
  </w:style>
  <w:style w:type="paragraph" w:customStyle="1" w:styleId="BodySmallRight">
    <w:name w:val="Body Small Right"/>
    <w:basedOn w:val="BodyTextRight"/>
    <w:rsid w:val="005F61DF"/>
    <w:rPr>
      <w:sz w:val="18"/>
      <w:szCs w:val="18"/>
    </w:rPr>
  </w:style>
  <w:style w:type="paragraph" w:customStyle="1" w:styleId="MarginEdition">
    <w:name w:val="Margin Edition"/>
    <w:basedOn w:val="MarginNote"/>
    <w:rsid w:val="005F6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1DF"/>
    <w:rPr>
      <w:sz w:val="2"/>
      <w:szCs w:val="2"/>
    </w:rPr>
  </w:style>
  <w:style w:type="character" w:customStyle="1" w:styleId="Small">
    <w:name w:val="Small"/>
    <w:basedOn w:val="DefaultParagraphFont"/>
    <w:rsid w:val="005F61DF"/>
    <w:rPr>
      <w:sz w:val="16"/>
    </w:rPr>
  </w:style>
  <w:style w:type="paragraph" w:customStyle="1" w:styleId="WideTable">
    <w:name w:val="Wide Table"/>
    <w:basedOn w:val="Normal"/>
    <w:rsid w:val="005F6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1DF"/>
  </w:style>
  <w:style w:type="paragraph" w:styleId="Quote">
    <w:name w:val="Quote"/>
    <w:basedOn w:val="Heading1"/>
    <w:link w:val="QuoteChar"/>
    <w:qFormat/>
    <w:rsid w:val="005F6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1DF"/>
    <w:pPr>
      <w:pageBreakBefore/>
    </w:pPr>
  </w:style>
  <w:style w:type="paragraph" w:customStyle="1" w:styleId="Border">
    <w:name w:val="Border"/>
    <w:basedOn w:val="Normal"/>
    <w:qFormat/>
    <w:rsid w:val="005F6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1DF"/>
    <w:rPr>
      <w:u w:val="single"/>
    </w:rPr>
  </w:style>
  <w:style w:type="character" w:customStyle="1" w:styleId="BoldandItalics">
    <w:name w:val="Bold and Italics"/>
    <w:qFormat/>
    <w:rsid w:val="005F61DF"/>
    <w:rPr>
      <w:b/>
      <w:i/>
      <w:u w:val="none"/>
    </w:rPr>
  </w:style>
  <w:style w:type="paragraph" w:styleId="BalloonText">
    <w:name w:val="Balloon Text"/>
    <w:basedOn w:val="Normal"/>
    <w:link w:val="BalloonTextChar"/>
    <w:rsid w:val="005F6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1DF"/>
    <w:pPr>
      <w:spacing w:before="0" w:after="0"/>
    </w:pPr>
  </w:style>
  <w:style w:type="paragraph" w:customStyle="1" w:styleId="BodyTextBold">
    <w:name w:val="Body Text Bold"/>
    <w:basedOn w:val="BodyText"/>
    <w:qFormat/>
    <w:rsid w:val="005F61DF"/>
    <w:rPr>
      <w:b/>
    </w:rPr>
  </w:style>
  <w:style w:type="character" w:styleId="Hyperlink">
    <w:name w:val="Hyperlink"/>
    <w:basedOn w:val="DefaultParagraphFont"/>
    <w:uiPriority w:val="99"/>
    <w:unhideWhenUsed/>
    <w:rsid w:val="00367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5386</Characters>
  <Application>Microsoft Office Word</Application>
  <DocSecurity>0</DocSecurity>
  <Lines>269</Lines>
  <Paragraphs>160</Paragraphs>
  <ScaleCrop>false</ScaleCrop>
  <Company>Author-it Software Corporation Ltd.</Company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PMAOPS601 Debottleneck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2022-09-21T04:55:00Z</dcterms:created>
  <dcterms:modified xsi:type="dcterms:W3CDTF">2022-09-21T04:55:00Z</dcterms:modified>
</cp:coreProperties>
</file>