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41A" w:rsidP="00EB6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PMAOPS600 Modify plant</w:t>
      </w:r>
      <w:r>
        <w:fldChar w:fldCharType="end"/>
      </w:r>
    </w:p>
    <w:p w:rsidR="00EB641A" w:rsidP="00EB641A">
      <w:pPr>
        <w:pStyle w:val="Version"/>
        <w:sectPr w:rsidSect="00A66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A95" w:rsidP="00A66A95">
      <w:pPr>
        <w:pStyle w:val="SuperHeading"/>
      </w:pPr>
      <w:r w:rsidRPr="00A66A95">
        <w:t>PMAOPS600 Modify plant</w:t>
      </w:r>
    </w:p>
    <w:p w:rsidR="00000000" w:rsidRPr="00A66A95" w:rsidP="00A66A95">
      <w:pPr>
        <w:pStyle w:val="Heading1"/>
      </w:pPr>
      <w:bookmarkStart w:id="1" w:name="O_908582"/>
      <w:bookmarkEnd w:id="1"/>
      <w:r w:rsidRPr="00A66A95">
        <w:t>Modification History</w:t>
      </w:r>
    </w:p>
    <w:p w:rsidR="00000000" w:rsidRPr="00A66A95" w:rsidP="00EB641A">
      <w:pPr>
        <w:pStyle w:val="BodyText"/>
      </w:pPr>
      <w:r w:rsidRPr="00A66A95">
        <w:t>Release 1. Supersedes and is equivalent to PMAOPS600C Modify plant</w:t>
      </w:r>
    </w:p>
    <w:p w:rsidR="00000000" w:rsidRPr="00A66A95" w:rsidP="00A66A95">
      <w:pPr>
        <w:pStyle w:val="Heading1"/>
      </w:pPr>
      <w:bookmarkStart w:id="2" w:name="O_908590"/>
      <w:bookmarkEnd w:id="2"/>
      <w:r w:rsidRPr="00A66A95">
        <w:t>Application</w:t>
      </w:r>
    </w:p>
    <w:p w:rsidR="00000000" w:rsidRPr="00A66A95" w:rsidP="00EB641A">
      <w:pPr>
        <w:pStyle w:val="BodyText"/>
      </w:pPr>
      <w:r w:rsidRPr="00A66A95">
        <w:t xml:space="preserve">This unit of competency covers the skills and knowledge required to modify plant hardware. </w:t>
      </w:r>
    </w:p>
    <w:p w:rsidR="00000000" w:rsidRPr="00A66A95" w:rsidP="00EB641A">
      <w:pPr>
        <w:pStyle w:val="BodyText"/>
      </w:pPr>
      <w:r w:rsidRPr="00A66A95">
        <w:t>This unit of competency applies to senior technicians or those in s</w:t>
      </w:r>
      <w:r w:rsidRPr="00A66A95">
        <w:t>imilar roles who are required to apply in-depth technical knowledge of process and plant operation in order to determine operational and technical requirements, develop technical specifications, evaluate options against specifications, select the most appr</w:t>
      </w:r>
      <w:r w:rsidRPr="00A66A95">
        <w:t>opriate option, and coordinate and supervise the installation and commissioning of the modified equipment.</w:t>
      </w:r>
    </w:p>
    <w:p w:rsidR="00000000" w:rsidRPr="00A66A95" w:rsidP="00EB641A">
      <w:pPr>
        <w:pStyle w:val="BodyText"/>
      </w:pPr>
      <w:r w:rsidRPr="00A66A95">
        <w:t xml:space="preserve">This unit does not apply to: </w:t>
      </w:r>
    </w:p>
    <w:p w:rsidR="00000000" w:rsidRPr="00A66A95" w:rsidP="00A66A95">
      <w:pPr>
        <w:pStyle w:val="ListBullet"/>
      </w:pPr>
      <w:r w:rsidRPr="00A66A95">
        <w:t>identification of the need for modification; the need for the modification may arise from a continuous improvement pr</w:t>
      </w:r>
      <w:r w:rsidRPr="00A66A95">
        <w:t>oject, as a result of an analysis of plant performance or from any other source</w:t>
      </w:r>
    </w:p>
    <w:p w:rsidR="00000000" w:rsidRPr="00A66A95" w:rsidP="00A66A95">
      <w:pPr>
        <w:pStyle w:val="ListBullet"/>
      </w:pPr>
      <w:r w:rsidRPr="00A66A95">
        <w:t xml:space="preserve">design of equipment; this would typically be an engineering role </w:t>
      </w:r>
    </w:p>
    <w:p w:rsidR="00000000" w:rsidRPr="00A66A95" w:rsidP="00A66A95">
      <w:pPr>
        <w:pStyle w:val="ListBullet"/>
      </w:pPr>
      <w:r w:rsidRPr="00A66A95">
        <w:t>work requiring special certification (e.g. registered structural engineer)</w:t>
      </w:r>
    </w:p>
    <w:p w:rsidR="00000000" w:rsidRPr="00A66A95" w:rsidP="00A66A95">
      <w:pPr>
        <w:pStyle w:val="BodyText"/>
      </w:pPr>
    </w:p>
    <w:p w:rsidR="00000000" w:rsidRPr="00A66A95" w:rsidP="00EB641A">
      <w:pPr>
        <w:pStyle w:val="BodyText"/>
      </w:pPr>
      <w:r w:rsidRPr="00A66A95">
        <w:t>No licensing, legislative or certi</w:t>
      </w:r>
      <w:r w:rsidRPr="00A66A95">
        <w:t>fication requirements apply to this unit at the time of publication.</w:t>
      </w:r>
    </w:p>
    <w:p w:rsidR="00000000" w:rsidRPr="00A66A95" w:rsidP="00A66A95">
      <w:pPr>
        <w:pStyle w:val="Heading1"/>
      </w:pPr>
      <w:bookmarkStart w:id="3" w:name="O_908589"/>
      <w:bookmarkEnd w:id="3"/>
      <w:r w:rsidRPr="00A66A95">
        <w:t>Pre-requisite Unit</w:t>
      </w:r>
    </w:p>
    <w:p w:rsidR="00000000" w:rsidRPr="00A66A95" w:rsidP="00EB641A">
      <w:pPr>
        <w:pStyle w:val="BodyText"/>
      </w:pPr>
      <w:r w:rsidRPr="00A66A95">
        <w:t>Nil</w:t>
      </w:r>
    </w:p>
    <w:p w:rsidR="00000000" w:rsidRPr="00A66A95" w:rsidP="00A66A95">
      <w:pPr>
        <w:pStyle w:val="Heading1"/>
      </w:pPr>
      <w:bookmarkStart w:id="4" w:name="O_908588"/>
      <w:bookmarkEnd w:id="4"/>
      <w:r w:rsidRPr="00A66A95">
        <w:t>Competency Field</w:t>
      </w:r>
    </w:p>
    <w:p w:rsidR="00000000" w:rsidRPr="00A66A95" w:rsidP="00EB641A">
      <w:pPr>
        <w:pStyle w:val="BodyText"/>
      </w:pPr>
      <w:r w:rsidRPr="00A66A95">
        <w:t>Operations</w:t>
      </w:r>
    </w:p>
    <w:p w:rsidR="00000000" w:rsidRPr="00A66A95" w:rsidP="00A66A95">
      <w:pPr>
        <w:pStyle w:val="Heading1"/>
      </w:pPr>
      <w:bookmarkStart w:id="5" w:name="O_908587"/>
      <w:bookmarkEnd w:id="5"/>
      <w:r w:rsidRPr="00A66A95">
        <w:t>Unit Sector</w:t>
      </w:r>
    </w:p>
    <w:p w:rsidR="00000000" w:rsidRPr="00A66A95" w:rsidP="00A66A95">
      <w:pPr>
        <w:pStyle w:val="Heading1"/>
      </w:pPr>
      <w:bookmarkStart w:id="6" w:name="O_908586"/>
      <w:bookmarkEnd w:id="6"/>
      <w:r w:rsidRPr="00A66A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Performance criteria describe the performance needed to demonstrate achievement of the element.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Confirm required outcomes from modification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Communicate with relevant technical, operational and other key pe</w:t>
            </w:r>
            <w:r w:rsidRPr="00A66A95">
              <w:t>rsonnel to determine operational and technical requirements of the plant modification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Determine regulatory/industry code requirements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Obtain relevant drawings of existing plant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Develop modification brief, including relevant plant schematic sketch, to meet needs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Establish required performance measures to indicate success of project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Obtain sign-off on modification brief from all relevant persons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Short list possible modifications to meet 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Investigate the range of available equipment/plant units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Determine relative advantages and disadvantages between of each class of equipment/type of modification which may provide a solution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Compile a shortlist of modification types/equipment classes which will best meet the modification brief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Discuss shortlist alternatives with relevant stakeholders and obtain sign-off for the chosen approach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Select technically best equipment/unit/modification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Complete technical specification for required modification incorporating feedback received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 xml:space="preserve">Compare specification with that of </w:t>
            </w:r>
            <w:r>
              <w:t>‘</w:t>
            </w:r>
            <w:r w:rsidRPr="00A66A95">
              <w:t>off the shelf</w:t>
            </w:r>
            <w:r>
              <w:t>’</w:t>
            </w:r>
            <w:r w:rsidRPr="00A66A95">
              <w:t xml:space="preserve"> equipment, where appropriate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Arrange for equipment suppliers to tender to the specification, where necessary, following company procedures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Rank competing items by their compliance with the technical specification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 xml:space="preserve">Compare hazard profile of possible </w:t>
            </w:r>
            <w:r w:rsidRPr="00A66A95">
              <w:rPr>
                <w:rStyle w:val="SpecialBold"/>
              </w:rPr>
              <w:t>modifications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 xml:space="preserve">Organise a hazard analysis (e.g. hazard and operability study (HAZOP)) for the modification according to </w:t>
            </w:r>
            <w:r w:rsidRPr="00A66A95">
              <w:t>company procedures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Ensure that all stakeholders are represented on the hazard analysis team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Brief the hazard analysis team on the modific</w:t>
            </w:r>
            <w:r w:rsidRPr="00A66A95">
              <w:t>ation and the alternatives under evaluation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Eliminate alternatives which do not meet hazard requirements.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Rank remaining competing items by safety performance.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Make final choice of solution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Evaluate competing items by their economic performance (e.g. life, maintenance and running costs) and rank by total lifetime cost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Seek further information where necessary to allow a rational selection to be made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Choose the modification which meets all required minimum standards (regulatory, enterprise, output and economic) and will provide the best solution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Verify choice in discussion with production and engineering managers and other key stakeholders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Arrange for order to be placed, following company procedures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Check and commission modification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Undertake pre-commissioning activities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Complete safety acceptance documentation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Identify, record and report problems or non-conformances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Conduct trials/test runs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Record and report performance data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Bring the plant/plant systems/pipeline on line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Complete modification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Evaluate performance of modification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Make adjustments as required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Accept (or otherwise) the equipment/unit (and ensure payment flows)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Ensure plant procedures and training material updated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Ensure plant drawings and engineering specifications are updated</w:t>
            </w:r>
          </w:p>
        </w:tc>
      </w:tr>
      <w:tr w:rsidTr="00A66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7.6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Complete all other required paperwork</w:t>
            </w:r>
          </w:p>
        </w:tc>
      </w:tr>
    </w:tbl>
    <w:p w:rsidR="00000000" w:rsidRPr="00A66A95" w:rsidP="00A66A95">
      <w:pPr>
        <w:pStyle w:val="BodyText"/>
      </w:pPr>
    </w:p>
    <w:p w:rsidR="00000000" w:rsidRPr="00A66A95" w:rsidP="00A66A95">
      <w:pPr>
        <w:pStyle w:val="AllowPageBreak"/>
      </w:pPr>
    </w:p>
    <w:p w:rsidR="00000000" w:rsidRPr="00A66A95" w:rsidP="00A66A95">
      <w:pPr>
        <w:pStyle w:val="Heading1"/>
      </w:pPr>
      <w:bookmarkStart w:id="7" w:name="O_908585"/>
      <w:bookmarkEnd w:id="7"/>
      <w:r w:rsidRPr="00A66A95">
        <w:t>Foundation Skills</w:t>
      </w:r>
    </w:p>
    <w:p w:rsidR="00000000" w:rsidRPr="00A66A95" w:rsidP="00EB641A">
      <w:pPr>
        <w:pStyle w:val="BodyText"/>
      </w:pPr>
      <w:r w:rsidRPr="00A66A95">
        <w:t>This section describes those language, literacy, numeracy and employment skills that are essential to performance.</w:t>
      </w:r>
    </w:p>
    <w:p w:rsidR="00000000" w:rsidRPr="00A66A95" w:rsidP="00EB641A">
      <w:pPr>
        <w:pStyle w:val="BodyText"/>
      </w:pPr>
      <w:r w:rsidRPr="00A66A95">
        <w:t>Foundation skills essential to performance are explicit in the pe</w:t>
      </w:r>
      <w:r w:rsidRPr="00A66A95">
        <w:t>rformance criteria of this unit of competency.</w:t>
      </w:r>
    </w:p>
    <w:p w:rsidR="00000000" w:rsidRPr="00A66A95" w:rsidP="00A66A95">
      <w:pPr>
        <w:pStyle w:val="Heading1"/>
      </w:pPr>
      <w:bookmarkStart w:id="8" w:name="O_908584"/>
      <w:bookmarkEnd w:id="8"/>
      <w:r w:rsidRPr="00A66A9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30"/>
        <w:gridCol w:w="6166"/>
      </w:tblGrid>
      <w:tr w:rsidTr="00EB6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t>This field allows for different work environments and conditions that may affect performance. Essential operating conditions that may be present (depending on the work situ</w:t>
            </w:r>
            <w:r w:rsidRPr="00A66A95">
              <w:t>ation, needs of the candidate, accessibility of the item, and local industry and regional contexts) are included.</w:t>
            </w:r>
          </w:p>
        </w:tc>
      </w:tr>
      <w:tr w:rsidTr="00EB6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A66A95" w:rsidP="00A66A95">
            <w:pPr>
              <w:pStyle w:val="ListBullet"/>
            </w:pPr>
            <w:r w:rsidRPr="00A66A95">
              <w:t>legislative requirem</w:t>
            </w:r>
            <w:r w:rsidRPr="00A66A95">
              <w:t>ents, including work health and safety (WHS)</w:t>
            </w:r>
          </w:p>
          <w:p w:rsidR="00000000" w:rsidRPr="00A66A95" w:rsidP="00A66A95">
            <w:pPr>
              <w:pStyle w:val="ListBullet"/>
            </w:pPr>
            <w:r w:rsidRPr="00A66A95">
              <w:t>industry codes of practice and guidelines</w:t>
            </w:r>
          </w:p>
          <w:p w:rsidR="00000000" w:rsidRPr="00A66A95" w:rsidP="00A66A95">
            <w:pPr>
              <w:pStyle w:val="ListBullet"/>
            </w:pPr>
            <w:r w:rsidRPr="00A66A95">
              <w:t xml:space="preserve">environmental regulations and guidelines </w:t>
            </w:r>
          </w:p>
          <w:p w:rsidR="00000000" w:rsidRPr="00A66A95" w:rsidP="00A66A95">
            <w:pPr>
              <w:pStyle w:val="ListBullet"/>
            </w:pPr>
            <w:r w:rsidRPr="00A66A95">
              <w:t>Australian and other standards</w:t>
            </w:r>
          </w:p>
          <w:p w:rsidR="00000000" w:rsidRPr="00A66A95" w:rsidP="00A66A95">
            <w:pPr>
              <w:pStyle w:val="ListBullet"/>
            </w:pPr>
            <w:r w:rsidRPr="00A66A95">
              <w:t xml:space="preserve">licence and certification requirements </w:t>
            </w:r>
          </w:p>
          <w:p w:rsidR="00000000" w:rsidRPr="00A66A95" w:rsidP="00A66A95">
            <w:pPr>
              <w:pStyle w:val="BodyText"/>
            </w:pPr>
          </w:p>
          <w:p w:rsidR="00000000" w:rsidRPr="00A66A95" w:rsidP="00A66A95">
            <w:pPr>
              <w:pStyle w:val="BodyText"/>
            </w:pPr>
            <w:r w:rsidRPr="00A66A95">
              <w:t>All operations to which this unit applies are subject t</w:t>
            </w:r>
            <w:r w:rsidRPr="00A66A95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A66A95">
              <w:t>irements, the HSE requirements take precedence</w:t>
            </w:r>
          </w:p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EB6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Hazards include one or more of the following:</w:t>
            </w:r>
          </w:p>
          <w:p w:rsidR="00000000" w:rsidRPr="00A66A95" w:rsidP="00A66A95">
            <w:pPr>
              <w:pStyle w:val="ListBullet"/>
            </w:pPr>
            <w:r w:rsidRPr="00A66A95">
              <w:t>electricity</w:t>
            </w:r>
          </w:p>
          <w:p w:rsidR="00000000" w:rsidRPr="00A66A95" w:rsidP="00A66A95">
            <w:pPr>
              <w:pStyle w:val="ListBullet"/>
            </w:pPr>
            <w:r w:rsidRPr="00A66A95">
              <w:t>flow/pressure</w:t>
            </w:r>
          </w:p>
          <w:p w:rsidR="00000000" w:rsidRPr="00A66A95" w:rsidP="00A66A95">
            <w:pPr>
              <w:pStyle w:val="ListBullet"/>
            </w:pPr>
            <w:r w:rsidRPr="00A66A95">
              <w:t>gas</w:t>
            </w:r>
          </w:p>
          <w:p w:rsidR="00000000" w:rsidRPr="00A66A95" w:rsidP="00A66A95">
            <w:pPr>
              <w:pStyle w:val="ListBullet"/>
            </w:pPr>
            <w:r w:rsidRPr="00A66A95">
              <w:t>equipment failures</w:t>
            </w:r>
          </w:p>
          <w:p w:rsidR="00000000" w:rsidRPr="00A66A95" w:rsidP="00A66A95">
            <w:pPr>
              <w:pStyle w:val="ListBullet"/>
            </w:pPr>
            <w:r w:rsidRPr="00A66A95">
              <w:t>noise, rotational equipment or vibration</w:t>
            </w:r>
          </w:p>
          <w:p w:rsidR="00000000" w:rsidRPr="00A66A95" w:rsidP="00A66A95">
            <w:pPr>
              <w:pStyle w:val="ListBullet"/>
            </w:pPr>
            <w:r w:rsidRPr="00A66A95">
              <w:t>plant services (steam, condensate and cooling water)</w:t>
            </w:r>
          </w:p>
          <w:p w:rsidR="00000000" w:rsidRPr="00A66A95" w:rsidP="00A66A95">
            <w:pPr>
              <w:pStyle w:val="ListBullet"/>
            </w:pPr>
            <w:r w:rsidRPr="00A66A95">
              <w:t>flammability and explosivity</w:t>
            </w:r>
          </w:p>
          <w:p w:rsidR="00000000" w:rsidRPr="00A66A95" w:rsidP="00A66A95">
            <w:pPr>
              <w:pStyle w:val="ListBullet"/>
            </w:pPr>
            <w:r w:rsidRPr="00A66A95">
              <w:t>hazardous products and materials</w:t>
            </w:r>
          </w:p>
          <w:p w:rsidR="00000000" w:rsidRPr="00A66A95" w:rsidP="00A66A95">
            <w:pPr>
              <w:pStyle w:val="ListBullet"/>
            </w:pPr>
            <w:r w:rsidRPr="00A66A95">
              <w:t>other hazards that might arise</w:t>
            </w:r>
          </w:p>
          <w:p w:rsidR="00000000" w:rsidP="00A66A95">
            <w:pPr>
              <w:pStyle w:val="BodyText"/>
              <w:rPr>
                <w:lang w:val="en-NZ"/>
              </w:rPr>
            </w:pPr>
          </w:p>
        </w:tc>
      </w:tr>
      <w:tr w:rsidTr="00EB6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A95">
            <w:pPr>
              <w:pStyle w:val="BodyText"/>
              <w:rPr>
                <w:lang w:val="en-NZ"/>
              </w:rPr>
            </w:pPr>
            <w:r w:rsidRPr="00A66A9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A95" w:rsidP="00A66A95">
            <w:pPr>
              <w:pStyle w:val="BodyText"/>
            </w:pPr>
            <w:r w:rsidRPr="00A66A95">
              <w:t>All operations must be performed in accordance with relevant procedures.</w:t>
            </w:r>
          </w:p>
          <w:p w:rsidR="00000000" w:rsidRPr="00A66A95" w:rsidP="00A66A95">
            <w:pPr>
              <w:pStyle w:val="BodyText"/>
            </w:pPr>
          </w:p>
          <w:p w:rsidR="00000000" w:rsidRPr="00A66A95" w:rsidP="00A66A95">
            <w:pPr>
              <w:pStyle w:val="BodyText"/>
            </w:pPr>
            <w:r w:rsidRPr="00A66A95">
              <w:t>Procedures are written, verbal, visual, computer-based or in some other form, include one or more of the following:</w:t>
            </w:r>
          </w:p>
          <w:p w:rsidR="00000000" w:rsidRPr="00A66A95" w:rsidP="00A66A95">
            <w:pPr>
              <w:pStyle w:val="ListBullet"/>
            </w:pPr>
            <w:r w:rsidRPr="00A66A95">
              <w:t>emergency procedures</w:t>
            </w:r>
          </w:p>
          <w:p w:rsidR="00000000" w:rsidRPr="00A66A95" w:rsidP="00A66A95">
            <w:pPr>
              <w:pStyle w:val="ListBullet"/>
            </w:pPr>
            <w:r w:rsidRPr="00A66A95">
              <w:t>work instructions</w:t>
            </w:r>
          </w:p>
          <w:p w:rsidR="00000000" w:rsidRPr="00A66A95" w:rsidP="00A66A95">
            <w:pPr>
              <w:pStyle w:val="ListBullet"/>
            </w:pPr>
            <w:r w:rsidRPr="00A66A95">
              <w:t>standard operating procedures (SOPs)</w:t>
            </w:r>
          </w:p>
          <w:p w:rsidR="00000000" w:rsidRPr="00A66A95" w:rsidP="00A66A95">
            <w:pPr>
              <w:pStyle w:val="ListBullet"/>
            </w:pPr>
            <w:r w:rsidRPr="00A66A95">
              <w:t>safe work method statements (SWMS)</w:t>
            </w:r>
          </w:p>
          <w:p w:rsidR="00000000" w:rsidRPr="00A66A95" w:rsidP="00A66A95">
            <w:pPr>
              <w:pStyle w:val="ListBullet"/>
            </w:pPr>
            <w:r w:rsidRPr="00A66A95">
              <w:t>formulas/recipes</w:t>
            </w:r>
          </w:p>
          <w:p w:rsidR="00000000" w:rsidRPr="00A66A95" w:rsidP="00A66A95">
            <w:pPr>
              <w:pStyle w:val="ListBullet"/>
            </w:pPr>
            <w:r w:rsidRPr="00A66A95">
              <w:t>batch sheet</w:t>
            </w:r>
            <w:r w:rsidRPr="00A66A95">
              <w:t>s</w:t>
            </w:r>
          </w:p>
          <w:p w:rsidR="00000000" w:rsidRPr="00A66A95" w:rsidP="00A66A95">
            <w:pPr>
              <w:pStyle w:val="ListBullet"/>
            </w:pPr>
            <w:r w:rsidRPr="00A66A95">
              <w:t>temporary instructions</w:t>
            </w:r>
          </w:p>
          <w:p w:rsidR="00000000" w:rsidRPr="00A66A95" w:rsidP="00A66A95">
            <w:pPr>
              <w:pStyle w:val="ListBullet"/>
            </w:pPr>
            <w:r w:rsidRPr="00A66A95">
              <w:t>any similar instructions provided for the smooth running of the plant</w:t>
            </w:r>
          </w:p>
        </w:tc>
      </w:tr>
    </w:tbl>
    <w:p w:rsidR="00000000" w:rsidRPr="00A66A95" w:rsidP="00A66A95">
      <w:pPr>
        <w:pStyle w:val="BodyText"/>
      </w:pPr>
    </w:p>
    <w:p w:rsidR="00000000" w:rsidRPr="00A66A95" w:rsidP="00A66A95">
      <w:pPr>
        <w:pStyle w:val="AllowPageBreak"/>
      </w:pPr>
    </w:p>
    <w:p w:rsidR="00000000" w:rsidRPr="00A66A95" w:rsidP="00A66A95">
      <w:pPr>
        <w:pStyle w:val="Heading1"/>
      </w:pPr>
      <w:bookmarkStart w:id="9" w:name="O_908583"/>
      <w:bookmarkEnd w:id="9"/>
      <w:r w:rsidRPr="00A66A95">
        <w:t>Unit Mapping Information</w:t>
      </w:r>
    </w:p>
    <w:p w:rsidR="00000000" w:rsidRPr="00A66A95" w:rsidP="00EB641A">
      <w:pPr>
        <w:pStyle w:val="BodyText"/>
      </w:pPr>
      <w:r w:rsidRPr="00A66A95">
        <w:t>Release 1. Supersedes and is equivalent to PMAOPS600C Modify plant</w:t>
      </w:r>
    </w:p>
    <w:p w:rsidR="00000000" w:rsidRPr="00A66A95" w:rsidP="00A66A95">
      <w:pPr>
        <w:pStyle w:val="Heading1"/>
      </w:pPr>
      <w:bookmarkStart w:id="10" w:name="O_908576"/>
      <w:bookmarkEnd w:id="10"/>
      <w:r w:rsidRPr="00A66A95">
        <w:t>Links</w:t>
      </w:r>
    </w:p>
    <w:p w:rsidR="00000000" w:rsidRPr="00A66A95" w:rsidP="00EB641A">
      <w:pPr>
        <w:pStyle w:val="BodyText"/>
      </w:pPr>
      <w:r w:rsidRPr="00A66A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611C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66A95" w:rsidP="00A66A95"/>
    <w:sectPr w:rsidSect="00A66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 w:rsidRPr="00EB641A" w:rsidP="00EB6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1A" w:rsidP="00A66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641A" w:rsidP="00A66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641A" w:rsidP="00A66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A95" w:rsidRPr="00EB641A" w:rsidP="00EB6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1A" w:rsidRPr="002D2AF8" w:rsidP="00A66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PMAOPS600 Modify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B641A" w:rsidP="00A66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6A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2C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A95"/>
  </w:style>
  <w:style w:type="character" w:customStyle="1" w:styleId="Heading1Char">
    <w:name w:val="Heading 1 Char"/>
    <w:basedOn w:val="DefaultParagraphFont"/>
    <w:link w:val="Heading1"/>
    <w:rsid w:val="00A66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A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A95"/>
    <w:rPr>
      <w:b/>
      <w:spacing w:val="0"/>
    </w:rPr>
  </w:style>
  <w:style w:type="paragraph" w:customStyle="1" w:styleId="SuperHeading">
    <w:name w:val="SuperHeading"/>
    <w:basedOn w:val="Normal"/>
    <w:rsid w:val="00A66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A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A95"/>
    <w:rPr>
      <w:i/>
    </w:rPr>
  </w:style>
  <w:style w:type="paragraph" w:styleId="Caption">
    <w:name w:val="caption"/>
    <w:basedOn w:val="BodyText"/>
    <w:next w:val="Normal"/>
    <w:qFormat/>
    <w:rsid w:val="00A66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A95"/>
  </w:style>
  <w:style w:type="paragraph" w:styleId="TableofFigures">
    <w:name w:val="table of figures"/>
    <w:basedOn w:val="Normal"/>
    <w:next w:val="Normal"/>
    <w:semiHidden/>
    <w:rsid w:val="00A66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A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A95"/>
    <w:rPr>
      <w:rFonts w:ascii="Wingdings" w:hAnsi="Wingdings"/>
    </w:rPr>
  </w:style>
  <w:style w:type="paragraph" w:customStyle="1" w:styleId="TableHeading">
    <w:name w:val="Table Heading"/>
    <w:basedOn w:val="HeadingBase"/>
    <w:rsid w:val="00A66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A95"/>
    <w:rPr>
      <w:color w:val="0033CC"/>
      <w:u w:val="none"/>
    </w:rPr>
  </w:style>
  <w:style w:type="paragraph" w:customStyle="1" w:styleId="BodyTextRight">
    <w:name w:val="Body Text Right"/>
    <w:basedOn w:val="BodyText"/>
    <w:rsid w:val="00A66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A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A95"/>
    <w:rPr>
      <w:sz w:val="32"/>
    </w:rPr>
  </w:style>
  <w:style w:type="paragraph" w:customStyle="1" w:styleId="HeadingProcedure">
    <w:name w:val="Heading Procedure"/>
    <w:basedOn w:val="HeadingBase"/>
    <w:next w:val="Normal"/>
    <w:rsid w:val="00A66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A95"/>
    <w:pPr>
      <w:spacing w:before="60" w:after="60"/>
    </w:pPr>
  </w:style>
  <w:style w:type="paragraph" w:styleId="ListContinue">
    <w:name w:val="List Continue"/>
    <w:basedOn w:val="List"/>
    <w:rsid w:val="00A66A95"/>
    <w:pPr>
      <w:ind w:firstLine="0"/>
    </w:pPr>
  </w:style>
  <w:style w:type="paragraph" w:customStyle="1" w:styleId="ListNote">
    <w:name w:val="List Note"/>
    <w:basedOn w:val="List"/>
    <w:rsid w:val="00A66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A95"/>
    <w:rPr>
      <w:rFonts w:ascii="Courier New" w:hAnsi="Courier New"/>
    </w:rPr>
  </w:style>
  <w:style w:type="paragraph" w:customStyle="1" w:styleId="NoteBullet">
    <w:name w:val="Note Bullet"/>
    <w:basedOn w:val="Note"/>
    <w:rsid w:val="00A66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A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A95"/>
    <w:rPr>
      <w:b/>
      <w:smallCaps/>
    </w:rPr>
  </w:style>
  <w:style w:type="paragraph" w:customStyle="1" w:styleId="TableListNumber">
    <w:name w:val="Table List Number"/>
    <w:basedOn w:val="ListNumber"/>
    <w:rsid w:val="00A66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A95"/>
    <w:pPr>
      <w:numPr>
        <w:numId w:val="8"/>
      </w:numPr>
    </w:pPr>
  </w:style>
  <w:style w:type="paragraph" w:customStyle="1" w:styleId="ListAlpha2">
    <w:name w:val="List Alpha 2"/>
    <w:basedOn w:val="List2"/>
    <w:rsid w:val="00A66A95"/>
    <w:pPr>
      <w:numPr>
        <w:numId w:val="7"/>
      </w:numPr>
    </w:pPr>
  </w:style>
  <w:style w:type="paragraph" w:styleId="List2">
    <w:name w:val="List 2"/>
    <w:basedOn w:val="BodyText"/>
    <w:rsid w:val="00A66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A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A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A95"/>
    <w:pPr>
      <w:numPr>
        <w:numId w:val="3"/>
      </w:numPr>
    </w:pPr>
  </w:style>
  <w:style w:type="paragraph" w:styleId="ListContinue2">
    <w:name w:val="List Continue 2"/>
    <w:basedOn w:val="List2"/>
    <w:rsid w:val="00A66A95"/>
    <w:pPr>
      <w:ind w:firstLine="0"/>
    </w:pPr>
  </w:style>
  <w:style w:type="paragraph" w:styleId="ListContinue3">
    <w:name w:val="List Continue 3"/>
    <w:basedOn w:val="List3"/>
    <w:rsid w:val="00A66A95"/>
    <w:pPr>
      <w:ind w:left="1021" w:firstLine="0"/>
    </w:pPr>
  </w:style>
  <w:style w:type="paragraph" w:styleId="ListContinue4">
    <w:name w:val="List Continue 4"/>
    <w:basedOn w:val="List4"/>
    <w:rsid w:val="00A66A95"/>
    <w:pPr>
      <w:ind w:firstLine="0"/>
    </w:pPr>
  </w:style>
  <w:style w:type="paragraph" w:styleId="ListContinue5">
    <w:name w:val="List Continue 5"/>
    <w:basedOn w:val="List5"/>
    <w:rsid w:val="00A66A95"/>
    <w:pPr>
      <w:ind w:firstLine="0"/>
    </w:pPr>
  </w:style>
  <w:style w:type="paragraph" w:styleId="ListNumber3">
    <w:name w:val="List Number 3"/>
    <w:basedOn w:val="List3"/>
    <w:rsid w:val="00A66A95"/>
    <w:pPr>
      <w:numPr>
        <w:numId w:val="4"/>
      </w:numPr>
    </w:pPr>
  </w:style>
  <w:style w:type="paragraph" w:styleId="ListNumber4">
    <w:name w:val="List Number 4"/>
    <w:basedOn w:val="List4"/>
    <w:rsid w:val="00A66A95"/>
    <w:pPr>
      <w:numPr>
        <w:numId w:val="5"/>
      </w:numPr>
    </w:pPr>
  </w:style>
  <w:style w:type="paragraph" w:styleId="ListNumber5">
    <w:name w:val="List Number 5"/>
    <w:basedOn w:val="List5"/>
    <w:rsid w:val="00A66A95"/>
    <w:pPr>
      <w:numPr>
        <w:numId w:val="6"/>
      </w:numPr>
    </w:pPr>
  </w:style>
  <w:style w:type="paragraph" w:styleId="BlockText">
    <w:name w:val="Block Text"/>
    <w:basedOn w:val="Normal"/>
    <w:rsid w:val="00A66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A95"/>
    <w:rPr>
      <w:sz w:val="16"/>
      <w:vertAlign w:val="superscript"/>
    </w:rPr>
  </w:style>
  <w:style w:type="character" w:customStyle="1" w:styleId="Symbols">
    <w:name w:val="Symbols"/>
    <w:basedOn w:val="DefaultParagraphFont"/>
    <w:rsid w:val="00A66A95"/>
    <w:rPr>
      <w:rFonts w:ascii="Symbol" w:hAnsi="Symbol"/>
    </w:rPr>
  </w:style>
  <w:style w:type="character" w:customStyle="1" w:styleId="MenuOptions">
    <w:name w:val="Menu Options"/>
    <w:basedOn w:val="DefaultParagraphFont"/>
    <w:rsid w:val="00A66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A95"/>
    <w:rPr>
      <w:b/>
    </w:rPr>
  </w:style>
  <w:style w:type="character" w:customStyle="1" w:styleId="Underlined">
    <w:name w:val="Underlined"/>
    <w:basedOn w:val="DefaultParagraphFont"/>
    <w:rsid w:val="00A66A95"/>
    <w:rPr>
      <w:u w:val="single"/>
    </w:rPr>
  </w:style>
  <w:style w:type="paragraph" w:customStyle="1" w:styleId="TableBodyTextRight">
    <w:name w:val="Table Body Text Right"/>
    <w:basedOn w:val="TableBodyText"/>
    <w:rsid w:val="00A66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A95"/>
    <w:rPr>
      <w:sz w:val="18"/>
    </w:rPr>
  </w:style>
  <w:style w:type="paragraph" w:customStyle="1" w:styleId="BodySmallRight">
    <w:name w:val="Body Small Right"/>
    <w:basedOn w:val="BodyTextRight"/>
    <w:rsid w:val="00A66A95"/>
    <w:rPr>
      <w:sz w:val="18"/>
      <w:szCs w:val="18"/>
    </w:rPr>
  </w:style>
  <w:style w:type="paragraph" w:customStyle="1" w:styleId="MarginEdition">
    <w:name w:val="Margin Edition"/>
    <w:basedOn w:val="MarginNote"/>
    <w:rsid w:val="00A66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A95"/>
    <w:rPr>
      <w:sz w:val="2"/>
      <w:szCs w:val="2"/>
    </w:rPr>
  </w:style>
  <w:style w:type="character" w:customStyle="1" w:styleId="Small">
    <w:name w:val="Small"/>
    <w:basedOn w:val="DefaultParagraphFont"/>
    <w:rsid w:val="00A66A95"/>
    <w:rPr>
      <w:sz w:val="16"/>
    </w:rPr>
  </w:style>
  <w:style w:type="paragraph" w:customStyle="1" w:styleId="WideTable">
    <w:name w:val="Wide Table"/>
    <w:basedOn w:val="Normal"/>
    <w:rsid w:val="00A66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A95"/>
  </w:style>
  <w:style w:type="paragraph" w:styleId="Quote">
    <w:name w:val="Quote"/>
    <w:basedOn w:val="Heading1"/>
    <w:link w:val="QuoteChar"/>
    <w:qFormat/>
    <w:rsid w:val="00A66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A95"/>
    <w:pPr>
      <w:pageBreakBefore/>
    </w:pPr>
  </w:style>
  <w:style w:type="paragraph" w:customStyle="1" w:styleId="Border">
    <w:name w:val="Border"/>
    <w:basedOn w:val="Normal"/>
    <w:qFormat/>
    <w:rsid w:val="00A66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A95"/>
    <w:rPr>
      <w:u w:val="single"/>
    </w:rPr>
  </w:style>
  <w:style w:type="character" w:customStyle="1" w:styleId="BoldandItalics">
    <w:name w:val="Bold and Italics"/>
    <w:qFormat/>
    <w:rsid w:val="00A66A95"/>
    <w:rPr>
      <w:b/>
      <w:i/>
      <w:u w:val="none"/>
    </w:rPr>
  </w:style>
  <w:style w:type="paragraph" w:styleId="BalloonText">
    <w:name w:val="Balloon Text"/>
    <w:basedOn w:val="Normal"/>
    <w:link w:val="BalloonTextChar"/>
    <w:rsid w:val="00A66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A95"/>
    <w:pPr>
      <w:spacing w:before="0" w:after="0"/>
    </w:pPr>
  </w:style>
  <w:style w:type="paragraph" w:customStyle="1" w:styleId="BodyTextBold">
    <w:name w:val="Body Text Bold"/>
    <w:basedOn w:val="BodyText"/>
    <w:qFormat/>
    <w:rsid w:val="00A66A95"/>
    <w:rPr>
      <w:b/>
    </w:rPr>
  </w:style>
  <w:style w:type="character" w:styleId="Hyperlink">
    <w:name w:val="Hyperlink"/>
    <w:basedOn w:val="DefaultParagraphFont"/>
    <w:uiPriority w:val="99"/>
    <w:unhideWhenUsed/>
    <w:rsid w:val="00EB6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6169</Characters>
  <Application>Microsoft Office Word</Application>
  <DocSecurity>0</DocSecurity>
  <Lines>324</Lines>
  <Paragraphs>174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PMAOPS600 Modify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