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6033" w:rsidP="003160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PMAOPS550 Develop a colour formulation</w:t>
      </w:r>
      <w:r>
        <w:fldChar w:fldCharType="end"/>
      </w:r>
    </w:p>
    <w:p w:rsidR="00316033" w:rsidP="00316033">
      <w:pPr>
        <w:pStyle w:val="Version"/>
        <w:sectPr w:rsidSect="003931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3169" w:rsidP="00393169">
      <w:pPr>
        <w:pStyle w:val="SuperHeading"/>
      </w:pPr>
      <w:r w:rsidRPr="00393169">
        <w:t>PMAOPS550 Develop a colour formulation</w:t>
      </w:r>
    </w:p>
    <w:p w:rsidR="00000000" w:rsidRPr="00393169" w:rsidP="00393169">
      <w:pPr>
        <w:pStyle w:val="Heading1"/>
      </w:pPr>
      <w:bookmarkStart w:id="1" w:name="O_908544"/>
      <w:bookmarkEnd w:id="1"/>
      <w:r w:rsidRPr="00393169">
        <w:t>Modification History</w:t>
      </w:r>
    </w:p>
    <w:p w:rsidR="00000000" w:rsidRPr="00393169" w:rsidP="00316033">
      <w:pPr>
        <w:pStyle w:val="BodyText"/>
      </w:pPr>
      <w:r w:rsidRPr="00393169">
        <w:t>Release 1. Supersedes and is equivalent to PMAOPS550B Develop a colour formulation</w:t>
      </w:r>
    </w:p>
    <w:p w:rsidR="00000000" w:rsidRPr="00393169" w:rsidP="00393169">
      <w:pPr>
        <w:pStyle w:val="Heading1"/>
      </w:pPr>
      <w:bookmarkStart w:id="2" w:name="O_908552"/>
      <w:bookmarkEnd w:id="2"/>
      <w:r w:rsidRPr="00393169">
        <w:t>Application</w:t>
      </w:r>
    </w:p>
    <w:p w:rsidR="00000000" w:rsidRPr="00393169" w:rsidP="00316033">
      <w:pPr>
        <w:pStyle w:val="BodyText"/>
      </w:pPr>
      <w:r w:rsidRPr="00393169">
        <w:t xml:space="preserve">This unit of competency covers the skills and knowledge required to develop a new colour formulation from scratch to match </w:t>
      </w:r>
      <w:r w:rsidRPr="00393169">
        <w:t>a provided colour sample or description of customer requirements. It applies to new colour formulations for existing and/or new products and the use of computer and visual colour matching. The formulation would normally use colourants already available wit</w:t>
      </w:r>
      <w:r w:rsidRPr="00393169">
        <w:t>hin the company (preferred colourants), but does not preclude the use of colourants which are novel/new to the company.</w:t>
      </w:r>
    </w:p>
    <w:p w:rsidR="00000000" w:rsidRPr="00393169" w:rsidP="00316033">
      <w:pPr>
        <w:pStyle w:val="BodyText"/>
      </w:pPr>
      <w:r w:rsidRPr="00393169">
        <w:t>This unit of competency applies to any industry sector requiring the development of a new colour formulation for its products. Examples</w:t>
      </w:r>
      <w:r w:rsidRPr="00393169">
        <w:t xml:space="preserve"> of products include:</w:t>
      </w:r>
    </w:p>
    <w:p w:rsidR="00000000" w:rsidRPr="00393169" w:rsidP="00393169">
      <w:pPr>
        <w:pStyle w:val="ListBullet"/>
      </w:pPr>
      <w:r w:rsidRPr="00393169">
        <w:t>paint</w:t>
      </w:r>
    </w:p>
    <w:p w:rsidR="00000000" w:rsidRPr="00393169" w:rsidP="00393169">
      <w:pPr>
        <w:pStyle w:val="ListBullet"/>
      </w:pPr>
      <w:r w:rsidRPr="00393169">
        <w:t>ink</w:t>
      </w:r>
    </w:p>
    <w:p w:rsidR="00000000" w:rsidRPr="00393169" w:rsidP="00393169">
      <w:pPr>
        <w:pStyle w:val="ListBullet"/>
      </w:pPr>
      <w:r w:rsidRPr="00393169">
        <w:t>plastics</w:t>
      </w:r>
    </w:p>
    <w:p w:rsidR="00000000" w:rsidRPr="00393169" w:rsidP="00393169">
      <w:pPr>
        <w:pStyle w:val="ListBullet"/>
      </w:pPr>
      <w:r w:rsidRPr="00393169">
        <w:t>rubber</w:t>
      </w:r>
    </w:p>
    <w:p w:rsidR="00000000" w:rsidRPr="00393169" w:rsidP="00393169">
      <w:pPr>
        <w:pStyle w:val="ListBullet"/>
      </w:pPr>
      <w:r w:rsidRPr="00393169">
        <w:t>concrete products</w:t>
      </w:r>
    </w:p>
    <w:p w:rsidR="00000000" w:rsidRPr="00393169" w:rsidP="00393169">
      <w:pPr>
        <w:pStyle w:val="ListBullet"/>
      </w:pPr>
      <w:r w:rsidRPr="00393169">
        <w:t>glass products</w:t>
      </w:r>
    </w:p>
    <w:p w:rsidR="00000000" w:rsidRPr="00393169" w:rsidP="00393169">
      <w:pPr>
        <w:pStyle w:val="ListBullet"/>
      </w:pPr>
      <w:r w:rsidRPr="00393169">
        <w:t>clay/ceramic products.</w:t>
      </w:r>
    </w:p>
    <w:p w:rsidR="00000000" w:rsidRPr="00393169" w:rsidP="00393169">
      <w:pPr>
        <w:pStyle w:val="BodyText"/>
      </w:pPr>
    </w:p>
    <w:p w:rsidR="00000000" w:rsidRPr="00393169" w:rsidP="00316033">
      <w:pPr>
        <w:pStyle w:val="BodyText"/>
      </w:pPr>
      <w:r w:rsidRPr="00393169">
        <w:t>This unit of competency applies to technologists or those in similar roles who are required to confirm design specifications, identify and resolve pot</w:t>
      </w:r>
      <w:r w:rsidRPr="00393169">
        <w:t>ential manufacturing problems, undertake and analyse production trials, and make modifications to achieve suitable formulation and production process.</w:t>
      </w:r>
    </w:p>
    <w:p w:rsidR="00000000" w:rsidRPr="00393169" w:rsidP="00316033">
      <w:pPr>
        <w:pStyle w:val="BodyText"/>
      </w:pPr>
      <w:r w:rsidRPr="00393169">
        <w:t>This unit of competency applies to an individual who is part of a team for the total development of a ne</w:t>
      </w:r>
      <w:r w:rsidRPr="00393169">
        <w:t>w product, but may develop the colour formulation for a new colour for an existing product independently. The technologist would liaise with relevant production and other personnel for production trials.</w:t>
      </w:r>
    </w:p>
    <w:p w:rsidR="00000000" w:rsidRPr="00393169" w:rsidP="00316033">
      <w:pPr>
        <w:pStyle w:val="BodyText"/>
      </w:pPr>
      <w:r w:rsidRPr="00393169">
        <w:t>No licensing, legislative or certification requirem</w:t>
      </w:r>
      <w:r w:rsidRPr="00393169">
        <w:t>ents apply to this unit at the time of publication.</w:t>
      </w:r>
    </w:p>
    <w:p w:rsidR="00000000" w:rsidRPr="00393169" w:rsidP="00393169">
      <w:pPr>
        <w:pStyle w:val="Heading1"/>
      </w:pPr>
      <w:bookmarkStart w:id="3" w:name="O_908551"/>
      <w:bookmarkEnd w:id="3"/>
      <w:r w:rsidRPr="00393169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3160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 xml:space="preserve">PMAOPS350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Match and adjust colour</w:t>
            </w:r>
          </w:p>
        </w:tc>
      </w:tr>
      <w:tr w:rsidTr="003160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 xml:space="preserve">PMAOPS450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169" w:rsidP="00393169">
            <w:pPr>
              <w:pStyle w:val="BodyText"/>
            </w:pPr>
            <w:r w:rsidRPr="00393169">
              <w:t>Solve colour problems</w:t>
            </w:r>
          </w:p>
        </w:tc>
      </w:tr>
    </w:tbl>
    <w:p w:rsidR="00000000" w:rsidRPr="00393169" w:rsidP="00393169">
      <w:pPr>
        <w:pStyle w:val="BodyText"/>
      </w:pPr>
    </w:p>
    <w:p w:rsidR="00000000" w:rsidRPr="00393169" w:rsidP="00393169">
      <w:pPr>
        <w:pStyle w:val="AllowPageBreak"/>
      </w:pPr>
    </w:p>
    <w:p w:rsidR="00000000" w:rsidRPr="00393169" w:rsidP="00393169">
      <w:pPr>
        <w:pStyle w:val="Heading1"/>
      </w:pPr>
      <w:bookmarkStart w:id="4" w:name="O_908550"/>
      <w:bookmarkEnd w:id="4"/>
      <w:r w:rsidRPr="00393169">
        <w:t>Competency Field</w:t>
      </w:r>
    </w:p>
    <w:p w:rsidR="00000000" w:rsidRPr="00393169" w:rsidP="00316033">
      <w:pPr>
        <w:pStyle w:val="BodyText"/>
      </w:pPr>
      <w:r w:rsidRPr="00393169">
        <w:t>Operations</w:t>
      </w:r>
    </w:p>
    <w:p w:rsidR="00000000" w:rsidRPr="00393169" w:rsidP="00393169">
      <w:pPr>
        <w:pStyle w:val="Heading1"/>
      </w:pPr>
      <w:bookmarkStart w:id="5" w:name="O_908549"/>
      <w:bookmarkEnd w:id="5"/>
      <w:r w:rsidRPr="00393169">
        <w:t>Unit Sector</w:t>
      </w:r>
    </w:p>
    <w:p w:rsidR="00000000" w:rsidRPr="00393169" w:rsidP="00393169">
      <w:pPr>
        <w:pStyle w:val="Heading1"/>
      </w:pPr>
      <w:bookmarkStart w:id="6" w:name="O_908548"/>
      <w:bookmarkEnd w:id="6"/>
      <w:r w:rsidRPr="0039316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Performance criteria describe the performance needed to demonstrate achievement of the element.</w:t>
            </w: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169" w:rsidP="00393169">
            <w:pPr>
              <w:pStyle w:val="BodyText"/>
            </w:pPr>
            <w:r w:rsidRPr="0039316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rPr>
                <w:rStyle w:val="SpecialBold"/>
              </w:rPr>
              <w:t>Confirm design brief of new colour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Communicate with customer and other key stakeholders and agree on design specifications</w:t>
            </w: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Determine end use of product (e.g. interior, exterior, automotive, industrial or decorative)</w:t>
            </w: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Develop and validate design brief to meet needs</w:t>
            </w: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169" w:rsidP="00393169">
            <w:pPr>
              <w:pStyle w:val="BodyText"/>
            </w:pPr>
            <w:r w:rsidRPr="0039316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rPr>
                <w:rStyle w:val="SpecialBold"/>
              </w:rPr>
              <w:t>Determine initial colour formulation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Analyse colour sample (where provided) using colour computer and/or eye and predict possible colour formulation</w:t>
            </w: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Compare predicted formulation with company/customer preferred colourants</w:t>
            </w: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Adjust predicted formulation to use preferred colourants</w:t>
            </w: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Check that the adjusted formulation complies with design brief</w:t>
            </w: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169" w:rsidP="00393169">
            <w:pPr>
              <w:pStyle w:val="BodyText"/>
            </w:pPr>
            <w:r w:rsidRPr="0039316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rPr>
                <w:rStyle w:val="SpecialBold"/>
              </w:rPr>
              <w:t>Conduct small scale trials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Make/arrange for small batch to adjusted formulation</w:t>
            </w: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Undertake trials to determine optimum processing conditions, where relevant</w:t>
            </w: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Analyse colour of sample product, compare to design brief and determine variation to desired colour</w:t>
            </w: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 xml:space="preserve">Modify formulation and processing, </w:t>
            </w:r>
            <w:r w:rsidRPr="00393169">
              <w:t>where relevant, to have simplicity of manufacture and to meet brief</w:t>
            </w: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169" w:rsidP="00393169">
            <w:pPr>
              <w:pStyle w:val="BodyText"/>
            </w:pPr>
            <w:r w:rsidRPr="0039316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rPr>
                <w:rStyle w:val="SpecialBold"/>
              </w:rPr>
              <w:t>Assess hazards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Identify hazards arising from colour formulation and processing</w:t>
            </w: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Assess risks arising from those hazards</w:t>
            </w: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Determine action to control risks in accordance with hierarchy of control and duty of care</w:t>
            </w: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Take required action before proceeding to trial</w:t>
            </w: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169" w:rsidP="00393169">
            <w:pPr>
              <w:pStyle w:val="BodyText"/>
            </w:pPr>
            <w:r w:rsidRPr="00393169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rPr>
                <w:rStyle w:val="SpecialBold"/>
              </w:rPr>
              <w:t>Trial new colour formulation through the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Design trial to procedure to deliver required information</w:t>
            </w: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Ensure work health and safety (WHS) and environmental requirements are stringently observed</w:t>
            </w: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Coordinate the trialling of the new product</w:t>
            </w: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Interpret colour trial results, determine variation to desired colour and guide colour trial process</w:t>
            </w: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Adjust formulation, and if appropriate tune process, to optimise production of new colour</w:t>
            </w: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169" w:rsidP="00393169">
            <w:pPr>
              <w:pStyle w:val="BodyText"/>
            </w:pPr>
            <w:r w:rsidRPr="00393169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rPr>
                <w:rStyle w:val="SpecialBold"/>
              </w:rPr>
              <w:t>Coordinate evaluation and testing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Determine colour testing and evaluation regime required to meet end use requirements, including regulatory/industry code requirements</w:t>
            </w: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Arrange for testing and evaluation of trial colour</w:t>
            </w: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Interpret colour trial results and determine variation to desired colour</w:t>
            </w: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Modify formulation and conduct new trials as required</w:t>
            </w: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Determine final formulation and processing specifications</w:t>
            </w: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169" w:rsidP="00393169">
            <w:pPr>
              <w:pStyle w:val="BodyText"/>
            </w:pPr>
            <w:r w:rsidRPr="00393169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rPr>
                <w:rStyle w:val="SpecialBold"/>
              </w:rPr>
              <w:t>Implement procedures for new colour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Monitor initial production and adjust process, conditions and formulation to make the process a smooth operation</w:t>
            </w: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Ensure process specifications reflect the optimised operation developed</w:t>
            </w: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Ensure quality standards and procedures meet requirements of design brief</w:t>
            </w: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7.4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Ensure procedures are correct for the new colour</w:t>
            </w: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7.5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Ensure project records are complete and all required reports have been completed and submitted</w:t>
            </w:r>
          </w:p>
        </w:tc>
      </w:tr>
      <w:tr w:rsidTr="00393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7.6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169" w:rsidP="00393169">
            <w:pPr>
              <w:pStyle w:val="BodyText"/>
            </w:pPr>
            <w:r w:rsidRPr="00393169">
              <w:t>Archive records according to procedure</w:t>
            </w:r>
          </w:p>
        </w:tc>
      </w:tr>
    </w:tbl>
    <w:p w:rsidR="00000000" w:rsidRPr="00393169" w:rsidP="00393169">
      <w:pPr>
        <w:pStyle w:val="BodyText"/>
      </w:pPr>
    </w:p>
    <w:p w:rsidR="00000000" w:rsidRPr="00393169" w:rsidP="00393169">
      <w:pPr>
        <w:pStyle w:val="AllowPageBreak"/>
      </w:pPr>
    </w:p>
    <w:p w:rsidR="00000000" w:rsidRPr="00393169" w:rsidP="00393169">
      <w:pPr>
        <w:pStyle w:val="Heading1"/>
      </w:pPr>
      <w:bookmarkStart w:id="7" w:name="O_908547"/>
      <w:bookmarkEnd w:id="7"/>
      <w:r w:rsidRPr="00393169">
        <w:t>Foundation Skills</w:t>
      </w:r>
    </w:p>
    <w:p w:rsidR="00000000" w:rsidRPr="00393169" w:rsidP="00316033">
      <w:pPr>
        <w:pStyle w:val="BodyText"/>
      </w:pPr>
      <w:r w:rsidRPr="00393169">
        <w:t>This section describes those language, literacy, numeracy and employment skills that are essential to performance.</w:t>
      </w:r>
    </w:p>
    <w:p w:rsidR="00000000" w:rsidRPr="00393169" w:rsidP="00316033">
      <w:pPr>
        <w:pStyle w:val="BodyText"/>
      </w:pPr>
      <w:r w:rsidRPr="00393169">
        <w:t>Foundation skills essential to performance are explicit in the p</w:t>
      </w:r>
      <w:r w:rsidRPr="00393169">
        <w:t>erformance criteria of this unit of competency.</w:t>
      </w:r>
    </w:p>
    <w:p w:rsidR="00000000" w:rsidRPr="00393169" w:rsidP="00393169">
      <w:pPr>
        <w:pStyle w:val="Heading1"/>
      </w:pPr>
      <w:bookmarkStart w:id="8" w:name="O_908546"/>
      <w:bookmarkEnd w:id="8"/>
      <w:r w:rsidRPr="0039316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3160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t>This field allows for different work environments and conditions that may affect performance. Essential operating conditions that may be present (depending on the work sit</w:t>
            </w:r>
            <w:r w:rsidRPr="00393169">
              <w:t>uation, needs of the candidate, accessibility of the item, and local industry and regional contexts) are included.</w:t>
            </w:r>
          </w:p>
        </w:tc>
      </w:tr>
      <w:tr w:rsidTr="003160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169" w:rsidP="00393169">
            <w:pPr>
              <w:pStyle w:val="BodyText"/>
            </w:pPr>
            <w:r w:rsidRPr="00393169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169" w:rsidP="00393169">
            <w:pPr>
              <w:pStyle w:val="BodyText"/>
            </w:pPr>
            <w:r w:rsidRPr="00393169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393169" w:rsidP="00393169">
            <w:pPr>
              <w:pStyle w:val="ListBullet"/>
            </w:pPr>
            <w:r w:rsidRPr="00393169">
              <w:t>legislative requirem</w:t>
            </w:r>
            <w:r w:rsidRPr="00393169">
              <w:t>ents, including work health and safety (WHS)</w:t>
            </w:r>
          </w:p>
          <w:p w:rsidR="00000000" w:rsidRPr="00393169" w:rsidP="00393169">
            <w:pPr>
              <w:pStyle w:val="ListBullet"/>
            </w:pPr>
            <w:r w:rsidRPr="00393169">
              <w:t>industry codes of practice and guidelines</w:t>
            </w:r>
          </w:p>
          <w:p w:rsidR="00000000" w:rsidRPr="00393169" w:rsidP="00393169">
            <w:pPr>
              <w:pStyle w:val="ListBullet"/>
            </w:pPr>
            <w:r w:rsidRPr="00393169">
              <w:t xml:space="preserve">environmental regulations and guidelines </w:t>
            </w:r>
          </w:p>
          <w:p w:rsidR="00000000" w:rsidRPr="00393169" w:rsidP="00393169">
            <w:pPr>
              <w:pStyle w:val="ListBullet"/>
            </w:pPr>
            <w:r w:rsidRPr="00393169">
              <w:t>Australian and other standards</w:t>
            </w:r>
          </w:p>
          <w:p w:rsidR="00000000" w:rsidRPr="00393169" w:rsidP="00393169">
            <w:pPr>
              <w:pStyle w:val="ListBullet"/>
            </w:pPr>
            <w:r w:rsidRPr="00393169">
              <w:t xml:space="preserve">licence and certification requirements </w:t>
            </w:r>
          </w:p>
          <w:p w:rsidR="00000000" w:rsidRPr="00393169" w:rsidP="00393169">
            <w:pPr>
              <w:pStyle w:val="BodyText"/>
            </w:pPr>
          </w:p>
          <w:p w:rsidR="00000000" w:rsidRPr="00393169" w:rsidP="00393169">
            <w:pPr>
              <w:pStyle w:val="BodyText"/>
            </w:pPr>
            <w:r w:rsidRPr="00393169">
              <w:t>All operations to which this unit applies are subject t</w:t>
            </w:r>
            <w:r w:rsidRPr="00393169">
              <w:t>o stringent health, safety and environment (HSE) requirements, which may be imposed through state/territory or federal legislation, and these must not be compromised at any time. Where there is an apparent conflict between performance criteria and HSE requ</w:t>
            </w:r>
            <w:r w:rsidRPr="00393169">
              <w:t>irements, the HSE requirements take precedence</w:t>
            </w:r>
          </w:p>
          <w:p w:rsidR="00000000" w:rsidP="00393169">
            <w:pPr>
              <w:pStyle w:val="BodyText"/>
              <w:rPr>
                <w:lang w:val="en-NZ"/>
              </w:rPr>
            </w:pPr>
          </w:p>
        </w:tc>
      </w:tr>
      <w:tr w:rsidTr="003160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169" w:rsidP="00393169">
            <w:pPr>
              <w:pStyle w:val="BodyText"/>
            </w:pPr>
            <w:r w:rsidRPr="00393169">
              <w:t>Hazards include one or more of the following:</w:t>
            </w:r>
          </w:p>
          <w:p w:rsidR="00000000" w:rsidRPr="00393169" w:rsidP="00393169">
            <w:pPr>
              <w:pStyle w:val="ListBullet"/>
            </w:pPr>
            <w:r w:rsidRPr="00393169">
              <w:t>toxicity</w:t>
            </w:r>
          </w:p>
          <w:p w:rsidR="00000000" w:rsidRPr="00393169" w:rsidP="00393169">
            <w:pPr>
              <w:pStyle w:val="ListBullet"/>
            </w:pPr>
            <w:r w:rsidRPr="00393169">
              <w:t>dust or vapours</w:t>
            </w:r>
          </w:p>
          <w:p w:rsidR="00000000" w:rsidRPr="00393169" w:rsidP="00393169">
            <w:pPr>
              <w:pStyle w:val="ListBullet"/>
            </w:pPr>
            <w:r w:rsidRPr="00393169">
              <w:t>flammability and explosivity</w:t>
            </w:r>
          </w:p>
          <w:p w:rsidR="00000000" w:rsidRPr="00393169" w:rsidP="00393169">
            <w:pPr>
              <w:pStyle w:val="ListBullet"/>
            </w:pPr>
            <w:r w:rsidRPr="00393169">
              <w:t>hazardous products and materials</w:t>
            </w:r>
          </w:p>
          <w:p w:rsidR="00000000" w:rsidRPr="00393169" w:rsidP="00393169">
            <w:pPr>
              <w:pStyle w:val="ListBullet"/>
            </w:pPr>
            <w:r w:rsidRPr="00393169">
              <w:t>other hazards identified on safety data sheets (SDS)</w:t>
            </w:r>
          </w:p>
          <w:p w:rsidR="00000000" w:rsidP="00393169">
            <w:pPr>
              <w:pStyle w:val="BodyText"/>
              <w:rPr>
                <w:lang w:val="en-NZ"/>
              </w:rPr>
            </w:pPr>
          </w:p>
        </w:tc>
      </w:tr>
      <w:tr w:rsidTr="003160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169" w:rsidP="00393169">
            <w:pPr>
              <w:pStyle w:val="BodyText"/>
            </w:pPr>
            <w:r w:rsidRPr="00393169">
              <w:t>All operations must be performed in accordance with relevant procedures.</w:t>
            </w:r>
          </w:p>
          <w:p w:rsidR="00000000" w:rsidRPr="00393169" w:rsidP="00393169">
            <w:pPr>
              <w:pStyle w:val="BodyText"/>
            </w:pPr>
          </w:p>
          <w:p w:rsidR="00000000" w:rsidRPr="00393169" w:rsidP="00393169">
            <w:pPr>
              <w:pStyle w:val="BodyText"/>
            </w:pPr>
            <w:r w:rsidRPr="00393169">
              <w:t>Procedures are written, verbal, visual, computer-based or in some other form, include one or more of the following:</w:t>
            </w:r>
          </w:p>
          <w:p w:rsidR="00000000" w:rsidRPr="00393169" w:rsidP="00393169">
            <w:pPr>
              <w:pStyle w:val="ListBullet"/>
            </w:pPr>
            <w:r w:rsidRPr="00393169">
              <w:t>emergency procedures</w:t>
            </w:r>
          </w:p>
          <w:p w:rsidR="00000000" w:rsidRPr="00393169" w:rsidP="00393169">
            <w:pPr>
              <w:pStyle w:val="ListBullet"/>
            </w:pPr>
            <w:r w:rsidRPr="00393169">
              <w:t>work instructions</w:t>
            </w:r>
          </w:p>
          <w:p w:rsidR="00000000" w:rsidRPr="00393169" w:rsidP="00393169">
            <w:pPr>
              <w:pStyle w:val="ListBullet"/>
            </w:pPr>
            <w:r w:rsidRPr="00393169">
              <w:t>standard operating proced</w:t>
            </w:r>
            <w:r w:rsidRPr="00393169">
              <w:t>ures (SOPs)</w:t>
            </w:r>
          </w:p>
          <w:p w:rsidR="00000000" w:rsidRPr="00393169" w:rsidP="00393169">
            <w:pPr>
              <w:pStyle w:val="ListBullet"/>
            </w:pPr>
            <w:r w:rsidRPr="00393169">
              <w:t>safe work method statements (SWMS)</w:t>
            </w:r>
          </w:p>
          <w:p w:rsidR="00000000" w:rsidRPr="00393169" w:rsidP="00393169">
            <w:pPr>
              <w:pStyle w:val="ListBullet"/>
            </w:pPr>
            <w:r w:rsidRPr="00393169">
              <w:t>formulas/recipes</w:t>
            </w:r>
          </w:p>
          <w:p w:rsidR="00000000" w:rsidRPr="00393169" w:rsidP="00393169">
            <w:pPr>
              <w:pStyle w:val="ListBullet"/>
            </w:pPr>
            <w:r w:rsidRPr="00393169">
              <w:t>batch sheets</w:t>
            </w:r>
          </w:p>
          <w:p w:rsidR="00000000" w:rsidRPr="00393169" w:rsidP="00393169">
            <w:pPr>
              <w:pStyle w:val="ListBullet"/>
            </w:pPr>
            <w:r w:rsidRPr="00393169">
              <w:t>temporary instructions</w:t>
            </w:r>
          </w:p>
          <w:p w:rsidR="00000000" w:rsidRPr="00393169" w:rsidP="00393169">
            <w:pPr>
              <w:pStyle w:val="ListBullet"/>
            </w:pPr>
            <w:r w:rsidRPr="00393169">
              <w:t xml:space="preserve">any similar instructions provided for the smooth running of the plant </w:t>
            </w:r>
          </w:p>
          <w:p w:rsidR="00000000" w:rsidP="00393169">
            <w:pPr>
              <w:pStyle w:val="BodyText"/>
              <w:rPr>
                <w:lang w:val="en-NZ"/>
              </w:rPr>
            </w:pPr>
          </w:p>
        </w:tc>
      </w:tr>
      <w:tr w:rsidTr="0031603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169">
            <w:pPr>
              <w:pStyle w:val="BodyText"/>
              <w:rPr>
                <w:lang w:val="en-NZ"/>
              </w:rPr>
            </w:pPr>
            <w:r w:rsidRPr="00393169">
              <w:rPr>
                <w:rStyle w:val="SpecialBold"/>
              </w:rPr>
              <w:t>Design specifications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169" w:rsidP="00393169">
            <w:pPr>
              <w:pStyle w:val="BodyText"/>
            </w:pPr>
            <w:r w:rsidRPr="00393169">
              <w:t>Design specifications include the following:</w:t>
            </w:r>
          </w:p>
          <w:p w:rsidR="00000000" w:rsidRPr="00393169" w:rsidP="00393169">
            <w:pPr>
              <w:pStyle w:val="ListBullet"/>
            </w:pPr>
            <w:r w:rsidRPr="00393169">
              <w:t xml:space="preserve">colour /colour specification </w:t>
            </w:r>
          </w:p>
          <w:p w:rsidR="00000000" w:rsidRPr="00393169" w:rsidP="00393169">
            <w:pPr>
              <w:pStyle w:val="ListBullet"/>
            </w:pPr>
            <w:r w:rsidRPr="00393169">
              <w:t>surface finish/gloss</w:t>
            </w:r>
          </w:p>
          <w:p w:rsidR="00000000" w:rsidRPr="00393169" w:rsidP="00393169">
            <w:pPr>
              <w:pStyle w:val="ListBullet"/>
            </w:pPr>
            <w:r w:rsidRPr="00393169">
              <w:t>viewing conditions (lighting)</w:t>
            </w:r>
          </w:p>
          <w:p w:rsidR="00000000" w:rsidRPr="00393169" w:rsidP="00393169">
            <w:pPr>
              <w:pStyle w:val="ListBullet"/>
            </w:pPr>
            <w:r w:rsidRPr="00393169">
              <w:t>opacity</w:t>
            </w:r>
          </w:p>
          <w:p w:rsidR="00000000" w:rsidRPr="00393169" w:rsidP="00393169">
            <w:pPr>
              <w:pStyle w:val="ListBullet"/>
            </w:pPr>
            <w:r w:rsidRPr="00393169">
              <w:t>requirements for metameric/non-metameric match</w:t>
            </w:r>
          </w:p>
          <w:p w:rsidR="00000000" w:rsidRPr="00393169" w:rsidP="00393169">
            <w:pPr>
              <w:pStyle w:val="ListBullet"/>
            </w:pPr>
            <w:r w:rsidRPr="00393169">
              <w:t>other aesthetic requirements</w:t>
            </w:r>
          </w:p>
        </w:tc>
      </w:tr>
    </w:tbl>
    <w:p w:rsidR="00000000" w:rsidRPr="00393169" w:rsidP="00393169">
      <w:pPr>
        <w:pStyle w:val="BodyText"/>
      </w:pPr>
    </w:p>
    <w:p w:rsidR="00000000" w:rsidRPr="00393169" w:rsidP="00393169">
      <w:pPr>
        <w:pStyle w:val="AllowPageBreak"/>
      </w:pPr>
    </w:p>
    <w:p w:rsidR="00000000" w:rsidRPr="00393169" w:rsidP="00393169">
      <w:pPr>
        <w:pStyle w:val="Heading1"/>
      </w:pPr>
      <w:bookmarkStart w:id="9" w:name="O_908545"/>
      <w:bookmarkEnd w:id="9"/>
      <w:r w:rsidRPr="00393169">
        <w:t>Unit Mapping Information</w:t>
      </w:r>
    </w:p>
    <w:p w:rsidR="00000000" w:rsidRPr="00393169" w:rsidP="00316033">
      <w:pPr>
        <w:pStyle w:val="BodyText"/>
      </w:pPr>
      <w:r w:rsidRPr="00393169">
        <w:t>Release 1. Supersedes and is equivalent to PMAOPS550B Develop a colour formulation</w:t>
      </w:r>
    </w:p>
    <w:p w:rsidR="00000000" w:rsidRPr="00393169" w:rsidP="00393169">
      <w:pPr>
        <w:pStyle w:val="Heading1"/>
      </w:pPr>
      <w:bookmarkStart w:id="10" w:name="O_908538"/>
      <w:bookmarkEnd w:id="10"/>
      <w:r w:rsidRPr="00393169">
        <w:t>Links</w:t>
      </w:r>
    </w:p>
    <w:p w:rsidR="00000000" w:rsidRPr="00393169" w:rsidP="00316033">
      <w:pPr>
        <w:pStyle w:val="BodyText"/>
      </w:pPr>
      <w:r w:rsidRPr="003931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D83086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393169" w:rsidP="00393169"/>
    <w:sectPr w:rsidSect="003931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1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169" w:rsidRPr="00316033" w:rsidP="003160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1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033" w:rsidP="003931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16033" w:rsidP="003931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16033" w:rsidP="003931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1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0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3169" w:rsidRPr="00316033" w:rsidP="003160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1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033" w:rsidRPr="002D2AF8" w:rsidP="003931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PMAOPS550 Develop a colour formulation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November 2020</w:t>
    </w:r>
    <w:r>
      <w:fldChar w:fldCharType="end"/>
    </w:r>
  </w:p>
  <w:p w:rsidR="00316033" w:rsidP="003931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0080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624A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1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31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31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31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31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31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31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31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31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31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31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3169"/>
  </w:style>
  <w:style w:type="character" w:customStyle="1" w:styleId="Heading1Char">
    <w:name w:val="Heading 1 Char"/>
    <w:basedOn w:val="DefaultParagraphFont"/>
    <w:link w:val="Heading1"/>
    <w:rsid w:val="003931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31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31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31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3169"/>
    <w:rPr>
      <w:b/>
      <w:spacing w:val="0"/>
    </w:rPr>
  </w:style>
  <w:style w:type="paragraph" w:customStyle="1" w:styleId="SuperHeading">
    <w:name w:val="SuperHeading"/>
    <w:basedOn w:val="Normal"/>
    <w:rsid w:val="003931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31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31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31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31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31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31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31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31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31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31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31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31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31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31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31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31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31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31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31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31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31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31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31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31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31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31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31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31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31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31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31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31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31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31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3169"/>
    <w:rPr>
      <w:i/>
    </w:rPr>
  </w:style>
  <w:style w:type="paragraph" w:styleId="Caption">
    <w:name w:val="caption"/>
    <w:basedOn w:val="BodyText"/>
    <w:next w:val="Normal"/>
    <w:qFormat/>
    <w:rsid w:val="003931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31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31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3169"/>
  </w:style>
  <w:style w:type="paragraph" w:styleId="TableofFigures">
    <w:name w:val="table of figures"/>
    <w:basedOn w:val="Normal"/>
    <w:next w:val="Normal"/>
    <w:semiHidden/>
    <w:rsid w:val="003931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31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3169"/>
    <w:rPr>
      <w:rFonts w:ascii="Wingdings" w:hAnsi="Wingdings"/>
    </w:rPr>
  </w:style>
  <w:style w:type="paragraph" w:customStyle="1" w:styleId="TableHeading">
    <w:name w:val="Table Heading"/>
    <w:basedOn w:val="HeadingBase"/>
    <w:rsid w:val="003931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3169"/>
    <w:rPr>
      <w:color w:val="0033CC"/>
      <w:u w:val="none"/>
    </w:rPr>
  </w:style>
  <w:style w:type="paragraph" w:customStyle="1" w:styleId="BodyTextRight">
    <w:name w:val="Body Text Right"/>
    <w:basedOn w:val="BodyText"/>
    <w:rsid w:val="003931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31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31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31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31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31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3169"/>
    <w:rPr>
      <w:sz w:val="32"/>
    </w:rPr>
  </w:style>
  <w:style w:type="paragraph" w:customStyle="1" w:styleId="HeadingProcedure">
    <w:name w:val="Heading Procedure"/>
    <w:basedOn w:val="HeadingBase"/>
    <w:next w:val="Normal"/>
    <w:rsid w:val="003931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3169"/>
    <w:pPr>
      <w:spacing w:before="60" w:after="60"/>
    </w:pPr>
  </w:style>
  <w:style w:type="paragraph" w:styleId="ListContinue">
    <w:name w:val="List Continue"/>
    <w:basedOn w:val="List"/>
    <w:rsid w:val="00393169"/>
    <w:pPr>
      <w:ind w:firstLine="0"/>
    </w:pPr>
  </w:style>
  <w:style w:type="paragraph" w:customStyle="1" w:styleId="ListNote">
    <w:name w:val="List Note"/>
    <w:basedOn w:val="List"/>
    <w:rsid w:val="003931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31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31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3169"/>
    <w:rPr>
      <w:rFonts w:ascii="Courier New" w:hAnsi="Courier New"/>
    </w:rPr>
  </w:style>
  <w:style w:type="paragraph" w:customStyle="1" w:styleId="NoteBullet">
    <w:name w:val="Note Bullet"/>
    <w:basedOn w:val="Note"/>
    <w:rsid w:val="003931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31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31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31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31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31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31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3169"/>
    <w:rPr>
      <w:b/>
      <w:smallCaps/>
    </w:rPr>
  </w:style>
  <w:style w:type="paragraph" w:customStyle="1" w:styleId="TableListNumber">
    <w:name w:val="Table List Number"/>
    <w:basedOn w:val="ListNumber"/>
    <w:rsid w:val="003931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31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3169"/>
    <w:pPr>
      <w:numPr>
        <w:numId w:val="8"/>
      </w:numPr>
    </w:pPr>
  </w:style>
  <w:style w:type="paragraph" w:customStyle="1" w:styleId="ListAlpha2">
    <w:name w:val="List Alpha 2"/>
    <w:basedOn w:val="List2"/>
    <w:rsid w:val="00393169"/>
    <w:pPr>
      <w:numPr>
        <w:numId w:val="7"/>
      </w:numPr>
    </w:pPr>
  </w:style>
  <w:style w:type="paragraph" w:styleId="List2">
    <w:name w:val="List 2"/>
    <w:basedOn w:val="BodyText"/>
    <w:rsid w:val="003931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31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31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31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31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31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3169"/>
    <w:pPr>
      <w:numPr>
        <w:numId w:val="3"/>
      </w:numPr>
    </w:pPr>
  </w:style>
  <w:style w:type="paragraph" w:styleId="ListContinue2">
    <w:name w:val="List Continue 2"/>
    <w:basedOn w:val="List2"/>
    <w:rsid w:val="00393169"/>
    <w:pPr>
      <w:ind w:firstLine="0"/>
    </w:pPr>
  </w:style>
  <w:style w:type="paragraph" w:styleId="ListContinue3">
    <w:name w:val="List Continue 3"/>
    <w:basedOn w:val="List3"/>
    <w:rsid w:val="00393169"/>
    <w:pPr>
      <w:ind w:left="1021" w:firstLine="0"/>
    </w:pPr>
  </w:style>
  <w:style w:type="paragraph" w:styleId="ListContinue4">
    <w:name w:val="List Continue 4"/>
    <w:basedOn w:val="List4"/>
    <w:rsid w:val="00393169"/>
    <w:pPr>
      <w:ind w:firstLine="0"/>
    </w:pPr>
  </w:style>
  <w:style w:type="paragraph" w:styleId="ListContinue5">
    <w:name w:val="List Continue 5"/>
    <w:basedOn w:val="List5"/>
    <w:rsid w:val="00393169"/>
    <w:pPr>
      <w:ind w:firstLine="0"/>
    </w:pPr>
  </w:style>
  <w:style w:type="paragraph" w:styleId="ListNumber3">
    <w:name w:val="List Number 3"/>
    <w:basedOn w:val="List3"/>
    <w:rsid w:val="00393169"/>
    <w:pPr>
      <w:numPr>
        <w:numId w:val="4"/>
      </w:numPr>
    </w:pPr>
  </w:style>
  <w:style w:type="paragraph" w:styleId="ListNumber4">
    <w:name w:val="List Number 4"/>
    <w:basedOn w:val="List4"/>
    <w:rsid w:val="00393169"/>
    <w:pPr>
      <w:numPr>
        <w:numId w:val="5"/>
      </w:numPr>
    </w:pPr>
  </w:style>
  <w:style w:type="paragraph" w:styleId="ListNumber5">
    <w:name w:val="List Number 5"/>
    <w:basedOn w:val="List5"/>
    <w:rsid w:val="00393169"/>
    <w:pPr>
      <w:numPr>
        <w:numId w:val="6"/>
      </w:numPr>
    </w:pPr>
  </w:style>
  <w:style w:type="paragraph" w:styleId="BlockText">
    <w:name w:val="Block Text"/>
    <w:basedOn w:val="Normal"/>
    <w:rsid w:val="003931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31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3169"/>
    <w:rPr>
      <w:sz w:val="16"/>
      <w:vertAlign w:val="superscript"/>
    </w:rPr>
  </w:style>
  <w:style w:type="character" w:customStyle="1" w:styleId="Symbols">
    <w:name w:val="Symbols"/>
    <w:basedOn w:val="DefaultParagraphFont"/>
    <w:rsid w:val="00393169"/>
    <w:rPr>
      <w:rFonts w:ascii="Symbol" w:hAnsi="Symbol"/>
    </w:rPr>
  </w:style>
  <w:style w:type="character" w:customStyle="1" w:styleId="MenuOptions">
    <w:name w:val="Menu Options"/>
    <w:basedOn w:val="DefaultParagraphFont"/>
    <w:rsid w:val="003931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3169"/>
    <w:rPr>
      <w:b/>
    </w:rPr>
  </w:style>
  <w:style w:type="character" w:customStyle="1" w:styleId="Underlined">
    <w:name w:val="Underlined"/>
    <w:basedOn w:val="DefaultParagraphFont"/>
    <w:rsid w:val="00393169"/>
    <w:rPr>
      <w:u w:val="single"/>
    </w:rPr>
  </w:style>
  <w:style w:type="paragraph" w:customStyle="1" w:styleId="TableBodyTextRight">
    <w:name w:val="Table Body Text Right"/>
    <w:basedOn w:val="TableBodyText"/>
    <w:rsid w:val="003931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3169"/>
    <w:rPr>
      <w:sz w:val="18"/>
    </w:rPr>
  </w:style>
  <w:style w:type="paragraph" w:customStyle="1" w:styleId="BodySmallRight">
    <w:name w:val="Body Small Right"/>
    <w:basedOn w:val="BodyTextRight"/>
    <w:rsid w:val="00393169"/>
    <w:rPr>
      <w:sz w:val="18"/>
      <w:szCs w:val="18"/>
    </w:rPr>
  </w:style>
  <w:style w:type="paragraph" w:customStyle="1" w:styleId="MarginEdition">
    <w:name w:val="Margin Edition"/>
    <w:basedOn w:val="MarginNote"/>
    <w:rsid w:val="003931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3169"/>
    <w:rPr>
      <w:sz w:val="2"/>
      <w:szCs w:val="2"/>
    </w:rPr>
  </w:style>
  <w:style w:type="character" w:customStyle="1" w:styleId="Small">
    <w:name w:val="Small"/>
    <w:basedOn w:val="DefaultParagraphFont"/>
    <w:rsid w:val="00393169"/>
    <w:rPr>
      <w:sz w:val="16"/>
    </w:rPr>
  </w:style>
  <w:style w:type="paragraph" w:customStyle="1" w:styleId="WideTable">
    <w:name w:val="Wide Table"/>
    <w:basedOn w:val="Normal"/>
    <w:rsid w:val="003931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3169"/>
  </w:style>
  <w:style w:type="paragraph" w:styleId="Quote">
    <w:name w:val="Quote"/>
    <w:basedOn w:val="Heading1"/>
    <w:link w:val="QuoteChar"/>
    <w:qFormat/>
    <w:rsid w:val="003931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31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3169"/>
    <w:pPr>
      <w:pageBreakBefore/>
    </w:pPr>
  </w:style>
  <w:style w:type="paragraph" w:customStyle="1" w:styleId="Border">
    <w:name w:val="Border"/>
    <w:basedOn w:val="Normal"/>
    <w:qFormat/>
    <w:rsid w:val="003931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31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1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1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31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31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31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31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31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3169"/>
    <w:rPr>
      <w:u w:val="single"/>
    </w:rPr>
  </w:style>
  <w:style w:type="character" w:customStyle="1" w:styleId="BoldandItalics">
    <w:name w:val="Bold and Italics"/>
    <w:qFormat/>
    <w:rsid w:val="00393169"/>
    <w:rPr>
      <w:b/>
      <w:i/>
      <w:u w:val="none"/>
    </w:rPr>
  </w:style>
  <w:style w:type="paragraph" w:styleId="BalloonText">
    <w:name w:val="Balloon Text"/>
    <w:basedOn w:val="Normal"/>
    <w:link w:val="BalloonTextChar"/>
    <w:rsid w:val="003931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31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31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31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31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31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3169"/>
    <w:pPr>
      <w:spacing w:before="0" w:after="0"/>
    </w:pPr>
  </w:style>
  <w:style w:type="paragraph" w:customStyle="1" w:styleId="BodyTextBold">
    <w:name w:val="Body Text Bold"/>
    <w:basedOn w:val="BodyText"/>
    <w:qFormat/>
    <w:rsid w:val="00393169"/>
    <w:rPr>
      <w:b/>
    </w:rPr>
  </w:style>
  <w:style w:type="character" w:styleId="Hyperlink">
    <w:name w:val="Hyperlink"/>
    <w:basedOn w:val="DefaultParagraphFont"/>
    <w:uiPriority w:val="99"/>
    <w:unhideWhenUsed/>
    <w:rsid w:val="003160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1026</Words>
  <Characters>6395</Characters>
  <Application>Microsoft Office Word</Application>
  <DocSecurity>0</DocSecurity>
  <Lines>304</Lines>
  <Paragraphs>176</Paragraphs>
  <ScaleCrop>false</ScaleCrop>
  <Company>Author-it Software Corporation Ltd.</Company>
  <LinksUpToDate>false</LinksUpToDate>
  <CharactersWithSpaces>7245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PMAOPS550 Develop a colour formulation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2020-11-16T08:10:00Z</dcterms:created>
  <dcterms:modified xsi:type="dcterms:W3CDTF">2020-11-16T08:10:00Z</dcterms:modified>
</cp:coreProperties>
</file>